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7485D" w14:paraId="3DEC459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80D9FEE" w14:textId="77777777" w:rsidR="00751A4A" w:rsidRPr="0057485D" w:rsidRDefault="001D793F" w:rsidP="0010095E">
            <w:pPr>
              <w:pStyle w:val="EPName"/>
            </w:pPr>
            <w:r w:rsidRPr="0057485D">
              <w:t xml:space="preserve">Parlamento </w:t>
            </w:r>
            <w:proofErr w:type="gramStart"/>
            <w:r w:rsidRPr="0057485D">
              <w:t>Europeu</w:t>
            </w:r>
            <w:proofErr w:type="gramEnd"/>
          </w:p>
          <w:p w14:paraId="7DBD3982" w14:textId="77777777" w:rsidR="00751A4A" w:rsidRPr="0057485D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7485D">
              <w:t>2024</w:t>
            </w:r>
            <w:r w:rsidR="00817416" w:rsidRPr="0057485D">
              <w:t>-202</w:t>
            </w:r>
            <w:r w:rsidRPr="0057485D">
              <w:t>9</w:t>
            </w:r>
          </w:p>
        </w:tc>
        <w:tc>
          <w:tcPr>
            <w:tcW w:w="2268" w:type="dxa"/>
            <w:shd w:val="clear" w:color="auto" w:fill="auto"/>
          </w:tcPr>
          <w:p w14:paraId="5F543E70" w14:textId="77777777" w:rsidR="00751A4A" w:rsidRPr="0057485D" w:rsidRDefault="00187494" w:rsidP="0010095E">
            <w:pPr>
              <w:pStyle w:val="EPLogo"/>
            </w:pPr>
            <w:r w:rsidRPr="0057485D">
              <w:rPr>
                <w:noProof/>
                <w:lang w:eastAsia="ja-JP"/>
              </w:rPr>
              <w:drawing>
                <wp:inline distT="0" distB="0" distL="0" distR="0" wp14:anchorId="069C0C99" wp14:editId="2B9C075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C36E28A" w14:textId="77777777" w:rsidR="00D058B8" w:rsidRPr="0057485D" w:rsidRDefault="00D058B8" w:rsidP="004C5D52">
      <w:pPr>
        <w:pStyle w:val="LineTop"/>
      </w:pPr>
    </w:p>
    <w:p w14:paraId="509D8772" w14:textId="77777777" w:rsidR="00680577" w:rsidRPr="0057485D" w:rsidRDefault="001D793F" w:rsidP="00680577">
      <w:pPr>
        <w:pStyle w:val="EPBodyTA1"/>
      </w:pPr>
      <w:r w:rsidRPr="0057485D">
        <w:t>TEXTOS APROVADOS</w:t>
      </w:r>
    </w:p>
    <w:p w14:paraId="46620CE9" w14:textId="77777777" w:rsidR="00D058B8" w:rsidRPr="0057485D" w:rsidRDefault="00D058B8" w:rsidP="00D058B8">
      <w:pPr>
        <w:pStyle w:val="LineBottom"/>
      </w:pPr>
    </w:p>
    <w:p w14:paraId="3A962115" w14:textId="4EA772D2" w:rsidR="001D793F" w:rsidRPr="0057485D" w:rsidRDefault="001D793F" w:rsidP="001D793F">
      <w:pPr>
        <w:pStyle w:val="ATHeading1"/>
      </w:pPr>
      <w:bookmarkStart w:id="0" w:name="TANumber"/>
      <w:r w:rsidRPr="0057485D">
        <w:t>P10_TA(2025)0</w:t>
      </w:r>
      <w:bookmarkEnd w:id="0"/>
      <w:r w:rsidR="0057485D">
        <w:t>32</w:t>
      </w:r>
      <w:r w:rsidR="001553A6">
        <w:t>8</w:t>
      </w:r>
    </w:p>
    <w:p w14:paraId="2C8005B0" w14:textId="306FF147" w:rsidR="001D793F" w:rsidRPr="0057485D" w:rsidRDefault="00E33C36" w:rsidP="001D793F">
      <w:pPr>
        <w:pStyle w:val="ATHeading2"/>
      </w:pPr>
      <w:bookmarkStart w:id="1" w:name="title"/>
      <w:r w:rsidRPr="0057485D">
        <w:t>B</w:t>
      </w:r>
      <w:r w:rsidR="001D793F" w:rsidRPr="0057485D">
        <w:t>eterraba geneticamente modificada KWS20-1</w:t>
      </w:r>
      <w:bookmarkEnd w:id="1"/>
    </w:p>
    <w:p w14:paraId="4666E95C" w14:textId="77777777" w:rsidR="001D793F" w:rsidRPr="0057485D" w:rsidRDefault="001D793F" w:rsidP="001D793F">
      <w:pPr>
        <w:rPr>
          <w:i/>
          <w:vanish/>
        </w:rPr>
      </w:pPr>
      <w:r w:rsidRPr="0057485D">
        <w:rPr>
          <w:i/>
        </w:rPr>
        <w:fldChar w:fldCharType="begin"/>
      </w:r>
      <w:r w:rsidRPr="0057485D">
        <w:rPr>
          <w:i/>
        </w:rPr>
        <w:instrText xml:space="preserve"> TC"(</w:instrText>
      </w:r>
      <w:bookmarkStart w:id="2" w:name="DocNumber"/>
      <w:r w:rsidRPr="0057485D">
        <w:rPr>
          <w:i/>
        </w:rPr>
        <w:instrText>B10-0559/2025</w:instrText>
      </w:r>
      <w:bookmarkEnd w:id="2"/>
      <w:r w:rsidRPr="0057485D">
        <w:rPr>
          <w:i/>
        </w:rPr>
        <w:instrText xml:space="preserve">)"\l3 \n&gt; \* MERGEFORMAT </w:instrText>
      </w:r>
      <w:r w:rsidRPr="0057485D">
        <w:rPr>
          <w:i/>
        </w:rPr>
        <w:fldChar w:fldCharType="end"/>
      </w:r>
    </w:p>
    <w:p w14:paraId="75133FA4" w14:textId="77777777" w:rsidR="001D793F" w:rsidRPr="0057485D" w:rsidRDefault="001D793F" w:rsidP="001D793F">
      <w:pPr>
        <w:rPr>
          <w:vanish/>
        </w:rPr>
      </w:pPr>
      <w:bookmarkStart w:id="3" w:name="PE"/>
      <w:r w:rsidRPr="0057485D">
        <w:rPr>
          <w:vanish/>
        </w:rPr>
        <w:t>PE779.398</w:t>
      </w:r>
      <w:bookmarkEnd w:id="3"/>
    </w:p>
    <w:p w14:paraId="2DAD2F21" w14:textId="0CFDF81F" w:rsidR="001D793F" w:rsidRPr="0057485D" w:rsidRDefault="001D793F" w:rsidP="001D793F">
      <w:pPr>
        <w:pStyle w:val="ATHeading3"/>
      </w:pPr>
      <w:bookmarkStart w:id="4" w:name="Sujet"/>
      <w:r w:rsidRPr="0057485D">
        <w:t xml:space="preserve">Resolução do Parlamento Europeu, de </w:t>
      </w:r>
      <w:r w:rsidR="00E33C36" w:rsidRPr="0057485D">
        <w:t xml:space="preserve">16 </w:t>
      </w:r>
      <w:r w:rsidRPr="0057485D">
        <w:t xml:space="preserve">de </w:t>
      </w:r>
      <w:r w:rsidR="00E33C36" w:rsidRPr="0057485D">
        <w:t xml:space="preserve">dezembro </w:t>
      </w:r>
      <w:r w:rsidRPr="0057485D">
        <w:t>de 2025, sobre o projeto de decisão de execução da Comissão que autoriza a colocação no mercado de géneros alimentícios, ingredientes alimentares e alimentos para animais produzidos a partir de beterraba geneticamente modificada KWS20</w:t>
      </w:r>
      <w:r w:rsidRPr="0057485D">
        <w:noBreakHyphen/>
        <w:t>1, nos termos do Regulamento (CE) n.º 1829/2003 do Parlamento Europeu e do Conselho</w:t>
      </w:r>
      <w:bookmarkEnd w:id="4"/>
      <w:r w:rsidRPr="0057485D">
        <w:t xml:space="preserve"> </w:t>
      </w:r>
      <w:bookmarkStart w:id="5" w:name="References"/>
      <w:r w:rsidRPr="0057485D">
        <w:t>(D110122/02 – 2025/2959(RSP))</w:t>
      </w:r>
      <w:bookmarkEnd w:id="5"/>
    </w:p>
    <w:p w14:paraId="69F8A964" w14:textId="77777777" w:rsidR="002D52EA" w:rsidRPr="0057485D" w:rsidRDefault="002D52EA" w:rsidP="002D52EA">
      <w:pPr>
        <w:pStyle w:val="EPComma"/>
      </w:pPr>
      <w:bookmarkStart w:id="6" w:name="TextBodyBegin"/>
      <w:bookmarkEnd w:id="6"/>
      <w:r w:rsidRPr="0057485D">
        <w:rPr>
          <w:i/>
        </w:rPr>
        <w:t>O Parlamento Europeu</w:t>
      </w:r>
      <w:r w:rsidRPr="0057485D">
        <w:t>,</w:t>
      </w:r>
    </w:p>
    <w:p w14:paraId="038763B5" w14:textId="77777777" w:rsidR="002D52EA" w:rsidRPr="0057485D" w:rsidRDefault="002D52EA" w:rsidP="002D52EA">
      <w:pPr>
        <w:pStyle w:val="NormalHanging12a"/>
      </w:pPr>
      <w:r w:rsidRPr="0057485D">
        <w:t>–</w:t>
      </w:r>
      <w:r w:rsidRPr="0057485D">
        <w:tab/>
        <w:t>Tendo em conta o projeto de decisão de execução da Comissão que autoriza a colocação no mercado de géneros alimentícios, ingredientes alimentares e alimentos para animais produzidos a partir de beterraba geneticamente modificada KWS20</w:t>
      </w:r>
      <w:r w:rsidRPr="0057485D">
        <w:noBreakHyphen/>
        <w:t>1, nos termos do Regulamento (CE) n.º 1829/2003 do Parlamento Europeu e do Conselho (D110122/02),</w:t>
      </w:r>
    </w:p>
    <w:p w14:paraId="7C08CC53" w14:textId="77777777" w:rsidR="002D52EA" w:rsidRPr="0057485D" w:rsidRDefault="002D52EA" w:rsidP="002D52EA">
      <w:pPr>
        <w:pStyle w:val="NormalHanging12a"/>
      </w:pPr>
      <w:r w:rsidRPr="0057485D">
        <w:t>–</w:t>
      </w:r>
      <w:r w:rsidRPr="0057485D">
        <w:tab/>
        <w:t>Tendo em conta o Regulamento (CE) n.º 1829/2003 do Parlamento Europeu e do Conselho, de 22 de setembro de 2003, relativo a géneros alimentícios e alimentos para animais geneticamente modificados</w:t>
      </w:r>
      <w:r w:rsidRPr="0057485D">
        <w:rPr>
          <w:vertAlign w:val="superscript"/>
        </w:rPr>
        <w:footnoteReference w:id="1"/>
      </w:r>
      <w:r w:rsidRPr="0057485D">
        <w:t>, nomeadamente o artigo 7.º, n.º 3, e o artigo 19.º, n.º 3,</w:t>
      </w:r>
    </w:p>
    <w:p w14:paraId="7893877B" w14:textId="7DA91304" w:rsidR="002D52EA" w:rsidRPr="0057485D" w:rsidRDefault="002D52EA" w:rsidP="002D52EA">
      <w:pPr>
        <w:pStyle w:val="NormalHanging12a"/>
      </w:pPr>
      <w:r w:rsidRPr="0057485D">
        <w:t>–</w:t>
      </w:r>
      <w:r w:rsidRPr="0057485D">
        <w:tab/>
        <w:t>Tendo em conta a votação no Comité Permanente dos Vegetais, Animais e Alimentos para Consumo Humano e Animal, a que se refere o artigo 35.º do Regulamento (CE) n.º 1829/2003, realizada em 14 de outubro de 2025, no âmbito da qual não foi emitido parecer,</w:t>
      </w:r>
      <w:r w:rsidR="002F72F3" w:rsidRPr="0057485D">
        <w:t xml:space="preserve"> bem como a votação do Comité de Recurso, de 28 de novembro de 2025, na qual também não foi emitido parecer,</w:t>
      </w:r>
    </w:p>
    <w:p w14:paraId="4EC17949" w14:textId="77777777" w:rsidR="002D52EA" w:rsidRPr="0057485D" w:rsidRDefault="002D52EA" w:rsidP="002D52EA">
      <w:pPr>
        <w:pStyle w:val="NormalHanging12a"/>
        <w:widowControl/>
      </w:pPr>
      <w:r w:rsidRPr="0057485D">
        <w:t>–</w:t>
      </w:r>
      <w:r w:rsidRPr="0057485D">
        <w:tab/>
        <w:t>Tendo em conta o artigo 11.º do Regulamento (UE) n.º 182/2011 do Parlamento Europeu e do Conselho, de 16 de fevereiro de 2011, que estabelece as regras e os princípios gerais relativos aos mecanismos de controlo pelos Estados</w:t>
      </w:r>
      <w:r w:rsidRPr="0057485D">
        <w:noBreakHyphen/>
        <w:t>Membros do exercício das competências de execução pela Comissão</w:t>
      </w:r>
      <w:r w:rsidRPr="0057485D">
        <w:rPr>
          <w:rStyle w:val="FootnoteReference"/>
          <w:szCs w:val="24"/>
        </w:rPr>
        <w:footnoteReference w:id="2"/>
      </w:r>
      <w:r w:rsidRPr="0057485D">
        <w:t>,</w:t>
      </w:r>
    </w:p>
    <w:p w14:paraId="6F56CC3E" w14:textId="77777777" w:rsidR="002D52EA" w:rsidRPr="0057485D" w:rsidRDefault="002D52EA" w:rsidP="002D52EA">
      <w:pPr>
        <w:pStyle w:val="NormalHanging12a"/>
      </w:pPr>
      <w:r w:rsidRPr="0057485D">
        <w:t>–</w:t>
      </w:r>
      <w:r w:rsidRPr="0057485D">
        <w:tab/>
        <w:t xml:space="preserve">Tendo em conta o parecer adotado pela Autoridade Europeia para a Segurança dos </w:t>
      </w:r>
      <w:r w:rsidRPr="0057485D">
        <w:lastRenderedPageBreak/>
        <w:t>Alimentos (EFSA) em 26 de março de 2025 e publicado em 12 de maio de 2025</w:t>
      </w:r>
      <w:r w:rsidRPr="0057485D">
        <w:rPr>
          <w:rStyle w:val="FootnoteReference"/>
        </w:rPr>
        <w:footnoteReference w:id="3"/>
      </w:r>
      <w:r w:rsidRPr="0057485D">
        <w:t>,</w:t>
      </w:r>
    </w:p>
    <w:p w14:paraId="6FE667D9" w14:textId="77777777" w:rsidR="002D52EA" w:rsidRPr="0057485D" w:rsidRDefault="002D52EA" w:rsidP="002D52EA">
      <w:pPr>
        <w:pStyle w:val="NormalHanging12a"/>
      </w:pPr>
      <w:r w:rsidRPr="0057485D">
        <w:t>–</w:t>
      </w:r>
      <w:r w:rsidRPr="0057485D">
        <w:tab/>
        <w:t>Tendo em conta as suas anteriores resoluções em que se opôs à autorização de organismos geneticamente modificados (OGM)</w:t>
      </w:r>
      <w:r w:rsidRPr="0057485D">
        <w:rPr>
          <w:rStyle w:val="FootnoteReference"/>
        </w:rPr>
        <w:footnoteReference w:id="4"/>
      </w:r>
      <w:r w:rsidRPr="0057485D">
        <w:t>,</w:t>
      </w:r>
    </w:p>
    <w:p w14:paraId="752ADD73" w14:textId="77777777" w:rsidR="002D52EA" w:rsidRPr="0057485D" w:rsidRDefault="002D52EA" w:rsidP="002D52EA">
      <w:pPr>
        <w:pStyle w:val="NormalHanging12a"/>
      </w:pPr>
      <w:r w:rsidRPr="0057485D">
        <w:lastRenderedPageBreak/>
        <w:t>–</w:t>
      </w:r>
      <w:r w:rsidRPr="0057485D">
        <w:tab/>
        <w:t>Tendo em conta o artigo 115.º, n.</w:t>
      </w:r>
      <w:r w:rsidRPr="0057485D">
        <w:rPr>
          <w:vertAlign w:val="superscript"/>
        </w:rPr>
        <w:t>os</w:t>
      </w:r>
      <w:r w:rsidRPr="0057485D">
        <w:t xml:space="preserve"> 2 e 3, do seu Regimento,</w:t>
      </w:r>
    </w:p>
    <w:p w14:paraId="087E7B18" w14:textId="77777777" w:rsidR="002D52EA" w:rsidRPr="0057485D" w:rsidRDefault="002D52EA" w:rsidP="002D52EA">
      <w:pPr>
        <w:pStyle w:val="NormalHanging12a"/>
      </w:pPr>
      <w:r w:rsidRPr="0057485D">
        <w:t>–</w:t>
      </w:r>
      <w:r w:rsidRPr="0057485D">
        <w:tab/>
        <w:t>Tendo em conta a proposta de resolução da Comissão do Ambiente, do Clima e da Segurança Alimentar,</w:t>
      </w:r>
    </w:p>
    <w:p w14:paraId="7744F400" w14:textId="77777777" w:rsidR="002D52EA" w:rsidRPr="0057485D" w:rsidRDefault="002D52EA" w:rsidP="002D52EA">
      <w:pPr>
        <w:pStyle w:val="NormalHanging12a"/>
      </w:pPr>
      <w:r w:rsidRPr="0057485D">
        <w:t>A.</w:t>
      </w:r>
      <w:r w:rsidRPr="0057485D">
        <w:tab/>
        <w:t xml:space="preserve">Considerando que, em 30 de maio de 2023, a empresa Bayer </w:t>
      </w:r>
      <w:proofErr w:type="spellStart"/>
      <w:r w:rsidRPr="0057485D">
        <w:t>Agriculture</w:t>
      </w:r>
      <w:proofErr w:type="spellEnd"/>
      <w:r w:rsidRPr="0057485D">
        <w:t xml:space="preserve"> B.V., com sede na Bélgica, apresentou, em nome das empresas Bayer </w:t>
      </w:r>
      <w:proofErr w:type="spellStart"/>
      <w:r w:rsidRPr="0057485D">
        <w:t>CropScience</w:t>
      </w:r>
      <w:proofErr w:type="spellEnd"/>
      <w:r w:rsidRPr="0057485D">
        <w:t xml:space="preserve"> LP, sediada nos Estados Unidos, e KWS SAAT SE &amp; Co. </w:t>
      </w:r>
      <w:proofErr w:type="spellStart"/>
      <w:r w:rsidRPr="0057485D">
        <w:t>KGaA</w:t>
      </w:r>
      <w:proofErr w:type="spellEnd"/>
      <w:r w:rsidRPr="0057485D">
        <w:t>, com sede na Alemanha, um pedido à autoridade nacional competente dos Países Baixos para a colocação no mercado de géneros alimentícios, ingredientes alimentares e alimentos para animais produzidos a partir de beterraba geneticamente modificada KWS20</w:t>
      </w:r>
      <w:r w:rsidRPr="0057485D">
        <w:noBreakHyphen/>
        <w:t>1 («beterraba GM»), em conformidade com os artigos 5.º e 17.º do Regulamento (CE) n.º 1829/2003;</w:t>
      </w:r>
    </w:p>
    <w:p w14:paraId="2B518B41" w14:textId="5A4B781D" w:rsidR="002D52EA" w:rsidRPr="0057485D" w:rsidRDefault="002D52EA" w:rsidP="002D52EA">
      <w:pPr>
        <w:pStyle w:val="NormalHanging12a"/>
      </w:pPr>
      <w:r w:rsidRPr="0057485D">
        <w:t>B.</w:t>
      </w:r>
      <w:r w:rsidRPr="0057485D">
        <w:tab/>
        <w:t>Considerando que a EFSA emitiu um parecer científico favorável em 12 de maio de 2025, concluindo que a beterraba GM é tão segura como os seus equivalentes convencionais</w:t>
      </w:r>
      <w:r w:rsidR="00F30B36" w:rsidRPr="0057485D">
        <w:t>; considerando que</w:t>
      </w:r>
      <w:r w:rsidRPr="0057485D">
        <w:t xml:space="preserve"> esse parecer não versou sobre vários impactos ambientais, socioeconómicos e cumulativos mais vastos, que a EFSA considera não serem da sua competência;</w:t>
      </w:r>
    </w:p>
    <w:p w14:paraId="7257FBC6" w14:textId="77777777" w:rsidR="002D52EA" w:rsidRPr="0057485D" w:rsidRDefault="002D52EA" w:rsidP="002D52EA">
      <w:pPr>
        <w:pStyle w:val="NormalHanging12a"/>
      </w:pPr>
      <w:r w:rsidRPr="0057485D">
        <w:t>C.</w:t>
      </w:r>
      <w:r w:rsidRPr="0057485D">
        <w:tab/>
        <w:t xml:space="preserve">Considerando que a beterraba GM foi desenvolvida para conferir tolerância aos herbicidas à base de glifosato, </w:t>
      </w:r>
      <w:proofErr w:type="spellStart"/>
      <w:r w:rsidRPr="0057485D">
        <w:t>dicamba</w:t>
      </w:r>
      <w:proofErr w:type="spellEnd"/>
      <w:r w:rsidRPr="0057485D">
        <w:t xml:space="preserve"> e </w:t>
      </w:r>
      <w:proofErr w:type="spellStart"/>
      <w:r w:rsidRPr="0057485D">
        <w:t>glufosinato</w:t>
      </w:r>
      <w:proofErr w:type="spellEnd"/>
      <w:r w:rsidRPr="0057485D">
        <w:noBreakHyphen/>
        <w:t>amónio;</w:t>
      </w:r>
    </w:p>
    <w:p w14:paraId="3462DFDB" w14:textId="77777777" w:rsidR="002D52EA" w:rsidRPr="0057485D" w:rsidRDefault="002D52EA" w:rsidP="002D52EA">
      <w:pPr>
        <w:pStyle w:val="NormalHanging12a"/>
      </w:pPr>
      <w:r w:rsidRPr="0057485D">
        <w:t>D.</w:t>
      </w:r>
      <w:r w:rsidRPr="0057485D">
        <w:tab/>
        <w:t xml:space="preserve">Considerando que a avaliação dos riscos realizada pela EFSA não incluiu estudos toxicológicos a longo prazo nem uma análise pormenorizada dos efeitos cumulativos e combinatórios, incluindo potenciais interações com resíduos de pesticidas comummente utilizados no cultivo da beterraba; </w:t>
      </w:r>
    </w:p>
    <w:p w14:paraId="50329106" w14:textId="2318511E" w:rsidR="002D52EA" w:rsidRPr="0057485D" w:rsidRDefault="002D52EA" w:rsidP="002D52EA">
      <w:pPr>
        <w:pStyle w:val="NormalHanging12a"/>
        <w:rPr>
          <w:color w:val="000000" w:themeColor="text1"/>
          <w:szCs w:val="24"/>
        </w:rPr>
      </w:pPr>
      <w:r w:rsidRPr="0057485D">
        <w:rPr>
          <w:color w:val="000000" w:themeColor="text1"/>
        </w:rPr>
        <w:t>E.</w:t>
      </w:r>
      <w:r w:rsidRPr="0057485D">
        <w:rPr>
          <w:color w:val="000000" w:themeColor="text1"/>
        </w:rPr>
        <w:tab/>
      </w:r>
      <w:r w:rsidRPr="0057485D">
        <w:t>Considerando que a grande maioria das culturas GM, notadamente a beterraba GM, foi geneticamente modificada para ser tolerante a um ou mais herbicidas complementares que podem ser utilizados ao longo de todo o cultivo da cultura GM sem originar a sua morte, como aconteceria com uma cultura que não tolera herbicidas</w:t>
      </w:r>
      <w:r w:rsidR="00F30B36" w:rsidRPr="0057485D">
        <w:t>; considerando que</w:t>
      </w:r>
      <w:r w:rsidRPr="0057485D">
        <w:rPr>
          <w:color w:val="000000" w:themeColor="text1"/>
        </w:rPr>
        <w:t xml:space="preserve"> vários estudos demonstram que as culturas GM tolerantes a herbicidas resultam numa maior utilização de herbicidas complementares, muito por causa do aparecimento de ervas daninhas tolerantes a herbicidas</w:t>
      </w:r>
      <w:r w:rsidRPr="0057485D">
        <w:rPr>
          <w:rStyle w:val="FootnoteReference"/>
          <w:color w:val="000000" w:themeColor="text1"/>
          <w:szCs w:val="24"/>
        </w:rPr>
        <w:footnoteReference w:id="5"/>
      </w:r>
      <w:r w:rsidRPr="0057485D">
        <w:rPr>
          <w:color w:val="000000" w:themeColor="text1"/>
        </w:rPr>
        <w:t>;</w:t>
      </w:r>
    </w:p>
    <w:p w14:paraId="3EF2836C" w14:textId="4B047CB8" w:rsidR="002D52EA" w:rsidRPr="0057485D" w:rsidRDefault="002D52EA" w:rsidP="002D52EA">
      <w:pPr>
        <w:spacing w:after="240"/>
        <w:ind w:left="567" w:hanging="567"/>
        <w:rPr>
          <w:szCs w:val="24"/>
        </w:rPr>
      </w:pPr>
      <w:r w:rsidRPr="0057485D">
        <w:t>F.</w:t>
      </w:r>
      <w:r w:rsidRPr="0057485D">
        <w:tab/>
        <w:t xml:space="preserve">Considerando que as culturas GM tolerantes a herbicidas prendem os agricultores a um </w:t>
      </w:r>
      <w:r w:rsidRPr="0057485D">
        <w:lastRenderedPageBreak/>
        <w:t>sistema de gestão de ervas daninhas que depende, em grande parte ou totalmente, de herbicidas, e isso acontece porque é cobrado um suplemento pelas sementes GM que só se justifica se os agricultores que compram essas sementes também recorrerem à pulverização com herbicidas complementares</w:t>
      </w:r>
      <w:r w:rsidR="00F30B36" w:rsidRPr="0057485D">
        <w:t>; considerando que</w:t>
      </w:r>
      <w:r w:rsidRPr="0057485D">
        <w:rPr>
          <w:color w:val="000000" w:themeColor="text1"/>
        </w:rPr>
        <w:t xml:space="preserve"> uma maior dependência de herbicidas complementares nas explorações dedicadas à cultura de beterraba GM acelerará o aparecimento e a propagação de ervas daninhas resistentes a esses herbicidas, o que desencadeia a necessidade de uma utilização ainda maior de herbicidas, conhecida como «círculo vicioso dos herbicidas»</w:t>
      </w:r>
      <w:r w:rsidR="00F30B36" w:rsidRPr="0057485D">
        <w:rPr>
          <w:color w:val="000000" w:themeColor="text1"/>
        </w:rPr>
        <w:t>; considerando que</w:t>
      </w:r>
      <w:r w:rsidRPr="0057485D">
        <w:rPr>
          <w:color w:val="000000" w:themeColor="text1"/>
        </w:rPr>
        <w:t>, consequentemente, os efeitos adversos decorrentes da dependência excessiva de herbicidas deteriorarão mais a saúde dos solos, a qualidade da água e a biodiversidade à superfície do solo e no subsolo e conduzirão a um aumento da exposição humana e animal, potencialmente também através do aumento dos resíduos de herbicidas nos géneros alimentícios e nos alimentos para animais</w:t>
      </w:r>
      <w:r w:rsidRPr="0057485D">
        <w:rPr>
          <w:rStyle w:val="FootnoteReference"/>
          <w:color w:val="000000" w:themeColor="text1"/>
          <w:szCs w:val="24"/>
        </w:rPr>
        <w:footnoteReference w:id="6"/>
      </w:r>
      <w:r w:rsidRPr="0057485D">
        <w:rPr>
          <w:color w:val="000000" w:themeColor="text1"/>
        </w:rPr>
        <w:t>;</w:t>
      </w:r>
    </w:p>
    <w:p w14:paraId="78A8A3D1" w14:textId="650CD058" w:rsidR="002D52EA" w:rsidRPr="0057485D" w:rsidRDefault="002D52EA" w:rsidP="002D52EA">
      <w:pPr>
        <w:pStyle w:val="NormalHanging12a"/>
      </w:pPr>
      <w:r w:rsidRPr="0057485D">
        <w:t>G.</w:t>
      </w:r>
      <w:r w:rsidRPr="0057485D">
        <w:tab/>
        <w:t>Considerando que subsistem sérias dúvidas quanto ao potencial carcinogénico do glifosato</w:t>
      </w:r>
      <w:r w:rsidR="00F30B36" w:rsidRPr="0057485D">
        <w:t>; considerando que</w:t>
      </w:r>
      <w:r w:rsidRPr="0057485D">
        <w:t>, em novembro de 2015, a EFSA concluiu que era improvável que o glifosato fosse cancerígeno e que, em março de 2017, a Agência Europeia dos Produtos Químicos concluiu que não se justificava a sua classificação como tal</w:t>
      </w:r>
      <w:r w:rsidR="00F30B36" w:rsidRPr="0057485D">
        <w:t>; considerando que</w:t>
      </w:r>
      <w:r w:rsidRPr="0057485D">
        <w:t>, pelo contrário, em 2015 o Centro Internacional de Investigação do Cancro, a agência da Organização Mundial da Saúde especializada nesta doença, classificou o glifosato como provavelmente cancerígeno para o ser humano</w:t>
      </w:r>
      <w:r w:rsidR="00F30B36" w:rsidRPr="0057485D">
        <w:t>; considerando que</w:t>
      </w:r>
      <w:r w:rsidRPr="0057485D">
        <w:t xml:space="preserve"> vários estudos científicos recentes revistos por pares confirmam o potencial carcinogénico do glifosato</w:t>
      </w:r>
      <w:r w:rsidRPr="0057485D">
        <w:rPr>
          <w:rStyle w:val="FootnoteReference"/>
        </w:rPr>
        <w:footnoteReference w:id="7"/>
      </w:r>
      <w:r w:rsidRPr="0057485D">
        <w:t>;</w:t>
      </w:r>
    </w:p>
    <w:p w14:paraId="78A1841B" w14:textId="52E60EB3" w:rsidR="002D52EA" w:rsidRPr="0057485D" w:rsidRDefault="002D52EA" w:rsidP="002D52EA">
      <w:pPr>
        <w:pStyle w:val="NormalHanging12a"/>
        <w:rPr>
          <w:szCs w:val="24"/>
        </w:rPr>
      </w:pPr>
      <w:r w:rsidRPr="0057485D">
        <w:t>H.</w:t>
      </w:r>
      <w:r w:rsidRPr="0057485D">
        <w:tab/>
        <w:t xml:space="preserve">Considerando que a </w:t>
      </w:r>
      <w:proofErr w:type="spellStart"/>
      <w:r w:rsidRPr="0057485D">
        <w:t>dicamba</w:t>
      </w:r>
      <w:proofErr w:type="spellEnd"/>
      <w:r w:rsidRPr="0057485D">
        <w:t xml:space="preserve"> é altamente volátil, o que significa que, uma vez aplicada, é propensa a volatilizar</w:t>
      </w:r>
      <w:r w:rsidRPr="0057485D">
        <w:noBreakHyphen/>
        <w:t>se e a libertar</w:t>
      </w:r>
      <w:r w:rsidRPr="0057485D">
        <w:noBreakHyphen/>
        <w:t>se para o ar e depois ser transportada pelo vento até à terra, expondo pessoas e animais, e plantas, vinhas, árvores e arbustos não visados a danos potenciais e graves, especialmente quando a exposição ocorre ao longo de vários anos</w:t>
      </w:r>
      <w:r w:rsidR="00F30B36" w:rsidRPr="0057485D">
        <w:t>; considerando que</w:t>
      </w:r>
      <w:r w:rsidRPr="0057485D">
        <w:rPr>
          <w:shd w:val="clear" w:color="auto" w:fill="FFFFFF"/>
        </w:rPr>
        <w:t xml:space="preserve"> a dispersão da </w:t>
      </w:r>
      <w:proofErr w:type="spellStart"/>
      <w:r w:rsidRPr="0057485D">
        <w:rPr>
          <w:shd w:val="clear" w:color="auto" w:fill="FFFFFF"/>
        </w:rPr>
        <w:t>dicamba</w:t>
      </w:r>
      <w:proofErr w:type="spellEnd"/>
      <w:r w:rsidRPr="0057485D">
        <w:rPr>
          <w:shd w:val="clear" w:color="auto" w:fill="FFFFFF"/>
        </w:rPr>
        <w:t xml:space="preserve"> e os danos causados às culturas, árvores e vinhas nas proximidades se tornaram um problema excessivamente divisório, pondo um grupo de agricultores contra outros agricultores e vizinhos rurais e desencadeando inúmeros litígios sobre culturas perdidas e custos de replantação; </w:t>
      </w:r>
    </w:p>
    <w:p w14:paraId="6755F153" w14:textId="5ECEC9AF" w:rsidR="002D52EA" w:rsidRPr="0057485D" w:rsidRDefault="002D52EA" w:rsidP="002D52EA">
      <w:pPr>
        <w:pStyle w:val="NormalWeb"/>
        <w:widowControl w:val="0"/>
        <w:spacing w:before="0" w:beforeAutospacing="0" w:after="240" w:afterAutospacing="0"/>
        <w:ind w:left="567" w:hanging="567"/>
      </w:pPr>
      <w:r w:rsidRPr="0057485D">
        <w:t>I.</w:t>
      </w:r>
      <w:r w:rsidRPr="0057485D">
        <w:tab/>
        <w:t xml:space="preserve">Considerando que o </w:t>
      </w:r>
      <w:proofErr w:type="spellStart"/>
      <w:r w:rsidRPr="0057485D">
        <w:t>glufosinato</w:t>
      </w:r>
      <w:proofErr w:type="spellEnd"/>
      <w:r w:rsidRPr="0057485D">
        <w:t xml:space="preserve"> está classificado como substância tóxica para a reprodução na categoria 1B e, por conseguinte, cumpre os «critérios de exclusão» estabelecidos no Regulamento (CE) n.º 1107/2009 do Parlamento Europeu e do Conselho</w:t>
      </w:r>
      <w:r w:rsidRPr="0057485D">
        <w:rPr>
          <w:rStyle w:val="FootnoteReference"/>
        </w:rPr>
        <w:footnoteReference w:id="8"/>
      </w:r>
      <w:r w:rsidR="00F30B36" w:rsidRPr="0057485D">
        <w:t>; considerando que</w:t>
      </w:r>
      <w:r w:rsidRPr="0057485D">
        <w:t xml:space="preserve"> a aprovação do </w:t>
      </w:r>
      <w:proofErr w:type="spellStart"/>
      <w:r w:rsidRPr="0057485D">
        <w:t>glufosinato</w:t>
      </w:r>
      <w:proofErr w:type="spellEnd"/>
      <w:r w:rsidRPr="0057485D">
        <w:t xml:space="preserve"> para efeitos de utilização na União expirou em 31 de julho de 2018;</w:t>
      </w:r>
    </w:p>
    <w:p w14:paraId="6717DE2F" w14:textId="77777777" w:rsidR="002D52EA" w:rsidRPr="0057485D" w:rsidRDefault="002D52EA" w:rsidP="002D52EA">
      <w:pPr>
        <w:spacing w:after="240"/>
        <w:ind w:left="567" w:hanging="567"/>
      </w:pPr>
      <w:r w:rsidRPr="0057485D">
        <w:t>J.</w:t>
      </w:r>
      <w:r w:rsidRPr="0057485D">
        <w:tab/>
        <w:t xml:space="preserve">Considerando que os ensaios de campo de apoio ao pedido foram realizados, </w:t>
      </w:r>
      <w:r w:rsidRPr="0057485D">
        <w:lastRenderedPageBreak/>
        <w:t xml:space="preserve">unicamente nos Estados Unidos, em condições geográficas e climáticas limitadas que não representam toda a diversidade das regiões de cultivo da beterraba, inclusive as fortemente afetadas por fatores de </w:t>
      </w:r>
      <w:r w:rsidRPr="0057485D">
        <w:rPr>
          <w:i/>
          <w:iCs/>
        </w:rPr>
        <w:t>stress</w:t>
      </w:r>
      <w:r w:rsidRPr="0057485D">
        <w:t xml:space="preserve"> relacionados com as alterações climáticas;</w:t>
      </w:r>
    </w:p>
    <w:p w14:paraId="19B39388" w14:textId="3E1C248D" w:rsidR="002D52EA" w:rsidRPr="0057485D" w:rsidRDefault="002D52EA" w:rsidP="002D52EA">
      <w:pPr>
        <w:pStyle w:val="NormalHanging12a"/>
      </w:pPr>
      <w:r w:rsidRPr="0057485D">
        <w:t>K.</w:t>
      </w:r>
      <w:r w:rsidRPr="0057485D">
        <w:tab/>
        <w:t>Considerando que as garantias de monitorização e de vigilância independentes dos potenciais efeitos adversos na biodiversidade, na saúde dos solos, nos polinizadores e nos organismos não visados continuam a ser insuficientes;</w:t>
      </w:r>
    </w:p>
    <w:p w14:paraId="192F95CF" w14:textId="77777777" w:rsidR="002D52EA" w:rsidRPr="0057485D" w:rsidRDefault="002D52EA" w:rsidP="002D52EA">
      <w:pPr>
        <w:spacing w:after="240"/>
        <w:ind w:left="567" w:hanging="567"/>
      </w:pPr>
      <w:r w:rsidRPr="0057485D">
        <w:t>L.</w:t>
      </w:r>
      <w:r w:rsidRPr="0057485D">
        <w:tab/>
        <w:t>Considerando que o princípio da precaução, consagrado no artigo 191.º do Tratado sobre o Funcionamento da União Europeia, deve ser aplicado em caso de incerteza jurídica;</w:t>
      </w:r>
    </w:p>
    <w:p w14:paraId="5192F207" w14:textId="77777777" w:rsidR="002D52EA" w:rsidRPr="0057485D" w:rsidRDefault="002D52EA" w:rsidP="002D52EA">
      <w:pPr>
        <w:spacing w:after="240"/>
        <w:ind w:left="567" w:hanging="567"/>
      </w:pPr>
      <w:r w:rsidRPr="0057485D">
        <w:t>M.</w:t>
      </w:r>
      <w:r w:rsidRPr="0057485D">
        <w:tab/>
        <w:t>Considerando que o Regulamento (CE) n.º 1829/2003 exige que os géneros alimentícios e os alimentos para animais GM não tenham efeitos nocivos para a saúde humana, a saúde animal ou o ambiente;</w:t>
      </w:r>
    </w:p>
    <w:p w14:paraId="0D5BC97E" w14:textId="77777777" w:rsidR="002D52EA" w:rsidRPr="0057485D" w:rsidRDefault="002D52EA" w:rsidP="002D52EA">
      <w:pPr>
        <w:pStyle w:val="NormalWeb"/>
        <w:widowControl w:val="0"/>
        <w:spacing w:before="0" w:beforeAutospacing="0" w:after="240" w:afterAutospacing="0"/>
        <w:ind w:left="567" w:hanging="567"/>
      </w:pPr>
      <w:r w:rsidRPr="0057485D">
        <w:t>N.</w:t>
      </w:r>
      <w:r w:rsidRPr="0057485D">
        <w:tab/>
        <w:t>Considerando que a autorização da União para a beterraba GM não seria coerente com os compromissos internacionais em matéria de redução de pesticidas</w:t>
      </w:r>
      <w:r w:rsidRPr="0057485D">
        <w:rPr>
          <w:vertAlign w:val="superscript"/>
        </w:rPr>
        <w:footnoteReference w:id="9"/>
      </w:r>
      <w:r w:rsidRPr="0057485D">
        <w:t xml:space="preserve">, tendo em conta o aumento da exposição humana, animal e ambiental ao glifosato, à </w:t>
      </w:r>
      <w:proofErr w:type="spellStart"/>
      <w:r w:rsidRPr="0057485D">
        <w:t>dicamba</w:t>
      </w:r>
      <w:proofErr w:type="spellEnd"/>
      <w:r w:rsidRPr="0057485D">
        <w:t xml:space="preserve"> e ao </w:t>
      </w:r>
      <w:proofErr w:type="spellStart"/>
      <w:r w:rsidRPr="0057485D">
        <w:t>glufosinato</w:t>
      </w:r>
      <w:proofErr w:type="spellEnd"/>
      <w:r w:rsidRPr="0057485D">
        <w:t xml:space="preserve"> nos países que cultivam esta cultura GM tolerante aos herbicidas, bem como as consequências potencialmente graves para a saúde;</w:t>
      </w:r>
    </w:p>
    <w:p w14:paraId="154D9D2D" w14:textId="77777777" w:rsidR="002D52EA" w:rsidRPr="0057485D" w:rsidRDefault="002D52EA" w:rsidP="002D52EA">
      <w:pPr>
        <w:spacing w:after="240"/>
        <w:ind w:left="567" w:hanging="567"/>
      </w:pPr>
      <w:r w:rsidRPr="0057485D">
        <w:t>O.</w:t>
      </w:r>
      <w:r w:rsidRPr="0057485D">
        <w:tab/>
        <w:t>Considerando que a Decisão de Execução da Comissão permitiria importar para a União produtos que não cumprem as normas respeitadas pelos agricultores da União, o que os deixaria numa situação de desvantagem concorrencial;</w:t>
      </w:r>
    </w:p>
    <w:p w14:paraId="5D9375E0" w14:textId="58B3173A" w:rsidR="002D52EA" w:rsidRPr="0057485D" w:rsidRDefault="002D52EA" w:rsidP="002D52EA">
      <w:pPr>
        <w:spacing w:after="240"/>
        <w:ind w:left="567" w:hanging="567"/>
      </w:pPr>
      <w:r w:rsidRPr="0057485D">
        <w:t>P.</w:t>
      </w:r>
      <w:r w:rsidRPr="0057485D">
        <w:tab/>
        <w:t>Considerando que, nas conclusões do Diálogo Estratégico sobre o Futuro da Agricultura na UE</w:t>
      </w:r>
      <w:r w:rsidRPr="0057485D">
        <w:rPr>
          <w:rStyle w:val="FootnoteReference"/>
        </w:rPr>
        <w:footnoteReference w:id="10"/>
      </w:r>
      <w:r w:rsidRPr="0057485D">
        <w:t>, se pede à Comissão que reavalie a sua abordagem em relação ao acesso ao mercado das importações e exportações de produtos agroalimentares tendo em conta o problema das divergências entre as normas da União e as dos seus parceiros comerciais</w:t>
      </w:r>
      <w:r w:rsidR="00F30B36" w:rsidRPr="0057485D">
        <w:t>; considerando que</w:t>
      </w:r>
      <w:r w:rsidRPr="0057485D">
        <w:t>, durante as manifestações de 2023 e 2024, uma das principais reivindicações dos agricultores foi o estabelecimento de relações comerciais mais justas à escala mundial e consentâneas com os objetivos relativos a um ambiente saudável;</w:t>
      </w:r>
    </w:p>
    <w:p w14:paraId="7D1E0ADB" w14:textId="77777777" w:rsidR="002D52EA" w:rsidRPr="0057485D" w:rsidRDefault="002D52EA" w:rsidP="002D52EA">
      <w:pPr>
        <w:spacing w:after="240"/>
        <w:ind w:left="567" w:hanging="567"/>
      </w:pPr>
      <w:r w:rsidRPr="0057485D">
        <w:t>Q.</w:t>
      </w:r>
      <w:r w:rsidRPr="0057485D">
        <w:tab/>
        <w:t>Considerando que, no intuito de resolver o défice democrático persistente, o Parlamento tem repetidamente frisado que a Comissão não deve autorizar OGM nos casos em que não seja alcançada uma maioria qualificada pelos Estados</w:t>
      </w:r>
      <w:r w:rsidRPr="0057485D">
        <w:noBreakHyphen/>
        <w:t>Membros no Comité Permanente dos Vegetais, Animais e Alimentos para Consumo Humano e Animal ou no Comité de Recurso;</w:t>
      </w:r>
    </w:p>
    <w:p w14:paraId="049376C3" w14:textId="77777777" w:rsidR="002D52EA" w:rsidRPr="0057485D" w:rsidRDefault="002D52EA" w:rsidP="002D52EA">
      <w:pPr>
        <w:pStyle w:val="NormalWeb"/>
        <w:widowControl w:val="0"/>
        <w:shd w:val="clear" w:color="auto" w:fill="FFFFFF"/>
        <w:spacing w:before="0" w:beforeAutospacing="0" w:after="240" w:afterAutospacing="0"/>
        <w:ind w:left="567" w:hanging="567"/>
        <w:rPr>
          <w:color w:val="000000" w:themeColor="text1"/>
        </w:rPr>
      </w:pPr>
      <w:r w:rsidRPr="0057485D">
        <w:rPr>
          <w:color w:val="000000" w:themeColor="text1"/>
        </w:rPr>
        <w:t>R.</w:t>
      </w:r>
      <w:r w:rsidRPr="0057485D">
        <w:rPr>
          <w:color w:val="000000" w:themeColor="text1"/>
        </w:rPr>
        <w:tab/>
        <w:t>Considerando que, apesar de reconhecer a existência de lacunas democráticas, bem como a falta de apoio dos Estados</w:t>
      </w:r>
      <w:r w:rsidRPr="0057485D">
        <w:rPr>
          <w:color w:val="000000" w:themeColor="text1"/>
        </w:rPr>
        <w:noBreakHyphen/>
        <w:t>Membros e as objeções do Parlamento, a Comissão continua a autorizar OGM;</w:t>
      </w:r>
    </w:p>
    <w:p w14:paraId="283FCC6A" w14:textId="77777777" w:rsidR="002D52EA" w:rsidRPr="0057485D" w:rsidRDefault="002D52EA" w:rsidP="002D52EA">
      <w:pPr>
        <w:spacing w:after="240"/>
        <w:ind w:left="567" w:hanging="567"/>
      </w:pPr>
      <w:r w:rsidRPr="0057485D">
        <w:t>S.</w:t>
      </w:r>
      <w:r w:rsidRPr="0057485D">
        <w:tab/>
        <w:t xml:space="preserve">Considerando que a abordagem «Uma Só Saúde» exige que se tenha em conta a </w:t>
      </w:r>
      <w:r w:rsidRPr="0057485D">
        <w:lastRenderedPageBreak/>
        <w:t>interdependência entre a saúde humana, animal, vegetal e ambiental ao avaliar a sustentabilidade e a segurança a longo prazo dos OGM;</w:t>
      </w:r>
    </w:p>
    <w:p w14:paraId="3291D37A" w14:textId="77777777" w:rsidR="002D52EA" w:rsidRPr="0057485D" w:rsidRDefault="002D52EA" w:rsidP="002D52EA">
      <w:pPr>
        <w:spacing w:after="240"/>
        <w:ind w:left="567" w:hanging="567"/>
      </w:pPr>
      <w:r w:rsidRPr="0057485D">
        <w:t>1.</w:t>
      </w:r>
      <w:r w:rsidRPr="0057485D">
        <w:tab/>
        <w:t>Entende que o projeto de decisão de execução da Comissão excede as competências de execução previstas no Regulamento (CE) n.º 1829/2003;</w:t>
      </w:r>
    </w:p>
    <w:p w14:paraId="1F6AC86A" w14:textId="77777777" w:rsidR="002D52EA" w:rsidRPr="0057485D" w:rsidRDefault="002D52EA" w:rsidP="002D52EA">
      <w:pPr>
        <w:spacing w:after="240"/>
        <w:ind w:left="567" w:hanging="567"/>
      </w:pPr>
      <w:r w:rsidRPr="0057485D">
        <w:t>2.</w:t>
      </w:r>
      <w:r w:rsidRPr="0057485D">
        <w:tab/>
        <w:t>Considera que o projeto de decisão de execução da Comissão não está em conformidade com o direito da União, na medida em que é incompatível com o objetivo do Regulamento (CE) n.º 1829/2003, o qual, de acordo com os princípios gerais estabelecidos no Regulamento (CE) n.º 178/2002 do Parlamento Europeu e do Conselho</w:t>
      </w:r>
      <w:r w:rsidRPr="0057485D">
        <w:rPr>
          <w:vertAlign w:val="superscript"/>
        </w:rPr>
        <w:footnoteReference w:id="11"/>
      </w:r>
      <w:r w:rsidRPr="0057485D">
        <w:t>, consiste em estabelecer uma base para garantir um nível elevado de proteção da vida e da saúde humanas, da saúde e do bem</w:t>
      </w:r>
      <w:r w:rsidRPr="0057485D">
        <w:noBreakHyphen/>
        <w:t>estar dos animais, do ambiente e dos interesses dos consumidores no que diz respeito aos géneros alimentícios e alimentos para animais GM e, do mesmo passo, assegurar o funcionamento eficaz do mercado interno;</w:t>
      </w:r>
    </w:p>
    <w:p w14:paraId="5E973CDC" w14:textId="77777777" w:rsidR="002D52EA" w:rsidRPr="0057485D" w:rsidRDefault="002D52EA" w:rsidP="002D52EA">
      <w:pPr>
        <w:spacing w:after="240"/>
        <w:ind w:left="567" w:hanging="567"/>
      </w:pPr>
      <w:r w:rsidRPr="0057485D">
        <w:t>3.</w:t>
      </w:r>
      <w:r w:rsidRPr="0057485D">
        <w:tab/>
        <w:t>Solicita à Comissão que retire a sua Decisão de Execução;</w:t>
      </w:r>
    </w:p>
    <w:p w14:paraId="6B06A028" w14:textId="77777777" w:rsidR="002D52EA" w:rsidRPr="0057485D" w:rsidRDefault="002D52EA" w:rsidP="002D52EA">
      <w:pPr>
        <w:spacing w:after="240"/>
        <w:ind w:left="567" w:hanging="567"/>
      </w:pPr>
      <w:r w:rsidRPr="0057485D">
        <w:t>4.</w:t>
      </w:r>
      <w:r w:rsidRPr="0057485D">
        <w:tab/>
        <w:t>Exorta a Comissão a não autorizar a beterraba GM por não haver provas suficientes sobre os efeitos a longo prazo na biodiversidade, na segurança alimentar, nos meios de subsistência dos agricultores e na saúde animal, em consonância com a abordagem «Uma Só Saúde»;</w:t>
      </w:r>
    </w:p>
    <w:p w14:paraId="783B0F5F" w14:textId="77777777" w:rsidR="002D52EA" w:rsidRPr="0057485D" w:rsidRDefault="002D52EA" w:rsidP="002D52EA">
      <w:pPr>
        <w:spacing w:after="240"/>
        <w:ind w:left="567" w:hanging="567"/>
      </w:pPr>
      <w:r w:rsidRPr="0057485D">
        <w:t>5.</w:t>
      </w:r>
      <w:r w:rsidRPr="0057485D">
        <w:tab/>
        <w:t>Solicita à Comissão que apresente, sem demora, uma proposta legislativa com vista à revisão do processo de tomada de decisão relativo aos OGM, a fim de dar resposta às objeções reiteradas do Parlamento e à falta de apoio por maioria qualificada entre os Estados</w:t>
      </w:r>
      <w:r w:rsidRPr="0057485D">
        <w:noBreakHyphen/>
        <w:t>Membros;</w:t>
      </w:r>
    </w:p>
    <w:p w14:paraId="0CC99EA2" w14:textId="77777777" w:rsidR="002D52EA" w:rsidRPr="0057485D" w:rsidRDefault="002D52EA" w:rsidP="002D52EA">
      <w:pPr>
        <w:spacing w:after="240"/>
        <w:ind w:left="567" w:hanging="567"/>
      </w:pPr>
      <w:r w:rsidRPr="0057485D">
        <w:t>6.</w:t>
      </w:r>
      <w:r w:rsidRPr="0057485D">
        <w:tab/>
        <w:t xml:space="preserve">Realça, a este respeito, que autorizar a importação para utilização na alimentação humana ou animal de qualquer planta GM que se tenha tornado tolerante a herbicidas proibidos na União, como o </w:t>
      </w:r>
      <w:proofErr w:type="spellStart"/>
      <w:r w:rsidRPr="0057485D">
        <w:t>glufosinato</w:t>
      </w:r>
      <w:proofErr w:type="spellEnd"/>
      <w:r w:rsidRPr="0057485D">
        <w:t>, é incompatível com os compromissos internacionais da União ao abrigo, nomeadamente, da Convenção das Nações Unidas sobre a Diversidade Biológica e dos Objetivos de Desenvolvimento Sustentável das Nações Unidas, incluindo o Quadro de Kunming</w:t>
      </w:r>
      <w:r w:rsidRPr="0057485D">
        <w:noBreakHyphen/>
        <w:t>Montreal, e cria condições de concorrência desiguais para os agricultores da União;</w:t>
      </w:r>
    </w:p>
    <w:p w14:paraId="7573BAE2" w14:textId="461BEAC8" w:rsidR="00E365E1" w:rsidRPr="0057485D" w:rsidRDefault="002D52EA" w:rsidP="0057485D">
      <w:pPr>
        <w:spacing w:after="240"/>
        <w:ind w:left="567" w:hanging="567"/>
      </w:pPr>
      <w:r w:rsidRPr="0057485D">
        <w:t>7.</w:t>
      </w:r>
      <w:r w:rsidRPr="0057485D">
        <w:tab/>
        <w:t>Encarrega a sua Presidente de transmitir a presente resolução ao Conselho, à Comissão e aos governos e parlamentos dos Estados</w:t>
      </w:r>
      <w:r w:rsidRPr="0057485D">
        <w:noBreakHyphen/>
        <w:t>Membros.</w:t>
      </w:r>
    </w:p>
    <w:sectPr w:rsidR="00E365E1" w:rsidRPr="0057485D" w:rsidSect="00AD4E44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90C3DE" w14:textId="77777777" w:rsidR="001D793F" w:rsidRPr="00AD4E44" w:rsidRDefault="001D793F">
      <w:r w:rsidRPr="00AD4E44">
        <w:separator/>
      </w:r>
    </w:p>
  </w:endnote>
  <w:endnote w:type="continuationSeparator" w:id="0">
    <w:p w14:paraId="4D978D3C" w14:textId="77777777" w:rsidR="001D793F" w:rsidRPr="00AD4E44" w:rsidRDefault="001D793F">
      <w:r w:rsidRPr="00AD4E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01FBAC" w14:textId="77777777" w:rsidR="001D793F" w:rsidRPr="00AD4E44" w:rsidRDefault="001D793F">
      <w:r w:rsidRPr="00AD4E44">
        <w:separator/>
      </w:r>
    </w:p>
  </w:footnote>
  <w:footnote w:type="continuationSeparator" w:id="0">
    <w:p w14:paraId="1AF23280" w14:textId="77777777" w:rsidR="001D793F" w:rsidRPr="00AD4E44" w:rsidRDefault="001D793F">
      <w:r w:rsidRPr="00AD4E44">
        <w:continuationSeparator/>
      </w:r>
    </w:p>
  </w:footnote>
  <w:footnote w:id="1">
    <w:p w14:paraId="3CBF2F5C" w14:textId="6709F3F1" w:rsidR="002D52EA" w:rsidRPr="0057485D" w:rsidRDefault="002D52EA" w:rsidP="00AD4E44">
      <w:pPr>
        <w:pStyle w:val="FootnoteText"/>
        <w:suppressAutoHyphens/>
        <w:ind w:left="567" w:hanging="567"/>
        <w:rPr>
          <w:sz w:val="24"/>
          <w:lang w:val="da-DK"/>
        </w:rPr>
      </w:pPr>
      <w:r w:rsidRPr="00AD4E44">
        <w:rPr>
          <w:rStyle w:val="FootnoteReference"/>
          <w:sz w:val="24"/>
          <w:lang w:val="pt-PT"/>
        </w:rPr>
        <w:footnoteRef/>
      </w:r>
      <w:r w:rsidR="00AD4E44" w:rsidRPr="0057485D">
        <w:rPr>
          <w:sz w:val="24"/>
          <w:lang w:val="da-DK"/>
        </w:rPr>
        <w:t xml:space="preserve"> </w:t>
      </w:r>
      <w:r w:rsidR="00AD4E44" w:rsidRPr="0057485D">
        <w:rPr>
          <w:sz w:val="24"/>
          <w:lang w:val="da-DK"/>
        </w:rPr>
        <w:tab/>
      </w:r>
      <w:r w:rsidRPr="0057485D">
        <w:rPr>
          <w:sz w:val="24"/>
          <w:lang w:val="da-DK"/>
        </w:rPr>
        <w:t>JO L 268 de 18.10.2003, p. 1, ELI: </w:t>
      </w:r>
      <w:hyperlink r:id="rId1" w:tooltip="Permite aceder ao documento através do seu identificador ELI." w:history="1">
        <w:r w:rsidRPr="0057485D">
          <w:rPr>
            <w:rStyle w:val="Hyperlink"/>
            <w:sz w:val="24"/>
            <w:lang w:val="da-DK"/>
          </w:rPr>
          <w:t>http://data.europa.eu/eli/reg/2003/1829/oj</w:t>
        </w:r>
      </w:hyperlink>
      <w:r w:rsidRPr="0057485D">
        <w:rPr>
          <w:rStyle w:val="Hyperlink"/>
          <w:sz w:val="24"/>
          <w:lang w:val="da-DK"/>
        </w:rPr>
        <w:t>.</w:t>
      </w:r>
    </w:p>
  </w:footnote>
  <w:footnote w:id="2">
    <w:p w14:paraId="0D889DD6" w14:textId="27B21C19" w:rsidR="002D52EA" w:rsidRPr="00AD4E44" w:rsidRDefault="002D52EA" w:rsidP="00AD4E44">
      <w:pPr>
        <w:pStyle w:val="FootnoteText"/>
        <w:ind w:left="567" w:hanging="567"/>
        <w:rPr>
          <w:sz w:val="24"/>
          <w:lang w:val="pt-PT"/>
        </w:rPr>
      </w:pPr>
      <w:r w:rsidRPr="00AD4E44">
        <w:rPr>
          <w:rStyle w:val="FootnoteReference"/>
          <w:sz w:val="24"/>
          <w:lang w:val="pt-PT"/>
        </w:rPr>
        <w:footnoteRef/>
      </w:r>
      <w:r w:rsidR="00AD4E44" w:rsidRPr="00AD4E44">
        <w:rPr>
          <w:sz w:val="24"/>
          <w:lang w:val="pt-PT"/>
        </w:rPr>
        <w:t xml:space="preserve"> </w:t>
      </w:r>
      <w:r w:rsidR="00AD4E44" w:rsidRPr="00AD4E44">
        <w:rPr>
          <w:sz w:val="24"/>
          <w:lang w:val="pt-PT"/>
        </w:rPr>
        <w:tab/>
      </w:r>
      <w:r w:rsidRPr="00AD4E44">
        <w:rPr>
          <w:sz w:val="24"/>
          <w:lang w:val="pt-PT"/>
        </w:rPr>
        <w:t xml:space="preserve">JO L 55 de 28.2.2011, p. 13, ELI: </w:t>
      </w:r>
      <w:hyperlink r:id="rId2" w:history="1">
        <w:r w:rsidRPr="00AD4E44">
          <w:rPr>
            <w:rStyle w:val="Hyperlink"/>
            <w:sz w:val="24"/>
            <w:lang w:val="pt-PT"/>
          </w:rPr>
          <w:t>http://data.europa.eu/eli/reg/2011/182/oj</w:t>
        </w:r>
      </w:hyperlink>
      <w:r w:rsidRPr="00AD4E44">
        <w:rPr>
          <w:sz w:val="24"/>
          <w:lang w:val="pt-PT"/>
        </w:rPr>
        <w:t>.</w:t>
      </w:r>
    </w:p>
  </w:footnote>
  <w:footnote w:id="3">
    <w:p w14:paraId="4D1BE42C" w14:textId="1F101AA3" w:rsidR="002D52EA" w:rsidRPr="0057485D" w:rsidRDefault="002D52EA" w:rsidP="00AD4E44">
      <w:pPr>
        <w:pStyle w:val="FootnoteText"/>
        <w:suppressAutoHyphens/>
        <w:ind w:left="567" w:hanging="567"/>
        <w:rPr>
          <w:sz w:val="24"/>
          <w:lang w:val="nl-NL"/>
        </w:rPr>
      </w:pPr>
      <w:r w:rsidRPr="00AD4E44">
        <w:rPr>
          <w:rStyle w:val="FootnoteReference"/>
          <w:sz w:val="24"/>
          <w:lang w:val="pt-PT"/>
        </w:rPr>
        <w:footnoteRef/>
      </w:r>
      <w:r w:rsidR="00AD4E44" w:rsidRPr="00AD4E44">
        <w:rPr>
          <w:sz w:val="24"/>
          <w:lang w:val="pt-PT"/>
        </w:rPr>
        <w:t xml:space="preserve"> </w:t>
      </w:r>
      <w:r w:rsidR="00AD4E44" w:rsidRPr="00AD4E44">
        <w:rPr>
          <w:sz w:val="24"/>
          <w:lang w:val="pt-PT"/>
        </w:rPr>
        <w:tab/>
      </w:r>
      <w:r w:rsidRPr="00AD4E44">
        <w:rPr>
          <w:sz w:val="24"/>
          <w:lang w:val="pt-PT"/>
        </w:rPr>
        <w:t>Parecer científico do painel dos organismos geneticamente modificados da EFSA intitulado «</w:t>
      </w:r>
      <w:proofErr w:type="spellStart"/>
      <w:r w:rsidRPr="00AD4E44">
        <w:rPr>
          <w:sz w:val="24"/>
          <w:lang w:val="pt-PT"/>
        </w:rPr>
        <w:t>Assessment</w:t>
      </w:r>
      <w:proofErr w:type="spellEnd"/>
      <w:r w:rsidRPr="00AD4E44">
        <w:rPr>
          <w:sz w:val="24"/>
          <w:lang w:val="pt-PT"/>
        </w:rPr>
        <w:t xml:space="preserve"> </w:t>
      </w:r>
      <w:proofErr w:type="spellStart"/>
      <w:r w:rsidRPr="00AD4E44">
        <w:rPr>
          <w:sz w:val="24"/>
          <w:lang w:val="pt-PT"/>
        </w:rPr>
        <w:t>of</w:t>
      </w:r>
      <w:proofErr w:type="spellEnd"/>
      <w:r w:rsidRPr="00AD4E44">
        <w:rPr>
          <w:sz w:val="24"/>
          <w:lang w:val="pt-PT"/>
        </w:rPr>
        <w:t xml:space="preserve"> </w:t>
      </w:r>
      <w:proofErr w:type="spellStart"/>
      <w:r w:rsidRPr="00AD4E44">
        <w:rPr>
          <w:sz w:val="24"/>
          <w:lang w:val="pt-PT"/>
        </w:rPr>
        <w:t>genetically</w:t>
      </w:r>
      <w:proofErr w:type="spellEnd"/>
      <w:r w:rsidRPr="00AD4E44">
        <w:rPr>
          <w:sz w:val="24"/>
          <w:lang w:val="pt-PT"/>
        </w:rPr>
        <w:t xml:space="preserve"> </w:t>
      </w:r>
      <w:proofErr w:type="spellStart"/>
      <w:r w:rsidRPr="00AD4E44">
        <w:rPr>
          <w:sz w:val="24"/>
          <w:lang w:val="pt-PT"/>
        </w:rPr>
        <w:t>modified</w:t>
      </w:r>
      <w:proofErr w:type="spellEnd"/>
      <w:r w:rsidRPr="00AD4E44">
        <w:rPr>
          <w:sz w:val="24"/>
          <w:lang w:val="pt-PT"/>
        </w:rPr>
        <w:t xml:space="preserve"> sugar </w:t>
      </w:r>
      <w:proofErr w:type="spellStart"/>
      <w:r w:rsidRPr="00AD4E44">
        <w:rPr>
          <w:sz w:val="24"/>
          <w:lang w:val="pt-PT"/>
        </w:rPr>
        <w:t>beet</w:t>
      </w:r>
      <w:proofErr w:type="spellEnd"/>
      <w:r w:rsidRPr="00AD4E44">
        <w:rPr>
          <w:sz w:val="24"/>
          <w:lang w:val="pt-PT"/>
        </w:rPr>
        <w:t xml:space="preserve"> KWS20</w:t>
      </w:r>
      <w:r w:rsidRPr="00AD4E44">
        <w:rPr>
          <w:sz w:val="24"/>
          <w:lang w:val="pt-PT"/>
        </w:rPr>
        <w:noBreakHyphen/>
        <w:t>1 (</w:t>
      </w:r>
      <w:proofErr w:type="spellStart"/>
      <w:r w:rsidRPr="00AD4E44">
        <w:rPr>
          <w:sz w:val="24"/>
          <w:lang w:val="pt-PT"/>
        </w:rPr>
        <w:t>application</w:t>
      </w:r>
      <w:proofErr w:type="spellEnd"/>
      <w:r w:rsidRPr="00AD4E44">
        <w:rPr>
          <w:sz w:val="24"/>
          <w:lang w:val="pt-PT"/>
        </w:rPr>
        <w:t xml:space="preserve"> GMFF</w:t>
      </w:r>
      <w:r w:rsidRPr="00AD4E44">
        <w:rPr>
          <w:sz w:val="24"/>
          <w:lang w:val="pt-PT"/>
        </w:rPr>
        <w:noBreakHyphen/>
        <w:t>2023</w:t>
      </w:r>
      <w:r w:rsidRPr="00AD4E44">
        <w:rPr>
          <w:sz w:val="24"/>
          <w:lang w:val="pt-PT"/>
        </w:rPr>
        <w:noBreakHyphen/>
        <w:t>14732)» [Avaliação da beterraba geneticamente modificada KWS20</w:t>
      </w:r>
      <w:r w:rsidRPr="00AD4E44">
        <w:rPr>
          <w:sz w:val="24"/>
          <w:lang w:val="pt-PT"/>
        </w:rPr>
        <w:noBreakHyphen/>
        <w:t>1 (pedido GMFF</w:t>
      </w:r>
      <w:r w:rsidRPr="00AD4E44">
        <w:rPr>
          <w:sz w:val="24"/>
          <w:lang w:val="pt-PT"/>
        </w:rPr>
        <w:noBreakHyphen/>
        <w:t>2023</w:t>
      </w:r>
      <w:r w:rsidRPr="00AD4E44">
        <w:rPr>
          <w:sz w:val="24"/>
          <w:lang w:val="pt-PT"/>
        </w:rPr>
        <w:noBreakHyphen/>
        <w:t xml:space="preserve">14732)]. </w:t>
      </w:r>
      <w:r w:rsidRPr="0057485D">
        <w:rPr>
          <w:sz w:val="24"/>
          <w:lang w:val="nl-NL"/>
        </w:rPr>
        <w:t xml:space="preserve">EFSA Journal, vol. 23, </w:t>
      </w:r>
      <w:proofErr w:type="gramStart"/>
      <w:r w:rsidRPr="0057485D">
        <w:rPr>
          <w:sz w:val="24"/>
          <w:lang w:val="nl-NL"/>
        </w:rPr>
        <w:t>n.º</w:t>
      </w:r>
      <w:proofErr w:type="gramEnd"/>
      <w:r w:rsidRPr="0057485D">
        <w:rPr>
          <w:sz w:val="24"/>
          <w:lang w:val="nl-NL"/>
        </w:rPr>
        <w:t xml:space="preserve"> 5, </w:t>
      </w:r>
      <w:proofErr w:type="spellStart"/>
      <w:r w:rsidRPr="0057485D">
        <w:rPr>
          <w:sz w:val="24"/>
          <w:lang w:val="nl-NL"/>
        </w:rPr>
        <w:t>artigo</w:t>
      </w:r>
      <w:proofErr w:type="spellEnd"/>
      <w:r w:rsidRPr="0057485D">
        <w:rPr>
          <w:sz w:val="24"/>
          <w:lang w:val="nl-NL"/>
        </w:rPr>
        <w:t> 9381, 2025,</w:t>
      </w:r>
      <w:hyperlink r:id="rId3" w:history="1">
        <w:r w:rsidRPr="0057485D">
          <w:rPr>
            <w:rStyle w:val="Hyperlink"/>
            <w:sz w:val="24"/>
            <w:lang w:val="nl-NL"/>
          </w:rPr>
          <w:t>https://doi.org/10.2903/j.efsa.2025.9381</w:t>
        </w:r>
      </w:hyperlink>
      <w:r w:rsidRPr="0057485D">
        <w:rPr>
          <w:sz w:val="24"/>
          <w:lang w:val="nl-NL"/>
        </w:rPr>
        <w:t>.</w:t>
      </w:r>
    </w:p>
  </w:footnote>
  <w:footnote w:id="4">
    <w:p w14:paraId="420D4620" w14:textId="2F337979" w:rsidR="002D52EA" w:rsidRPr="00AD4E44" w:rsidRDefault="002D52EA" w:rsidP="00AD4E44">
      <w:pPr>
        <w:pStyle w:val="FootnoteText"/>
        <w:suppressAutoHyphens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AD4E44">
        <w:rPr>
          <w:rStyle w:val="FootnoteReference"/>
          <w:sz w:val="24"/>
          <w:lang w:val="pt-PT"/>
        </w:rPr>
        <w:footnoteRef/>
      </w:r>
      <w:r w:rsidR="00AD4E44" w:rsidRPr="00AD4E44">
        <w:rPr>
          <w:sz w:val="24"/>
          <w:lang w:val="pt-PT"/>
        </w:rPr>
        <w:t xml:space="preserve"> </w:t>
      </w:r>
      <w:r w:rsidR="00AD4E44" w:rsidRPr="00AD4E44">
        <w:rPr>
          <w:sz w:val="24"/>
          <w:lang w:val="pt-PT"/>
        </w:rPr>
        <w:tab/>
      </w:r>
      <w:r w:rsidRPr="00AD4E44">
        <w:rPr>
          <w:sz w:val="24"/>
          <w:lang w:val="pt-PT"/>
        </w:rPr>
        <w:t>O Parlamento aprovou, na sua 8.ª legislatura, 36 resoluções e, na sua 9.ª legislatura, 38 resoluções em que se opôs à autorização de OGM.</w:t>
      </w:r>
      <w:r w:rsidRPr="00AD4E44">
        <w:rPr>
          <w:color w:val="000000" w:themeColor="text1"/>
          <w:sz w:val="24"/>
          <w:lang w:val="pt-PT"/>
        </w:rPr>
        <w:t xml:space="preserve"> Além disso, na sua 10.ª legislatura, o Parlamento aprovou as seguintes resoluções:</w:t>
      </w:r>
    </w:p>
    <w:p w14:paraId="124800CF" w14:textId="698EFC63" w:rsidR="002D52EA" w:rsidRPr="00AD4E44" w:rsidRDefault="002D52EA" w:rsidP="00AD4E44">
      <w:pPr>
        <w:pStyle w:val="FootnoteText"/>
        <w:suppressAutoHyphens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AD4E44">
        <w:rPr>
          <w:color w:val="000000" w:themeColor="text1"/>
          <w:sz w:val="24"/>
          <w:lang w:val="pt-PT"/>
        </w:rPr>
        <w:t>–</w:t>
      </w:r>
      <w:r w:rsidRPr="00AD4E44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(UE) 2024/2628 da Comissão que renova a autorização de colocação no mercado de produtos que contenham, sejam constituídos por ou produzidos a partir de milho geneticamente modificado MON 89034 × 1507 × NK603, nos termos do Regulamento (CE) n.º 1829/2003 do Parlamento Europeu e do Conselho (JO C, C/2025/1798, 4.4.2025, ELI: </w:t>
      </w:r>
      <w:hyperlink r:id="rId4" w:history="1">
        <w:r w:rsidRPr="00AD4E44">
          <w:rPr>
            <w:rStyle w:val="Hyperlink"/>
            <w:sz w:val="24"/>
            <w:lang w:val="pt-PT"/>
          </w:rPr>
          <w:t>http://data.europa.eu/eli/C/2025/1797/oj</w:t>
        </w:r>
      </w:hyperlink>
      <w:r w:rsidRPr="00AD4E44">
        <w:rPr>
          <w:color w:val="000000" w:themeColor="text1"/>
          <w:sz w:val="24"/>
          <w:lang w:val="pt-PT"/>
        </w:rPr>
        <w:t>).</w:t>
      </w:r>
    </w:p>
    <w:p w14:paraId="6F53CE1A" w14:textId="2D754685" w:rsidR="002D52EA" w:rsidRPr="00AD4E44" w:rsidRDefault="002D52EA" w:rsidP="00AD4E44">
      <w:pPr>
        <w:pStyle w:val="FootnoteText"/>
        <w:suppressAutoHyphens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AD4E44">
        <w:rPr>
          <w:color w:val="000000" w:themeColor="text1"/>
          <w:sz w:val="24"/>
          <w:lang w:val="pt-PT"/>
        </w:rPr>
        <w:t>–</w:t>
      </w:r>
      <w:r w:rsidRPr="00AD4E44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da Comissão (UE) 2024/2627 que autoriza a colocação no mercado de produtos que contenham, sejam constituídos por, ou produzidos a partir de algodão geneticamente modificado COT102 nos termos do Regulamento (CE) n.º 1829/2003 do Parlamento Europeu e do Conselho (JO C, C/2025/1798, 4.4.2025, ELI: </w:t>
      </w:r>
      <w:hyperlink r:id="rId5" w:history="1">
        <w:r w:rsidRPr="00AD4E44">
          <w:rPr>
            <w:rStyle w:val="Hyperlink"/>
            <w:sz w:val="24"/>
            <w:lang w:val="pt-PT"/>
          </w:rPr>
          <w:t>http://data.europa.eu/eli/C/2025/1798/oj</w:t>
        </w:r>
      </w:hyperlink>
      <w:r w:rsidRPr="00AD4E44">
        <w:rPr>
          <w:color w:val="000000" w:themeColor="text1"/>
          <w:sz w:val="24"/>
          <w:lang w:val="pt-PT"/>
        </w:rPr>
        <w:t>).</w:t>
      </w:r>
    </w:p>
    <w:p w14:paraId="7D16B187" w14:textId="071F2D05" w:rsidR="002D52EA" w:rsidRPr="00AD4E44" w:rsidRDefault="002D52EA" w:rsidP="00AD4E44">
      <w:pPr>
        <w:pStyle w:val="FootnoteText"/>
        <w:suppressAutoHyphens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AD4E44">
        <w:rPr>
          <w:color w:val="000000" w:themeColor="text1"/>
          <w:sz w:val="24"/>
          <w:lang w:val="pt-PT"/>
        </w:rPr>
        <w:t>–</w:t>
      </w:r>
      <w:r w:rsidRPr="00AD4E44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da Comissão (UE) 2024/2629 que renova a autorização de colocação no mercado de produtos que contenham, sejam constituídos por ou sejam produzidos a partir de milho geneticamente modificado MON 89034 × 1507 × MON 88017 × 59122 e oito das suas </w:t>
      </w:r>
      <w:proofErr w:type="spellStart"/>
      <w:r w:rsidRPr="00AD4E44">
        <w:rPr>
          <w:color w:val="000000" w:themeColor="text1"/>
          <w:sz w:val="24"/>
          <w:lang w:val="pt-PT"/>
        </w:rPr>
        <w:t>subcombinações</w:t>
      </w:r>
      <w:proofErr w:type="spellEnd"/>
      <w:r w:rsidRPr="00AD4E44">
        <w:rPr>
          <w:color w:val="000000" w:themeColor="text1"/>
          <w:sz w:val="24"/>
          <w:lang w:val="pt-PT"/>
        </w:rPr>
        <w:t xml:space="preserve">, nos termos do Regulamento (CE) n.º 1829/2003 do Parlamento Europeu e do Conselho (JO C, C/2025/1799, 4.4.2025, ELI: </w:t>
      </w:r>
      <w:hyperlink r:id="rId6" w:history="1">
        <w:r w:rsidRPr="00AD4E44">
          <w:rPr>
            <w:rStyle w:val="Hyperlink"/>
            <w:sz w:val="24"/>
            <w:lang w:val="pt-PT"/>
          </w:rPr>
          <w:t>http://data.europa.eu/eli/C/2025/1799/oj</w:t>
        </w:r>
      </w:hyperlink>
      <w:r w:rsidRPr="00AD4E44">
        <w:rPr>
          <w:color w:val="000000" w:themeColor="text1"/>
          <w:sz w:val="24"/>
          <w:lang w:val="pt-PT"/>
        </w:rPr>
        <w:t>).</w:t>
      </w:r>
    </w:p>
    <w:p w14:paraId="6AA5926F" w14:textId="520EBDFB" w:rsidR="002D52EA" w:rsidRPr="00AD4E44" w:rsidRDefault="002D52EA" w:rsidP="00AD4E44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AD4E44">
        <w:rPr>
          <w:color w:val="000000" w:themeColor="text1"/>
          <w:sz w:val="24"/>
          <w:lang w:val="pt-PT"/>
        </w:rPr>
        <w:t>–</w:t>
      </w:r>
      <w:r w:rsidRPr="00AD4E44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(UE) 2024/1828 da Comissão que renova a autorização de colocação no mercado de alimentos para animais que contenham ou sejam constituídos por milho geneticamente modificado MON 810 e de géneros alimentícios e alimentos para animais produzidos a partir desse milho geneticamente modificado, nos termos do Regulamento (CE) n.º 1829/2003 do Parlamento Europeu e do Conselho, e que revoga a Decisão de Execução (UE) 2017/1207 da Comissão (JO C, C/2025/1800, 4.4.2025, ELI: </w:t>
      </w:r>
      <w:hyperlink r:id="rId7" w:history="1">
        <w:r w:rsidRPr="00AD4E44">
          <w:rPr>
            <w:rStyle w:val="Hyperlink"/>
            <w:sz w:val="24"/>
            <w:lang w:val="pt-PT"/>
          </w:rPr>
          <w:t>http://data.europa.eu/eli/C/2025/1800/oj</w:t>
        </w:r>
      </w:hyperlink>
      <w:r w:rsidRPr="00AD4E44">
        <w:rPr>
          <w:color w:val="000000" w:themeColor="text1"/>
          <w:sz w:val="24"/>
          <w:lang w:val="pt-PT"/>
        </w:rPr>
        <w:t>).</w:t>
      </w:r>
    </w:p>
    <w:p w14:paraId="6CEF990B" w14:textId="1A9B239F" w:rsidR="002D52EA" w:rsidRPr="00AD4E44" w:rsidRDefault="002D52EA" w:rsidP="00AD4E44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AD4E44">
        <w:rPr>
          <w:color w:val="000000" w:themeColor="text1"/>
          <w:sz w:val="24"/>
          <w:lang w:val="pt-PT"/>
        </w:rPr>
        <w:t>–</w:t>
      </w:r>
      <w:r w:rsidRPr="00AD4E44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(UE) 2024/1822 da Comissão, que autoriza a colocação no mercado de produtos que contenham, sejam constituídos por ou sejam produzidos a partir de milho geneticamente modificado DP915635 nos termos do Regulamento (CE) n.º 1829/2003 do Parlamento Europeu e do Conselho (JO C, C/2025/1801, 4.4.2025, ELI: </w:t>
      </w:r>
      <w:hyperlink r:id="rId8" w:history="1">
        <w:r w:rsidRPr="00AD4E44">
          <w:rPr>
            <w:rStyle w:val="Hyperlink"/>
            <w:sz w:val="24"/>
            <w:lang w:val="pt-PT"/>
          </w:rPr>
          <w:t>http://data.europa.eu/eli/C/2025/1801/oj</w:t>
        </w:r>
      </w:hyperlink>
      <w:r w:rsidRPr="00AD4E44">
        <w:rPr>
          <w:color w:val="000000" w:themeColor="text1"/>
          <w:sz w:val="24"/>
          <w:lang w:val="pt-PT"/>
        </w:rPr>
        <w:t>).</w:t>
      </w:r>
    </w:p>
    <w:p w14:paraId="3ECF2A57" w14:textId="4CB251A5" w:rsidR="002D52EA" w:rsidRPr="00AD4E44" w:rsidRDefault="002D52EA" w:rsidP="00AD4E44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AD4E44">
        <w:rPr>
          <w:color w:val="000000" w:themeColor="text1"/>
          <w:sz w:val="24"/>
          <w:lang w:val="pt-PT"/>
        </w:rPr>
        <w:t>–</w:t>
      </w:r>
      <w:r w:rsidRPr="00AD4E44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(UE) 2024/1826 da Comissão, que autoriza a colocação no mercado de produtos que contenham, sejam constituídos por ou sejam produzidos a partir de milho geneticamente modificado DP23211 nos termos do Regulamento (CE) n.º 1829/2003 do Parlamento Europeu e do Conselho (JO C, C/2025/1802, 4.4.2025, ELI: </w:t>
      </w:r>
      <w:hyperlink r:id="rId9" w:history="1">
        <w:r w:rsidRPr="00AD4E44">
          <w:rPr>
            <w:rStyle w:val="Hyperlink"/>
            <w:sz w:val="24"/>
            <w:lang w:val="pt-PT"/>
          </w:rPr>
          <w:t>http://data.europa.eu/eli/C/2025/1802/oj</w:t>
        </w:r>
      </w:hyperlink>
      <w:r w:rsidRPr="00AD4E44">
        <w:rPr>
          <w:color w:val="000000" w:themeColor="text1"/>
          <w:sz w:val="24"/>
          <w:lang w:val="pt-PT"/>
        </w:rPr>
        <w:t>).</w:t>
      </w:r>
    </w:p>
    <w:p w14:paraId="2C982273" w14:textId="6FF2FA56" w:rsidR="002D52EA" w:rsidRPr="00AD4E44" w:rsidRDefault="002D52EA" w:rsidP="00AD4E44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AD4E44">
        <w:rPr>
          <w:color w:val="000000" w:themeColor="text1"/>
          <w:sz w:val="24"/>
          <w:lang w:val="pt-PT"/>
        </w:rPr>
        <w:t>–</w:t>
      </w:r>
      <w:r w:rsidRPr="00AD4E44">
        <w:rPr>
          <w:color w:val="000000" w:themeColor="text1"/>
          <w:sz w:val="24"/>
          <w:lang w:val="pt-PT"/>
        </w:rPr>
        <w:tab/>
        <w:t xml:space="preserve">Resolução do Parlamento Europeu, de 26 de novembro de 2024, sobre a Decisão de Execução da Comissão (UE) 2024/2618 que autoriza a colocação no mercado de produtos que contenham, sejam constituídos por ou sejam produzidos a partir de milho geneticamente modificado DP202216 nos termos do Regulamento (CE) n.º 1829/2003 do Parlamento Europeu e do Conselho (JO C, C/2025/1803, 4.4.2025, ELI: </w:t>
      </w:r>
      <w:hyperlink r:id="rId10" w:history="1">
        <w:r w:rsidRPr="00AD4E44">
          <w:rPr>
            <w:rStyle w:val="Hyperlink"/>
            <w:sz w:val="24"/>
            <w:lang w:val="pt-PT"/>
          </w:rPr>
          <w:t>http://data.europa.eu/eli/C/2025/1803/oj</w:t>
        </w:r>
      </w:hyperlink>
      <w:r w:rsidRPr="00AD4E44">
        <w:rPr>
          <w:color w:val="000000" w:themeColor="text1"/>
          <w:sz w:val="24"/>
          <w:lang w:val="pt-PT"/>
        </w:rPr>
        <w:t>).</w:t>
      </w:r>
    </w:p>
    <w:p w14:paraId="636E5D42" w14:textId="577A9573" w:rsidR="002D52EA" w:rsidRPr="00AD4E44" w:rsidRDefault="002D52EA" w:rsidP="00AD4E44">
      <w:pPr>
        <w:pStyle w:val="FootnoteText"/>
        <w:ind w:left="567" w:hanging="567"/>
        <w:rPr>
          <w:color w:val="000000" w:themeColor="text1"/>
          <w:sz w:val="24"/>
          <w:vertAlign w:val="superscript"/>
          <w:lang w:val="pt-PT"/>
        </w:rPr>
      </w:pPr>
      <w:r w:rsidRPr="00AD4E44">
        <w:rPr>
          <w:color w:val="000000" w:themeColor="text1"/>
          <w:sz w:val="24"/>
          <w:lang w:val="pt-PT"/>
        </w:rPr>
        <w:t>–</w:t>
      </w:r>
      <w:r w:rsidRPr="00AD4E44">
        <w:rPr>
          <w:color w:val="000000" w:themeColor="text1"/>
          <w:sz w:val="24"/>
          <w:lang w:val="pt-PT"/>
        </w:rPr>
        <w:tab/>
        <w:t xml:space="preserve">Resolução do Parlamento Europeu, de 26 de novembro de 2024, sobre o projeto de decisão de execução da Comissão que autoriza a colocação no mercado de produtos que contenham, sejam constituídos por, ou produzidos a partir de milho geneticamente modificado MON 94804 nos termos do Regulamento (CE) n.º 1829/2003 do Parlamento Europeu e do Conselho (JO C, C/2025/1804, 4.4.2025, ELI: </w:t>
      </w:r>
      <w:hyperlink r:id="rId11" w:history="1">
        <w:r w:rsidRPr="00AD4E44">
          <w:rPr>
            <w:rStyle w:val="Hyperlink"/>
            <w:sz w:val="24"/>
            <w:lang w:val="pt-PT"/>
          </w:rPr>
          <w:t>http://data.europa.eu/eli/C/2025/1804/oj</w:t>
        </w:r>
      </w:hyperlink>
      <w:r w:rsidRPr="00AD4E44">
        <w:rPr>
          <w:color w:val="000000" w:themeColor="text1"/>
          <w:sz w:val="24"/>
          <w:lang w:val="pt-PT"/>
        </w:rPr>
        <w:t>).</w:t>
      </w:r>
    </w:p>
    <w:p w14:paraId="1BFC91C2" w14:textId="14C43F50" w:rsidR="002D52EA" w:rsidRPr="00AD4E44" w:rsidRDefault="002D52EA" w:rsidP="00AD4E44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AD4E44">
        <w:rPr>
          <w:color w:val="000000" w:themeColor="text1"/>
          <w:sz w:val="24"/>
          <w:lang w:val="pt-PT"/>
        </w:rPr>
        <w:t>–</w:t>
      </w:r>
      <w:r w:rsidRPr="00AD4E44">
        <w:rPr>
          <w:color w:val="000000" w:themeColor="text1"/>
          <w:sz w:val="24"/>
          <w:lang w:val="pt-PT"/>
        </w:rPr>
        <w:tab/>
      </w:r>
      <w:r w:rsidRPr="00AD4E44">
        <w:rPr>
          <w:sz w:val="24"/>
          <w:lang w:val="pt-PT"/>
        </w:rPr>
        <w:t xml:space="preserve">Resolução do Parlamento Europeu, de 12 de fevereiro de 2025, sobre o projeto de decisão de execução da Comissão que autoriza a colocação no mercado de produtos que contenham, sejam constituídos por, ou produzidos a partir de milho geneticamente modificado DP910521, nos termos do Regulamento (CE) n.º 1829/2003 do Parlamento Europeu e do Conselho (JO C, C/2025/2246, 29.4.2025, ELI: </w:t>
      </w:r>
      <w:hyperlink r:id="rId12" w:tooltip="Permite aceder ao documento através do seu identificador ELI." w:history="1">
        <w:r w:rsidRPr="00AD4E44">
          <w:rPr>
            <w:rStyle w:val="Hyperlink"/>
            <w:sz w:val="24"/>
            <w:lang w:val="pt-PT"/>
          </w:rPr>
          <w:t>http://data.europa.eu/eli/C/2025/2246/oj</w:t>
        </w:r>
      </w:hyperlink>
      <w:r w:rsidRPr="00AD4E44">
        <w:rPr>
          <w:sz w:val="24"/>
          <w:lang w:val="pt-PT"/>
        </w:rPr>
        <w:t>).</w:t>
      </w:r>
    </w:p>
    <w:p w14:paraId="43707EB7" w14:textId="47BD8E11" w:rsidR="002D52EA" w:rsidRPr="00AD4E44" w:rsidRDefault="002D52EA" w:rsidP="00AD4E44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AD4E44">
        <w:rPr>
          <w:sz w:val="24"/>
          <w:lang w:val="pt-PT"/>
        </w:rPr>
        <w:t>–</w:t>
      </w:r>
      <w:r w:rsidRPr="00AD4E44">
        <w:rPr>
          <w:sz w:val="24"/>
          <w:lang w:val="pt-PT"/>
        </w:rPr>
        <w:tab/>
        <w:t xml:space="preserve">Resolução do Parlamento Europeu, de 12 de fevereiro de 2025, sobre o projeto de decisão de execução da Comissão que autoriza a colocação no mercado de produtos que contenham, sejam constituídos por ou sejam produzidos a partir de milho geneticamente modificado MON 95275 nos termos do Regulamento (CE) n.º 1829/2003 do Parlamento Europeu e do Conselho (JO C, C/2025/2247, 29.4.2025, ELI: </w:t>
      </w:r>
      <w:hyperlink r:id="rId13" w:tooltip="Permite aceder ao documento através do seu identificador ELI." w:history="1">
        <w:r w:rsidRPr="00AD4E44">
          <w:rPr>
            <w:rStyle w:val="Hyperlink"/>
            <w:sz w:val="24"/>
            <w:lang w:val="pt-PT"/>
          </w:rPr>
          <w:t>http://data.europa.eu/eli/C/2025/2247/oj</w:t>
        </w:r>
      </w:hyperlink>
      <w:r w:rsidRPr="00AD4E44">
        <w:rPr>
          <w:sz w:val="24"/>
          <w:lang w:val="pt-PT"/>
        </w:rPr>
        <w:t>).</w:t>
      </w:r>
    </w:p>
    <w:p w14:paraId="4DBA1802" w14:textId="6D69B239" w:rsidR="002D52EA" w:rsidRPr="00AD4E44" w:rsidRDefault="002D52EA" w:rsidP="00AD4E44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AD4E44">
        <w:rPr>
          <w:sz w:val="24"/>
          <w:lang w:val="pt-PT"/>
        </w:rPr>
        <w:t>–</w:t>
      </w:r>
      <w:r w:rsidRPr="00AD4E44">
        <w:rPr>
          <w:sz w:val="24"/>
          <w:lang w:val="pt-PT"/>
        </w:rPr>
        <w:tab/>
        <w:t>Resolução do Parlamento Europeu, de 8 de maio de 2025, sobre o projeto de decisão de execução da Comissão que autoriza a colocação no mercado de produtos que contenham, sejam constituídos por, ou sejam produzidos a partir de soja geneticamente modificada MON 87705 × MON 87708 × MON 89788, nos termos do Regulamento (CE) n.º 1829/2003 do Parlamento Europeu e do Conselho (P10_TA(2025</w:t>
      </w:r>
      <w:r w:rsidR="00CA6D9C">
        <w:rPr>
          <w:sz w:val="24"/>
          <w:lang w:val="pt-PT"/>
        </w:rPr>
        <w:t>)</w:t>
      </w:r>
      <w:r w:rsidRPr="00AD4E44">
        <w:rPr>
          <w:sz w:val="24"/>
          <w:lang w:val="pt-PT"/>
        </w:rPr>
        <w:t>0106).</w:t>
      </w:r>
    </w:p>
    <w:p w14:paraId="7737E348" w14:textId="737C1434" w:rsidR="002D52EA" w:rsidRPr="00AD4E44" w:rsidRDefault="002D52EA" w:rsidP="00AD4E44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AD4E44">
        <w:rPr>
          <w:sz w:val="24"/>
          <w:lang w:val="pt-PT"/>
        </w:rPr>
        <w:t>–</w:t>
      </w:r>
      <w:r w:rsidRPr="00AD4E44">
        <w:rPr>
          <w:sz w:val="24"/>
          <w:lang w:val="pt-PT"/>
        </w:rPr>
        <w:tab/>
        <w:t>Resolução do Parlamento Europeu, de 8 de outubro de 2025, sobre a Decisão de Execução (UE) 2025/1898 da Comissão, de 22 de setembro de 2025, que autoriza a colocação no mercado de produtos que contenham, sejam constituídos por ou sejam produzidos a partir de milho geneticamente modificado DP51291 nos termos do Regulamento (CE) n.º 1829/2003 do Parlamento Europeu e do Conselho (P10_TA(2025)0222).</w:t>
      </w:r>
    </w:p>
    <w:p w14:paraId="36174A33" w14:textId="7A200E7E" w:rsidR="002D52EA" w:rsidRPr="00AD4E44" w:rsidRDefault="002D52EA" w:rsidP="00AD4E44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AD4E44">
        <w:rPr>
          <w:sz w:val="24"/>
          <w:lang w:val="pt-PT"/>
        </w:rPr>
        <w:t>–</w:t>
      </w:r>
      <w:r w:rsidRPr="00AD4E44">
        <w:rPr>
          <w:sz w:val="24"/>
          <w:lang w:val="pt-PT"/>
        </w:rPr>
        <w:tab/>
        <w:t>Resolução do Parlamento Europeu, de 25 de novembro de 2025, sobre o projeto de decisão de execução da Comissão que autoriza a colocação no mercado de produtos que contenham, sejam constituídos por, ou sejam produzidos a partir de milho geneticamente modificado DAS1131 nos termos do Regulamento (CE) n.º 1829/2003 do Parlamento Europeu e do Conselho (P10_TA(2025)0288).</w:t>
      </w:r>
    </w:p>
    <w:p w14:paraId="368668E9" w14:textId="3AD8DE80" w:rsidR="002D52EA" w:rsidRPr="00AD4E44" w:rsidRDefault="002D52EA" w:rsidP="00AD4E44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AD4E44">
        <w:rPr>
          <w:sz w:val="24"/>
          <w:lang w:val="pt-PT"/>
        </w:rPr>
        <w:t>–</w:t>
      </w:r>
      <w:r w:rsidRPr="00AD4E44">
        <w:rPr>
          <w:sz w:val="24"/>
          <w:lang w:val="pt-PT"/>
        </w:rPr>
        <w:tab/>
        <w:t>Resolução do Parlamento Europeu, de 25 de novembro de 2025, sobre o projeto de decisão de execução da Comissão que renova a autorização de colocação no mercado de produtos que contenham, sejam constituídos por ou produzidos a partir de algodão geneticamente modificado MON 88913 (MON</w:t>
      </w:r>
      <w:r w:rsidRPr="00AD4E44">
        <w:rPr>
          <w:sz w:val="24"/>
          <w:lang w:val="pt-PT"/>
        </w:rPr>
        <w:noBreakHyphen/>
        <w:t>88913</w:t>
      </w:r>
      <w:r w:rsidRPr="00AD4E44">
        <w:rPr>
          <w:sz w:val="24"/>
          <w:lang w:val="pt-PT"/>
        </w:rPr>
        <w:noBreakHyphen/>
        <w:t>8), nos termos do Regulamento (CE) n.º 1829/2003 do Parlamento Europeu e do Conselho (P10_TA(2025)0289).</w:t>
      </w:r>
    </w:p>
    <w:p w14:paraId="5D737913" w14:textId="2CDCAF8A" w:rsidR="002D52EA" w:rsidRPr="00AD4E44" w:rsidRDefault="002D52EA" w:rsidP="00AD4E44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AD4E44">
        <w:rPr>
          <w:sz w:val="24"/>
          <w:lang w:val="pt-PT"/>
        </w:rPr>
        <w:t>–</w:t>
      </w:r>
      <w:r w:rsidRPr="00AD4E44">
        <w:rPr>
          <w:sz w:val="24"/>
          <w:lang w:val="pt-PT"/>
        </w:rPr>
        <w:tab/>
        <w:t>Resolução do Parlamento Europeu, de 25 de novembro de 2025, sobre o projeto de decisão de execução da Comissão que renova a autorização de colocação no mercado de produtos que contenham, sejam constituídos por ou sejam produzidos a partir de colza geneticamente modificada MON 88302, nos termos do Regulamento (CE) n.º 1829/2003 do Parlamento Europeu e do Conselho (P10_TA(2025)0290).</w:t>
      </w:r>
    </w:p>
    <w:p w14:paraId="31F8C437" w14:textId="29470F36" w:rsidR="002D52EA" w:rsidRPr="00AD4E44" w:rsidRDefault="002D52EA" w:rsidP="00AD4E44">
      <w:pPr>
        <w:pStyle w:val="FootnoteText"/>
        <w:ind w:left="567" w:hanging="567"/>
        <w:rPr>
          <w:sz w:val="24"/>
          <w:vertAlign w:val="superscript"/>
          <w:lang w:val="pt-PT"/>
        </w:rPr>
      </w:pPr>
      <w:r w:rsidRPr="00AD4E44">
        <w:rPr>
          <w:sz w:val="24"/>
          <w:lang w:val="pt-PT"/>
        </w:rPr>
        <w:t>–</w:t>
      </w:r>
      <w:r w:rsidRPr="00AD4E44">
        <w:rPr>
          <w:sz w:val="24"/>
          <w:lang w:val="pt-PT"/>
        </w:rPr>
        <w:tab/>
        <w:t>Resolução do Parlamento Europeu, de 25 de novembro de 2025, sobre a Decisão de Execução da Comissão que renova a autorização de colocação no mercado de produtos que contenham, sejam constituídos por ou sejam produzidos a partir de soja geneticamente modificada MON 87708, nos termos do Regulamento (CE) n.º 1829/2003 do Parlamento Europeu e do Conselho (P10_TA(2025)0291).</w:t>
      </w:r>
    </w:p>
    <w:p w14:paraId="2F8C448E" w14:textId="712AE95C" w:rsidR="002D52EA" w:rsidRPr="00AD4E44" w:rsidRDefault="002D52EA" w:rsidP="00AD4E44">
      <w:pPr>
        <w:pStyle w:val="FootnoteText"/>
        <w:ind w:left="567" w:hanging="567"/>
        <w:rPr>
          <w:sz w:val="24"/>
          <w:lang w:val="pt-PT"/>
        </w:rPr>
      </w:pPr>
      <w:r w:rsidRPr="00AD4E44">
        <w:rPr>
          <w:sz w:val="24"/>
          <w:lang w:val="pt-PT"/>
        </w:rPr>
        <w:t>–</w:t>
      </w:r>
      <w:r w:rsidRPr="00AD4E44">
        <w:rPr>
          <w:sz w:val="24"/>
          <w:lang w:val="pt-PT"/>
        </w:rPr>
        <w:tab/>
        <w:t xml:space="preserve">Resolução do Parlamento Europeu, de 25 de novembro de 2025, sobre o projeto de decisão de execução da Comissão que renova a autorização de colocação no mercado de produtos que contenham, sejam constituídos por ou sejam produzidos a partir de milho geneticamente modificado MON 87427, nos termos do Regulamento </w:t>
      </w:r>
      <w:r w:rsidR="00CA6D9C">
        <w:rPr>
          <w:sz w:val="24"/>
          <w:lang w:val="pt-PT"/>
        </w:rPr>
        <w:t xml:space="preserve">(CE) </w:t>
      </w:r>
      <w:r w:rsidRPr="00AD4E44">
        <w:rPr>
          <w:sz w:val="24"/>
          <w:lang w:val="pt-PT"/>
        </w:rPr>
        <w:t>n.º 1829/2003 do Parlamento Europeu e do Conselho (P10_TA(2025)0292).</w:t>
      </w:r>
    </w:p>
  </w:footnote>
  <w:footnote w:id="5">
    <w:p w14:paraId="332EB582" w14:textId="6102FAD2" w:rsidR="002D52EA" w:rsidRPr="00AD4E44" w:rsidRDefault="002D52EA" w:rsidP="00AD4E44">
      <w:pPr>
        <w:pStyle w:val="FootnoteText"/>
        <w:ind w:left="567" w:hanging="567"/>
        <w:rPr>
          <w:sz w:val="24"/>
          <w:lang w:val="pt-PT"/>
        </w:rPr>
      </w:pPr>
      <w:r w:rsidRPr="00AD4E44">
        <w:rPr>
          <w:rStyle w:val="FootnoteReference"/>
          <w:sz w:val="24"/>
          <w:lang w:val="pt-PT"/>
        </w:rPr>
        <w:footnoteRef/>
      </w:r>
      <w:r w:rsidR="00AD4E44" w:rsidRPr="00AD4E44">
        <w:rPr>
          <w:sz w:val="24"/>
          <w:shd w:val="clear" w:color="auto" w:fill="FFFFFF"/>
          <w:lang w:val="pt-PT"/>
        </w:rPr>
        <w:t xml:space="preserve"> </w:t>
      </w:r>
      <w:r w:rsidR="00AD4E44" w:rsidRPr="00AD4E44">
        <w:rPr>
          <w:sz w:val="24"/>
          <w:shd w:val="clear" w:color="auto" w:fill="FFFFFF"/>
          <w:lang w:val="pt-PT"/>
        </w:rPr>
        <w:tab/>
      </w:r>
      <w:r w:rsidRPr="00AD4E44">
        <w:rPr>
          <w:sz w:val="24"/>
          <w:shd w:val="clear" w:color="auto" w:fill="FFFFFF"/>
          <w:lang w:val="pt-PT"/>
        </w:rPr>
        <w:t xml:space="preserve">Ver, por exemplo, </w:t>
      </w:r>
      <w:proofErr w:type="spellStart"/>
      <w:r w:rsidRPr="00AD4E44">
        <w:rPr>
          <w:sz w:val="24"/>
          <w:shd w:val="clear" w:color="auto" w:fill="FFFFFF"/>
          <w:lang w:val="pt-PT"/>
        </w:rPr>
        <w:t>Bonny</w:t>
      </w:r>
      <w:proofErr w:type="spellEnd"/>
      <w:r w:rsidRPr="00AD4E44">
        <w:rPr>
          <w:sz w:val="24"/>
          <w:shd w:val="clear" w:color="auto" w:fill="FFFFFF"/>
          <w:lang w:val="pt-PT"/>
        </w:rPr>
        <w:t>, S., «</w:t>
      </w:r>
      <w:proofErr w:type="spellStart"/>
      <w:r w:rsidRPr="00AD4E44">
        <w:rPr>
          <w:sz w:val="24"/>
          <w:shd w:val="clear" w:color="auto" w:fill="FFFFFF"/>
          <w:lang w:val="pt-PT"/>
        </w:rPr>
        <w:t>Genetically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Modified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Herbicide‑Tolerant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Crops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, </w:t>
      </w:r>
      <w:proofErr w:type="spellStart"/>
      <w:r w:rsidRPr="00AD4E44">
        <w:rPr>
          <w:sz w:val="24"/>
          <w:shd w:val="clear" w:color="auto" w:fill="FFFFFF"/>
          <w:lang w:val="pt-PT"/>
        </w:rPr>
        <w:t>Weeds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, </w:t>
      </w:r>
      <w:proofErr w:type="spellStart"/>
      <w:r w:rsidRPr="00AD4E44">
        <w:rPr>
          <w:sz w:val="24"/>
          <w:shd w:val="clear" w:color="auto" w:fill="FFFFFF"/>
          <w:lang w:val="pt-PT"/>
        </w:rPr>
        <w:t>and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Herbicides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: </w:t>
      </w:r>
      <w:proofErr w:type="spellStart"/>
      <w:r w:rsidRPr="00AD4E44">
        <w:rPr>
          <w:sz w:val="24"/>
          <w:shd w:val="clear" w:color="auto" w:fill="FFFFFF"/>
          <w:lang w:val="pt-PT"/>
        </w:rPr>
        <w:t>Overview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and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Impact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», </w:t>
      </w:r>
      <w:proofErr w:type="spellStart"/>
      <w:r w:rsidRPr="00AD4E44">
        <w:rPr>
          <w:sz w:val="24"/>
          <w:shd w:val="clear" w:color="auto" w:fill="FFFFFF"/>
          <w:lang w:val="pt-PT"/>
        </w:rPr>
        <w:t>Environmental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Management, janeiro 2016, 57(1), pp. 31‑48,</w:t>
      </w:r>
      <w:r w:rsidRPr="00AD4E44">
        <w:rPr>
          <w:sz w:val="24"/>
          <w:lang w:val="pt-PT"/>
        </w:rPr>
        <w:t xml:space="preserve"> </w:t>
      </w:r>
      <w:hyperlink r:id="rId14" w:history="1">
        <w:r w:rsidRPr="00AD4E44">
          <w:rPr>
            <w:rStyle w:val="Hyperlink"/>
            <w:sz w:val="24"/>
            <w:shd w:val="clear" w:color="auto" w:fill="FFFFFF"/>
            <w:lang w:val="pt-PT"/>
          </w:rPr>
          <w:t>https://doi.org/10.1007/s00267</w:t>
        </w:r>
        <w:r w:rsidRPr="00AD4E44">
          <w:rPr>
            <w:rStyle w:val="Hyperlink"/>
            <w:sz w:val="24"/>
            <w:shd w:val="clear" w:color="auto" w:fill="FFFFFF"/>
            <w:lang w:val="pt-PT"/>
          </w:rPr>
          <w:noBreakHyphen/>
          <w:t>015</w:t>
        </w:r>
        <w:r w:rsidRPr="00AD4E44">
          <w:rPr>
            <w:rStyle w:val="Hyperlink"/>
            <w:sz w:val="24"/>
            <w:shd w:val="clear" w:color="auto" w:fill="FFFFFF"/>
            <w:lang w:val="pt-PT"/>
          </w:rPr>
          <w:noBreakHyphen/>
          <w:t>0589</w:t>
        </w:r>
        <w:r w:rsidRPr="00AD4E44">
          <w:rPr>
            <w:rStyle w:val="Hyperlink"/>
            <w:sz w:val="24"/>
            <w:shd w:val="clear" w:color="auto" w:fill="FFFFFF"/>
            <w:lang w:val="pt-PT"/>
          </w:rPr>
          <w:noBreakHyphen/>
          <w:t>7</w:t>
        </w:r>
      </w:hyperlink>
      <w:r w:rsidRPr="00AD4E44">
        <w:rPr>
          <w:sz w:val="24"/>
          <w:lang w:val="pt-PT"/>
        </w:rPr>
        <w:t xml:space="preserve"> </w:t>
      </w:r>
      <w:r w:rsidRPr="00AD4E44">
        <w:rPr>
          <w:sz w:val="24"/>
          <w:shd w:val="clear" w:color="auto" w:fill="FFFFFF"/>
          <w:lang w:val="pt-PT"/>
        </w:rPr>
        <w:t xml:space="preserve">e </w:t>
      </w:r>
      <w:proofErr w:type="spellStart"/>
      <w:r w:rsidRPr="00AD4E44">
        <w:rPr>
          <w:sz w:val="24"/>
          <w:shd w:val="clear" w:color="auto" w:fill="FFFFFF"/>
          <w:lang w:val="pt-PT"/>
        </w:rPr>
        <w:t>Benbrook</w:t>
      </w:r>
      <w:proofErr w:type="spellEnd"/>
      <w:r w:rsidRPr="00AD4E44">
        <w:rPr>
          <w:sz w:val="24"/>
          <w:shd w:val="clear" w:color="auto" w:fill="FFFFFF"/>
          <w:lang w:val="pt-PT"/>
        </w:rPr>
        <w:t>, C. M., «</w:t>
      </w:r>
      <w:proofErr w:type="spellStart"/>
      <w:r w:rsidRPr="00AD4E44">
        <w:rPr>
          <w:sz w:val="24"/>
          <w:shd w:val="clear" w:color="auto" w:fill="FFFFFF"/>
          <w:lang w:val="pt-PT"/>
        </w:rPr>
        <w:t>Impacts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of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genetically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engineered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crops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on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pesticide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use in </w:t>
      </w:r>
      <w:proofErr w:type="spellStart"/>
      <w:r w:rsidRPr="00AD4E44">
        <w:rPr>
          <w:sz w:val="24"/>
          <w:shd w:val="clear" w:color="auto" w:fill="FFFFFF"/>
          <w:lang w:val="pt-PT"/>
        </w:rPr>
        <w:t>the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U.S. – </w:t>
      </w:r>
      <w:proofErr w:type="spellStart"/>
      <w:r w:rsidRPr="00AD4E44">
        <w:rPr>
          <w:sz w:val="24"/>
          <w:shd w:val="clear" w:color="auto" w:fill="FFFFFF"/>
          <w:lang w:val="pt-PT"/>
        </w:rPr>
        <w:t>the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first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sixteen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years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», </w:t>
      </w:r>
      <w:proofErr w:type="spellStart"/>
      <w:r w:rsidRPr="00AD4E44">
        <w:rPr>
          <w:sz w:val="24"/>
          <w:shd w:val="clear" w:color="auto" w:fill="FFFFFF"/>
          <w:lang w:val="pt-PT"/>
        </w:rPr>
        <w:t>Environmental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Sciences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 </w:t>
      </w:r>
      <w:proofErr w:type="spellStart"/>
      <w:r w:rsidRPr="00AD4E44">
        <w:rPr>
          <w:sz w:val="24"/>
          <w:shd w:val="clear" w:color="auto" w:fill="FFFFFF"/>
          <w:lang w:val="pt-PT"/>
        </w:rPr>
        <w:t>Europe</w:t>
      </w:r>
      <w:proofErr w:type="spellEnd"/>
      <w:r w:rsidRPr="00AD4E44">
        <w:rPr>
          <w:sz w:val="24"/>
          <w:shd w:val="clear" w:color="auto" w:fill="FFFFFF"/>
          <w:lang w:val="pt-PT"/>
        </w:rPr>
        <w:t xml:space="preserve">, 28 de setembro de 2012, Vol. 24(1), </w:t>
      </w:r>
      <w:hyperlink r:id="rId15" w:history="1">
        <w:r w:rsidRPr="00AD4E44">
          <w:rPr>
            <w:rStyle w:val="Hyperlink"/>
            <w:sz w:val="24"/>
            <w:lang w:val="pt-PT"/>
          </w:rPr>
          <w:t>https://doi.org/10.1186/2190</w:t>
        </w:r>
        <w:r w:rsidRPr="00AD4E44">
          <w:rPr>
            <w:rStyle w:val="Hyperlink"/>
            <w:sz w:val="24"/>
            <w:lang w:val="pt-PT"/>
          </w:rPr>
          <w:noBreakHyphen/>
          <w:t>4715</w:t>
        </w:r>
        <w:r w:rsidRPr="00AD4E44">
          <w:rPr>
            <w:rStyle w:val="Hyperlink"/>
            <w:sz w:val="24"/>
            <w:lang w:val="pt-PT"/>
          </w:rPr>
          <w:noBreakHyphen/>
          <w:t>24</w:t>
        </w:r>
        <w:r w:rsidRPr="00AD4E44">
          <w:rPr>
            <w:rStyle w:val="Hyperlink"/>
            <w:sz w:val="24"/>
            <w:lang w:val="pt-PT"/>
          </w:rPr>
          <w:noBreakHyphen/>
          <w:t>24</w:t>
        </w:r>
      </w:hyperlink>
      <w:r w:rsidRPr="00AD4E44">
        <w:rPr>
          <w:rStyle w:val="Hyperlink"/>
          <w:sz w:val="24"/>
          <w:shd w:val="clear" w:color="auto" w:fill="FFFFFF"/>
          <w:lang w:val="pt-PT"/>
        </w:rPr>
        <w:t>.</w:t>
      </w:r>
    </w:p>
  </w:footnote>
  <w:footnote w:id="6">
    <w:p w14:paraId="75526308" w14:textId="6483D17D" w:rsidR="002D52EA" w:rsidRPr="00AD4E44" w:rsidRDefault="002D52EA" w:rsidP="00AD4E44">
      <w:pPr>
        <w:pStyle w:val="FootnoteText"/>
        <w:ind w:left="567" w:hanging="567"/>
        <w:rPr>
          <w:sz w:val="24"/>
          <w:lang w:val="pt-PT"/>
        </w:rPr>
      </w:pPr>
      <w:r w:rsidRPr="00AD4E44">
        <w:rPr>
          <w:rStyle w:val="FootnoteReference"/>
          <w:sz w:val="24"/>
          <w:lang w:val="pt-PT"/>
        </w:rPr>
        <w:footnoteRef/>
      </w:r>
      <w:r w:rsidR="00AD4E44" w:rsidRPr="00AD4E44">
        <w:rPr>
          <w:sz w:val="24"/>
          <w:lang w:val="pt-PT"/>
        </w:rPr>
        <w:t xml:space="preserve"> </w:t>
      </w:r>
      <w:r w:rsidR="00AD4E44" w:rsidRPr="00AD4E44">
        <w:rPr>
          <w:sz w:val="24"/>
          <w:lang w:val="pt-PT"/>
        </w:rPr>
        <w:tab/>
      </w:r>
      <w:r w:rsidRPr="00AD4E44">
        <w:rPr>
          <w:sz w:val="24"/>
          <w:lang w:val="pt-PT"/>
        </w:rPr>
        <w:t xml:space="preserve">Ver, por exemplo: </w:t>
      </w:r>
      <w:hyperlink r:id="rId16" w:history="1">
        <w:r w:rsidRPr="00AD4E44">
          <w:rPr>
            <w:rStyle w:val="Hyperlink"/>
            <w:sz w:val="24"/>
            <w:lang w:val="pt-PT"/>
          </w:rPr>
          <w:t>https://doi.org/10.1002/ps.8105</w:t>
        </w:r>
      </w:hyperlink>
      <w:r w:rsidRPr="00AD4E44">
        <w:rPr>
          <w:sz w:val="24"/>
          <w:lang w:val="pt-PT"/>
        </w:rPr>
        <w:t>,</w:t>
      </w:r>
      <w:r w:rsidR="00431AEE">
        <w:rPr>
          <w:sz w:val="24"/>
          <w:lang w:val="pt-PT"/>
        </w:rPr>
        <w:br/>
      </w:r>
      <w:hyperlink r:id="rId17" w:tgtFrame="_blank" w:tooltip="Persistent link using digital object identifier" w:history="1">
        <w:r w:rsidRPr="00AD4E44">
          <w:rPr>
            <w:rStyle w:val="Hyperlink"/>
            <w:sz w:val="24"/>
            <w:lang w:val="pt-PT"/>
          </w:rPr>
          <w:t>https://doi.org/10.1016/j.geoforum.2009.03.009</w:t>
        </w:r>
      </w:hyperlink>
      <w:r w:rsidRPr="00AD4E44">
        <w:rPr>
          <w:sz w:val="24"/>
          <w:lang w:val="pt-PT"/>
        </w:rPr>
        <w:t>.</w:t>
      </w:r>
    </w:p>
  </w:footnote>
  <w:footnote w:id="7">
    <w:p w14:paraId="74AE1859" w14:textId="6FF61ED3" w:rsidR="002D52EA" w:rsidRPr="00AD4E44" w:rsidRDefault="002D52EA" w:rsidP="00AD4E44">
      <w:pPr>
        <w:pStyle w:val="FootnoteText"/>
        <w:ind w:left="567" w:hanging="567"/>
        <w:rPr>
          <w:sz w:val="24"/>
          <w:lang w:val="pt-PT"/>
        </w:rPr>
      </w:pPr>
      <w:r w:rsidRPr="00AD4E44">
        <w:rPr>
          <w:rStyle w:val="FootnoteReference"/>
          <w:sz w:val="24"/>
          <w:lang w:val="pt-PT"/>
        </w:rPr>
        <w:footnoteRef/>
      </w:r>
      <w:r w:rsidR="00AD4E44" w:rsidRPr="00AD4E44">
        <w:rPr>
          <w:sz w:val="24"/>
          <w:lang w:val="pt-PT"/>
        </w:rPr>
        <w:t xml:space="preserve"> </w:t>
      </w:r>
      <w:r w:rsidR="00AD4E44" w:rsidRPr="00AD4E44">
        <w:rPr>
          <w:sz w:val="24"/>
          <w:lang w:val="pt-PT"/>
        </w:rPr>
        <w:tab/>
      </w:r>
      <w:r w:rsidRPr="00AD4E44">
        <w:rPr>
          <w:sz w:val="24"/>
          <w:lang w:val="pt-PT"/>
        </w:rPr>
        <w:t>Ver, por exemplo:</w:t>
      </w:r>
      <w:r w:rsidRPr="00AD4E44">
        <w:rPr>
          <w:sz w:val="24"/>
          <w:lang w:val="pt-PT"/>
        </w:rPr>
        <w:br/>
      </w:r>
      <w:hyperlink r:id="rId18" w:tgtFrame="_blank" w:tooltip="Persistent link using digital object identifier" w:history="1">
        <w:r w:rsidRPr="00AD4E44">
          <w:rPr>
            <w:rStyle w:val="Hyperlink"/>
            <w:sz w:val="24"/>
            <w:lang w:val="pt-PT"/>
          </w:rPr>
          <w:t>https://doi.org/10.1016/j.mrrev.2019.02.001</w:t>
        </w:r>
      </w:hyperlink>
      <w:r w:rsidRPr="00AD4E44">
        <w:rPr>
          <w:sz w:val="24"/>
          <w:lang w:val="pt-PT"/>
        </w:rPr>
        <w:t>,</w:t>
      </w:r>
      <w:r w:rsidRPr="00AD4E44">
        <w:rPr>
          <w:sz w:val="24"/>
          <w:lang w:val="pt-PT"/>
        </w:rPr>
        <w:br/>
      </w:r>
      <w:hyperlink r:id="rId19" w:history="1">
        <w:r w:rsidRPr="00AD4E44">
          <w:rPr>
            <w:rStyle w:val="Hyperlink"/>
            <w:sz w:val="24"/>
            <w:lang w:val="pt-PT"/>
          </w:rPr>
          <w:t>https://doi.org/10.1093/ije/dyz017</w:t>
        </w:r>
      </w:hyperlink>
      <w:r w:rsidRPr="00AD4E44">
        <w:rPr>
          <w:sz w:val="24"/>
          <w:lang w:val="pt-PT"/>
        </w:rPr>
        <w:t>,</w:t>
      </w:r>
      <w:r w:rsidRPr="00AD4E44">
        <w:rPr>
          <w:sz w:val="24"/>
          <w:lang w:val="pt-PT"/>
        </w:rPr>
        <w:br/>
      </w:r>
      <w:hyperlink r:id="rId20" w:history="1">
        <w:r w:rsidRPr="00AD4E44">
          <w:rPr>
            <w:rStyle w:val="Hyperlink"/>
            <w:sz w:val="24"/>
            <w:lang w:val="pt-PT"/>
          </w:rPr>
          <w:t>https://doi.org/10.1371/journal.pone.0219610</w:t>
        </w:r>
      </w:hyperlink>
      <w:r w:rsidRPr="00AD4E44">
        <w:rPr>
          <w:sz w:val="24"/>
          <w:lang w:val="pt-PT"/>
        </w:rPr>
        <w:t xml:space="preserve"> e</w:t>
      </w:r>
      <w:r w:rsidRPr="00AD4E44">
        <w:rPr>
          <w:sz w:val="24"/>
          <w:lang w:val="pt-PT"/>
        </w:rPr>
        <w:br/>
      </w:r>
      <w:hyperlink r:id="rId21" w:history="1">
        <w:r w:rsidRPr="00AD4E44">
          <w:rPr>
            <w:rStyle w:val="Hyperlink"/>
            <w:sz w:val="24"/>
            <w:lang w:val="pt-PT"/>
          </w:rPr>
          <w:t>https://doi.org/10.1186/s13045</w:t>
        </w:r>
        <w:r w:rsidRPr="00AD4E44">
          <w:rPr>
            <w:rStyle w:val="Hyperlink"/>
            <w:sz w:val="24"/>
            <w:lang w:val="pt-PT"/>
          </w:rPr>
          <w:noBreakHyphen/>
          <w:t>019</w:t>
        </w:r>
        <w:r w:rsidRPr="00AD4E44">
          <w:rPr>
            <w:rStyle w:val="Hyperlink"/>
            <w:sz w:val="24"/>
            <w:lang w:val="pt-PT"/>
          </w:rPr>
          <w:noBreakHyphen/>
          <w:t>0767</w:t>
        </w:r>
        <w:r w:rsidRPr="00AD4E44">
          <w:rPr>
            <w:rStyle w:val="Hyperlink"/>
            <w:sz w:val="24"/>
            <w:lang w:val="pt-PT"/>
          </w:rPr>
          <w:noBreakHyphen/>
          <w:t>9</w:t>
        </w:r>
      </w:hyperlink>
      <w:r w:rsidRPr="00AD4E44">
        <w:rPr>
          <w:sz w:val="24"/>
          <w:lang w:val="pt-PT"/>
        </w:rPr>
        <w:t>.</w:t>
      </w:r>
    </w:p>
  </w:footnote>
  <w:footnote w:id="8">
    <w:p w14:paraId="55E904A5" w14:textId="0AF5D9C8" w:rsidR="002D52EA" w:rsidRPr="00AD4E44" w:rsidRDefault="002D52EA" w:rsidP="00AD4E44">
      <w:pPr>
        <w:pStyle w:val="FootnoteText"/>
        <w:ind w:left="567" w:hanging="567"/>
        <w:rPr>
          <w:sz w:val="24"/>
          <w:lang w:val="pt-PT"/>
        </w:rPr>
      </w:pPr>
      <w:r w:rsidRPr="00AD4E44">
        <w:rPr>
          <w:rStyle w:val="FootnoteReference"/>
          <w:sz w:val="24"/>
          <w:lang w:val="pt-PT"/>
        </w:rPr>
        <w:footnoteRef/>
      </w:r>
      <w:r w:rsidR="00AD4E44" w:rsidRPr="00AD4E44">
        <w:rPr>
          <w:sz w:val="24"/>
          <w:lang w:val="pt-PT"/>
        </w:rPr>
        <w:t xml:space="preserve"> </w:t>
      </w:r>
      <w:r w:rsidR="00AD4E44" w:rsidRPr="00AD4E44">
        <w:rPr>
          <w:sz w:val="24"/>
          <w:lang w:val="pt-PT"/>
        </w:rPr>
        <w:tab/>
      </w:r>
      <w:r w:rsidRPr="00AD4E44">
        <w:rPr>
          <w:sz w:val="24"/>
          <w:lang w:val="pt-PT"/>
        </w:rPr>
        <w:t xml:space="preserve">Regulamento (CE) n.º 1107/2009 do Parlamento Europeu e do Conselho, de 21 de outubro de 2009, relativo à colocação dos produtos fitofarmacêuticos no mercado e que revoga as Diretivas 79/117/CEE e 91/414/CEE do Conselho (JO L 309 de 24.11.2009, p. 1, ELI: </w:t>
      </w:r>
      <w:hyperlink r:id="rId22" w:tooltip="Permite aceder ao documento através do seu identificador ELI." w:history="1">
        <w:r w:rsidRPr="00AD4E44">
          <w:rPr>
            <w:rStyle w:val="Hyperlink"/>
            <w:sz w:val="24"/>
            <w:lang w:val="pt-PT"/>
          </w:rPr>
          <w:t>http://data.europa.eu/eli/reg/2009/1107/oj</w:t>
        </w:r>
      </w:hyperlink>
      <w:r w:rsidRPr="00AD4E44">
        <w:rPr>
          <w:sz w:val="24"/>
          <w:lang w:val="pt-PT"/>
        </w:rPr>
        <w:t>).</w:t>
      </w:r>
    </w:p>
  </w:footnote>
  <w:footnote w:id="9">
    <w:p w14:paraId="67640096" w14:textId="026B6DA5" w:rsidR="002D52EA" w:rsidRPr="00AD4E44" w:rsidRDefault="002D52EA" w:rsidP="00AD4E44">
      <w:pPr>
        <w:pStyle w:val="FootnoteText"/>
        <w:ind w:left="567" w:hanging="567"/>
        <w:rPr>
          <w:sz w:val="24"/>
          <w:lang w:val="pt-PT"/>
        </w:rPr>
      </w:pPr>
      <w:r w:rsidRPr="00AD4E44">
        <w:rPr>
          <w:rStyle w:val="FootnoteReference"/>
          <w:sz w:val="24"/>
          <w:lang w:val="pt-PT"/>
        </w:rPr>
        <w:footnoteRef/>
      </w:r>
      <w:r w:rsidR="00AD4E44" w:rsidRPr="00AD4E44">
        <w:rPr>
          <w:sz w:val="24"/>
          <w:lang w:val="pt-PT"/>
        </w:rPr>
        <w:t xml:space="preserve"> </w:t>
      </w:r>
      <w:r w:rsidR="00AD4E44" w:rsidRPr="00AD4E44">
        <w:rPr>
          <w:sz w:val="24"/>
          <w:lang w:val="pt-PT"/>
        </w:rPr>
        <w:tab/>
      </w:r>
      <w:r w:rsidRPr="00AD4E44">
        <w:rPr>
          <w:sz w:val="24"/>
          <w:lang w:val="pt-PT"/>
        </w:rPr>
        <w:t>Em dezembro de 2022, no âmbito da COP15 na Convenção das Nações Unidas sobre a Diversidade Biológica, foi acordado um quadro mundial para a biodiversidade, que inclui uma meta mundial de redução do risco dos pesticidas em, pelo menos, 50 % até 2030 (ver:</w:t>
      </w:r>
      <w:r w:rsidRPr="00AD4E44">
        <w:rPr>
          <w:color w:val="000000" w:themeColor="text1"/>
          <w:sz w:val="24"/>
          <w:lang w:val="pt-PT"/>
        </w:rPr>
        <w:t xml:space="preserve"> </w:t>
      </w:r>
      <w:hyperlink r:id="rId23" w:history="1">
        <w:r w:rsidRPr="00AD4E44">
          <w:rPr>
            <w:rStyle w:val="Hyperlink"/>
            <w:sz w:val="24"/>
            <w:lang w:val="pt-PT"/>
          </w:rPr>
          <w:t>https://ec.europa.eu/commission/presscorner/detail/pt/ip_22_7834</w:t>
        </w:r>
      </w:hyperlink>
      <w:r w:rsidRPr="00AD4E44">
        <w:rPr>
          <w:sz w:val="24"/>
          <w:lang w:val="pt-PT"/>
        </w:rPr>
        <w:t>)</w:t>
      </w:r>
      <w:r w:rsidR="00E33C36">
        <w:rPr>
          <w:sz w:val="24"/>
          <w:lang w:val="pt-PT"/>
        </w:rPr>
        <w:t>.</w:t>
      </w:r>
      <w:r w:rsidRPr="00AD4E44">
        <w:rPr>
          <w:sz w:val="24"/>
          <w:lang w:val="pt-PT"/>
        </w:rPr>
        <w:t xml:space="preserve"> </w:t>
      </w:r>
    </w:p>
  </w:footnote>
  <w:footnote w:id="10">
    <w:p w14:paraId="027761BF" w14:textId="06B050AE" w:rsidR="002D52EA" w:rsidRPr="00AD4E44" w:rsidRDefault="002D52EA" w:rsidP="00AD4E44">
      <w:pPr>
        <w:pStyle w:val="FootnoteText"/>
        <w:ind w:left="567" w:hanging="567"/>
        <w:rPr>
          <w:sz w:val="24"/>
          <w:lang w:val="pt-PT"/>
        </w:rPr>
      </w:pPr>
      <w:r w:rsidRPr="00AD4E44">
        <w:rPr>
          <w:rStyle w:val="FootnoteReference"/>
          <w:sz w:val="24"/>
          <w:lang w:val="pt-PT"/>
        </w:rPr>
        <w:footnoteRef/>
      </w:r>
      <w:r w:rsidR="00AD4E44" w:rsidRPr="00AD4E44">
        <w:rPr>
          <w:sz w:val="24"/>
          <w:lang w:val="pt-PT"/>
        </w:rPr>
        <w:t xml:space="preserve"> </w:t>
      </w:r>
      <w:r w:rsidR="00AD4E44" w:rsidRPr="00AD4E44">
        <w:rPr>
          <w:sz w:val="24"/>
          <w:lang w:val="pt-PT"/>
        </w:rPr>
        <w:tab/>
      </w:r>
      <w:hyperlink r:id="rId24" w:history="1">
        <w:r w:rsidRPr="00AD4E44">
          <w:rPr>
            <w:rStyle w:val="Hyperlink"/>
            <w:sz w:val="24"/>
            <w:lang w:val="pt-PT"/>
          </w:rPr>
          <w:t>https://commission.europa.eu/topics/agriculture</w:t>
        </w:r>
        <w:r w:rsidRPr="00AD4E44">
          <w:rPr>
            <w:rStyle w:val="Hyperlink"/>
            <w:sz w:val="24"/>
            <w:lang w:val="pt-PT"/>
          </w:rPr>
          <w:noBreakHyphen/>
          <w:t>and</w:t>
        </w:r>
        <w:r w:rsidRPr="00AD4E44">
          <w:rPr>
            <w:rStyle w:val="Hyperlink"/>
            <w:sz w:val="24"/>
            <w:lang w:val="pt-PT"/>
          </w:rPr>
          <w:noBreakHyphen/>
          <w:t>rural</w:t>
        </w:r>
        <w:r w:rsidRPr="00AD4E44">
          <w:rPr>
            <w:rStyle w:val="Hyperlink"/>
            <w:sz w:val="24"/>
            <w:lang w:val="pt-PT"/>
          </w:rPr>
          <w:noBreakHyphen/>
          <w:t>development/strategic</w:t>
        </w:r>
        <w:r w:rsidRPr="00AD4E44">
          <w:rPr>
            <w:rStyle w:val="Hyperlink"/>
            <w:sz w:val="24"/>
            <w:lang w:val="pt-PT"/>
          </w:rPr>
          <w:noBreakHyphen/>
          <w:t>dialogue</w:t>
        </w:r>
        <w:r w:rsidRPr="00AD4E44">
          <w:rPr>
            <w:rStyle w:val="Hyperlink"/>
            <w:sz w:val="24"/>
            <w:lang w:val="pt-PT"/>
          </w:rPr>
          <w:noBreakHyphen/>
          <w:t>future</w:t>
        </w:r>
        <w:r w:rsidRPr="00AD4E44">
          <w:rPr>
            <w:rStyle w:val="Hyperlink"/>
            <w:sz w:val="24"/>
            <w:lang w:val="pt-PT"/>
          </w:rPr>
          <w:noBreakHyphen/>
          <w:t>eu</w:t>
        </w:r>
        <w:r w:rsidRPr="00AD4E44">
          <w:rPr>
            <w:rStyle w:val="Hyperlink"/>
            <w:sz w:val="24"/>
            <w:lang w:val="pt-PT"/>
          </w:rPr>
          <w:noBreakHyphen/>
          <w:t>agriculture_pt</w:t>
        </w:r>
      </w:hyperlink>
      <w:r w:rsidRPr="00AD4E44">
        <w:rPr>
          <w:sz w:val="24"/>
          <w:lang w:val="pt-PT"/>
        </w:rPr>
        <w:t xml:space="preserve">. </w:t>
      </w:r>
    </w:p>
  </w:footnote>
  <w:footnote w:id="11">
    <w:p w14:paraId="38ED9B67" w14:textId="3BB598BE" w:rsidR="002D52EA" w:rsidRPr="00AD4E44" w:rsidRDefault="002D52EA" w:rsidP="00AD4E44">
      <w:pPr>
        <w:pStyle w:val="FootnoteText"/>
        <w:ind w:left="567" w:hanging="567"/>
        <w:rPr>
          <w:sz w:val="24"/>
          <w:lang w:val="pt-PT"/>
        </w:rPr>
      </w:pPr>
      <w:r w:rsidRPr="00AD4E44">
        <w:rPr>
          <w:rStyle w:val="FootnoteReference"/>
          <w:sz w:val="24"/>
          <w:lang w:val="pt-PT"/>
        </w:rPr>
        <w:footnoteRef/>
      </w:r>
      <w:r w:rsidR="00AD4E44" w:rsidRPr="00AD4E44">
        <w:rPr>
          <w:sz w:val="24"/>
          <w:lang w:val="pt-PT"/>
        </w:rPr>
        <w:t xml:space="preserve"> </w:t>
      </w:r>
      <w:r w:rsidR="00AD4E44" w:rsidRPr="00AD4E44">
        <w:rPr>
          <w:sz w:val="24"/>
          <w:lang w:val="pt-PT"/>
        </w:rPr>
        <w:tab/>
      </w:r>
      <w:r w:rsidRPr="00AD4E44">
        <w:rPr>
          <w:sz w:val="24"/>
          <w:lang w:val="pt-PT"/>
        </w:rPr>
        <w:t>Regulamento (CE) n.º 178/2002 do Parlamento Europeu e do Conselho, de 28 de Janeiro de 2002, que determina os princípios e normas gerais da legislação alimentar, cria a Autoridade Europeia para a Segurança dos Alimentos e estabelece procedimentos em matéria de segurança dos géneros alimentícios (JO L 31 de 1.2.2002, p. 1, ELI: </w:t>
      </w:r>
      <w:hyperlink r:id="rId25" w:tgtFrame="Gives%20access%20to%20this%20document%20through%20its%20ELI%20URI." w:history="1">
        <w:r w:rsidRPr="00AD4E44">
          <w:rPr>
            <w:rStyle w:val="Hyperlink"/>
            <w:sz w:val="24"/>
            <w:lang w:val="pt-PT"/>
          </w:rPr>
          <w:t>http://data.europa.eu/eli/reg/2002/178/oj</w:t>
        </w:r>
      </w:hyperlink>
      <w:r w:rsidRPr="00AD4E44">
        <w:rPr>
          <w:sz w:val="24"/>
          <w:lang w:val="pt-PT"/>
        </w:rPr>
        <w:t>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49310864">
    <w:abstractNumId w:val="9"/>
  </w:num>
  <w:num w:numId="2" w16cid:durableId="1855880901">
    <w:abstractNumId w:val="9"/>
  </w:num>
  <w:num w:numId="3" w16cid:durableId="912546123">
    <w:abstractNumId w:val="7"/>
  </w:num>
  <w:num w:numId="4" w16cid:durableId="1710060028">
    <w:abstractNumId w:val="7"/>
  </w:num>
  <w:num w:numId="5" w16cid:durableId="1016732307">
    <w:abstractNumId w:val="6"/>
  </w:num>
  <w:num w:numId="6" w16cid:durableId="529607572">
    <w:abstractNumId w:val="6"/>
  </w:num>
  <w:num w:numId="7" w16cid:durableId="1555313067">
    <w:abstractNumId w:val="5"/>
  </w:num>
  <w:num w:numId="8" w16cid:durableId="1216087677">
    <w:abstractNumId w:val="5"/>
  </w:num>
  <w:num w:numId="9" w16cid:durableId="1382484401">
    <w:abstractNumId w:val="4"/>
  </w:num>
  <w:num w:numId="10" w16cid:durableId="1889954380">
    <w:abstractNumId w:val="4"/>
  </w:num>
  <w:num w:numId="11" w16cid:durableId="1780441775">
    <w:abstractNumId w:val="8"/>
  </w:num>
  <w:num w:numId="12" w16cid:durableId="234629453">
    <w:abstractNumId w:val="8"/>
  </w:num>
  <w:num w:numId="13" w16cid:durableId="1205292205">
    <w:abstractNumId w:val="3"/>
  </w:num>
  <w:num w:numId="14" w16cid:durableId="882986125">
    <w:abstractNumId w:val="3"/>
  </w:num>
  <w:num w:numId="15" w16cid:durableId="2060085538">
    <w:abstractNumId w:val="2"/>
  </w:num>
  <w:num w:numId="16" w16cid:durableId="1284337945">
    <w:abstractNumId w:val="2"/>
  </w:num>
  <w:num w:numId="17" w16cid:durableId="1872955247">
    <w:abstractNumId w:val="1"/>
  </w:num>
  <w:num w:numId="18" w16cid:durableId="138812487">
    <w:abstractNumId w:val="1"/>
  </w:num>
  <w:num w:numId="19" w16cid:durableId="912665933">
    <w:abstractNumId w:val="0"/>
  </w:num>
  <w:num w:numId="20" w16cid:durableId="1982732268">
    <w:abstractNumId w:val="0"/>
  </w:num>
  <w:num w:numId="21" w16cid:durableId="1848788929">
    <w:abstractNumId w:val="9"/>
  </w:num>
  <w:num w:numId="22" w16cid:durableId="769937469">
    <w:abstractNumId w:val="7"/>
  </w:num>
  <w:num w:numId="23" w16cid:durableId="1091700677">
    <w:abstractNumId w:val="6"/>
  </w:num>
  <w:num w:numId="24" w16cid:durableId="1180854592">
    <w:abstractNumId w:val="5"/>
  </w:num>
  <w:num w:numId="25" w16cid:durableId="450324355">
    <w:abstractNumId w:val="4"/>
  </w:num>
  <w:num w:numId="26" w16cid:durableId="1379666273">
    <w:abstractNumId w:val="8"/>
  </w:num>
  <w:num w:numId="27" w16cid:durableId="1688942597">
    <w:abstractNumId w:val="3"/>
  </w:num>
  <w:num w:numId="28" w16cid:durableId="1729838083">
    <w:abstractNumId w:val="2"/>
  </w:num>
  <w:num w:numId="29" w16cid:durableId="423232412">
    <w:abstractNumId w:val="1"/>
  </w:num>
  <w:num w:numId="30" w16cid:durableId="914125956">
    <w:abstractNumId w:val="0"/>
  </w:num>
  <w:num w:numId="31" w16cid:durableId="1075400625">
    <w:abstractNumId w:val="9"/>
  </w:num>
  <w:num w:numId="32" w16cid:durableId="1224371882">
    <w:abstractNumId w:val="7"/>
  </w:num>
  <w:num w:numId="33" w16cid:durableId="1322655124">
    <w:abstractNumId w:val="6"/>
  </w:num>
  <w:num w:numId="34" w16cid:durableId="1402366958">
    <w:abstractNumId w:val="5"/>
  </w:num>
  <w:num w:numId="35" w16cid:durableId="1471246793">
    <w:abstractNumId w:val="4"/>
  </w:num>
  <w:num w:numId="36" w16cid:durableId="1180701374">
    <w:abstractNumId w:val="8"/>
  </w:num>
  <w:num w:numId="37" w16cid:durableId="1164198216">
    <w:abstractNumId w:val="3"/>
  </w:num>
  <w:num w:numId="38" w16cid:durableId="1724677998">
    <w:abstractNumId w:val="2"/>
  </w:num>
  <w:num w:numId="39" w16cid:durableId="1184171504">
    <w:abstractNumId w:val="1"/>
  </w:num>
  <w:num w:numId="40" w16cid:durableId="1094594468">
    <w:abstractNumId w:val="0"/>
  </w:num>
  <w:num w:numId="41" w16cid:durableId="969746665">
    <w:abstractNumId w:val="10"/>
  </w:num>
  <w:num w:numId="42" w16cid:durableId="1149177403">
    <w:abstractNumId w:val="10"/>
  </w:num>
  <w:num w:numId="43" w16cid:durableId="536234847">
    <w:abstractNumId w:val="10"/>
  </w:num>
  <w:num w:numId="44" w16cid:durableId="70460407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6145"/>
  </w:hdrShapeDefaults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59/2025"/>
    <w:docVar w:name="dvlangue" w:val="PT"/>
    <w:docVar w:name="dvnumam" w:val="0"/>
    <w:docVar w:name="dvpe" w:val="779.398"/>
    <w:docVar w:name="dvtitre" w:val="Resolução do Parlamento Europeu, de ... de ... de 2025,_x000d__x000a_ sobre o projeto de decisão de execução da Comissão que autoriza a colocação no mercado de géneros alimentícios, ingredientes alimentares e alimentos para animais produzidos a partir de beterraba geneticamente modificada KWS20_x001e_1, nos termos do Regulamento (CE) n.º 1829/2003 do Parlamento Europeu e do Conselho(D110122/02 – 2025/2959(RSP))"/>
  </w:docVars>
  <w:rsids>
    <w:rsidRoot w:val="001D793F"/>
    <w:rsid w:val="00002272"/>
    <w:rsid w:val="00064002"/>
    <w:rsid w:val="000677B9"/>
    <w:rsid w:val="000831BA"/>
    <w:rsid w:val="000A42CC"/>
    <w:rsid w:val="000E7DD9"/>
    <w:rsid w:val="0010095E"/>
    <w:rsid w:val="0012268E"/>
    <w:rsid w:val="00125B37"/>
    <w:rsid w:val="001553A6"/>
    <w:rsid w:val="00187494"/>
    <w:rsid w:val="001D793F"/>
    <w:rsid w:val="001F32AE"/>
    <w:rsid w:val="00236F1E"/>
    <w:rsid w:val="002767FF"/>
    <w:rsid w:val="002B18FE"/>
    <w:rsid w:val="002B5493"/>
    <w:rsid w:val="002D52EA"/>
    <w:rsid w:val="002F72F3"/>
    <w:rsid w:val="00343214"/>
    <w:rsid w:val="00361C00"/>
    <w:rsid w:val="00395FA1"/>
    <w:rsid w:val="003E15D4"/>
    <w:rsid w:val="00411CCE"/>
    <w:rsid w:val="0041666E"/>
    <w:rsid w:val="00421060"/>
    <w:rsid w:val="00431AE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85D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707CF"/>
    <w:rsid w:val="00881A7B"/>
    <w:rsid w:val="008840E5"/>
    <w:rsid w:val="00887B3E"/>
    <w:rsid w:val="008C2AC6"/>
    <w:rsid w:val="0092489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4E44"/>
    <w:rsid w:val="00AE0928"/>
    <w:rsid w:val="00AF3B82"/>
    <w:rsid w:val="00B12E95"/>
    <w:rsid w:val="00B22876"/>
    <w:rsid w:val="00B32156"/>
    <w:rsid w:val="00B558F0"/>
    <w:rsid w:val="00BD48FE"/>
    <w:rsid w:val="00BD7BD8"/>
    <w:rsid w:val="00BE6ADC"/>
    <w:rsid w:val="00C05BFE"/>
    <w:rsid w:val="00C23CD4"/>
    <w:rsid w:val="00C61C0C"/>
    <w:rsid w:val="00C941CB"/>
    <w:rsid w:val="00CA6D9C"/>
    <w:rsid w:val="00CC2357"/>
    <w:rsid w:val="00CF071A"/>
    <w:rsid w:val="00D058B8"/>
    <w:rsid w:val="00D56C11"/>
    <w:rsid w:val="00D834A0"/>
    <w:rsid w:val="00D872DF"/>
    <w:rsid w:val="00D91E21"/>
    <w:rsid w:val="00DA7FCD"/>
    <w:rsid w:val="00E33C36"/>
    <w:rsid w:val="00E365E1"/>
    <w:rsid w:val="00E55C02"/>
    <w:rsid w:val="00E820A4"/>
    <w:rsid w:val="00EB006A"/>
    <w:rsid w:val="00EB4772"/>
    <w:rsid w:val="00ED169E"/>
    <w:rsid w:val="00ED4235"/>
    <w:rsid w:val="00F04346"/>
    <w:rsid w:val="00F075DC"/>
    <w:rsid w:val="00F149E9"/>
    <w:rsid w:val="00F30B36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3B065D19"/>
  <w15:chartTrackingRefBased/>
  <w15:docId w15:val="{8C2867DB-1D5E-461B-B467-09FEE8DB1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qFormat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uiPriority w:val="99"/>
    <w:rsid w:val="002D52EA"/>
    <w:pPr>
      <w:spacing w:before="480" w:after="240"/>
    </w:pPr>
  </w:style>
  <w:style w:type="paragraph" w:customStyle="1" w:styleId="NormalHanging12a">
    <w:name w:val="NormalHanging12a"/>
    <w:basedOn w:val="Normal"/>
    <w:qFormat/>
    <w:rsid w:val="002D52EA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rsid w:val="002D52EA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D52EA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E33C36"/>
    <w:rPr>
      <w:sz w:val="24"/>
      <w:lang w:val="pt-PT"/>
    </w:rPr>
  </w:style>
  <w:style w:type="paragraph" w:styleId="Header">
    <w:name w:val="header"/>
    <w:basedOn w:val="Normal"/>
    <w:link w:val="HeaderChar"/>
    <w:rsid w:val="0057485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7485D"/>
    <w:rPr>
      <w:sz w:val="24"/>
      <w:lang w:val="pt-PT"/>
    </w:rPr>
  </w:style>
  <w:style w:type="paragraph" w:styleId="Footer">
    <w:name w:val="footer"/>
    <w:basedOn w:val="Normal"/>
    <w:link w:val="FooterChar"/>
    <w:rsid w:val="0057485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7485D"/>
    <w:rPr>
      <w:sz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34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://data.europa.eu/eli/C/2025/1801/oj" TargetMode="External"/><Relationship Id="rId13" Type="http://schemas.openxmlformats.org/officeDocument/2006/relationships/hyperlink" Target="http://data.europa.eu/eli/C/2025/2247/oj" TargetMode="External"/><Relationship Id="rId18" Type="http://schemas.openxmlformats.org/officeDocument/2006/relationships/hyperlink" Target="https://doi.org/10.1016/j.mrrev.2019.02.001" TargetMode="External"/><Relationship Id="rId3" Type="http://schemas.openxmlformats.org/officeDocument/2006/relationships/hyperlink" Target="https://doi.org/10.2903/j.efsa.2025.9381" TargetMode="External"/><Relationship Id="rId21" Type="http://schemas.openxmlformats.org/officeDocument/2006/relationships/hyperlink" Target="https://doi.org/10.1186/s13045-019-0767-9" TargetMode="External"/><Relationship Id="rId7" Type="http://schemas.openxmlformats.org/officeDocument/2006/relationships/hyperlink" Target="http://data.europa.eu/eli/C/2025/1800/oj" TargetMode="External"/><Relationship Id="rId12" Type="http://schemas.openxmlformats.org/officeDocument/2006/relationships/hyperlink" Target="http://data.europa.eu/eli/C/2025/2246/oj" TargetMode="External"/><Relationship Id="rId17" Type="http://schemas.openxmlformats.org/officeDocument/2006/relationships/hyperlink" Target="https://doi.org/10.1016/j.geoforum.2009.03.009" TargetMode="External"/><Relationship Id="rId25" Type="http://schemas.openxmlformats.org/officeDocument/2006/relationships/hyperlink" Target="http://data.europa.eu/eli/reg/2002/178/oj" TargetMode="External"/><Relationship Id="rId2" Type="http://schemas.openxmlformats.org/officeDocument/2006/relationships/hyperlink" Target="http://data.europa.eu/eli/reg/2011/182/oj" TargetMode="External"/><Relationship Id="rId16" Type="http://schemas.openxmlformats.org/officeDocument/2006/relationships/hyperlink" Target="https://doi.org/10.1002/ps.8105" TargetMode="External"/><Relationship Id="rId20" Type="http://schemas.openxmlformats.org/officeDocument/2006/relationships/hyperlink" Target="https://doi.org/10.1371/journal.pone.0219610" TargetMode="External"/><Relationship Id="rId1" Type="http://schemas.openxmlformats.org/officeDocument/2006/relationships/hyperlink" Target="http://data.europa.eu/eli/reg/2003/1829/oj" TargetMode="External"/><Relationship Id="rId6" Type="http://schemas.openxmlformats.org/officeDocument/2006/relationships/hyperlink" Target="http://data.europa.eu/eli/C/2025/1799/oj" TargetMode="External"/><Relationship Id="rId11" Type="http://schemas.openxmlformats.org/officeDocument/2006/relationships/hyperlink" Target="http://data.europa.eu/eli/C/2025/1804/oj" TargetMode="External"/><Relationship Id="rId24" Type="http://schemas.openxmlformats.org/officeDocument/2006/relationships/hyperlink" Target="https://commission.europa.eu/topics/agriculture-and-rural-development/strategic-dialogue-future-eu-agriculture_pt" TargetMode="External"/><Relationship Id="rId5" Type="http://schemas.openxmlformats.org/officeDocument/2006/relationships/hyperlink" Target="http://data.europa.eu/eli/C/2025/1798/oj" TargetMode="External"/><Relationship Id="rId15" Type="http://schemas.openxmlformats.org/officeDocument/2006/relationships/hyperlink" Target="https://doi.org/10.1186/2190-4715-24-24" TargetMode="External"/><Relationship Id="rId23" Type="http://schemas.openxmlformats.org/officeDocument/2006/relationships/hyperlink" Target="https://ec.europa.eu/commission/presscorner/detail/pt/ip_22_7834" TargetMode="External"/><Relationship Id="rId10" Type="http://schemas.openxmlformats.org/officeDocument/2006/relationships/hyperlink" Target="http://data.europa.eu/eli/C/2025/1803/oj" TargetMode="External"/><Relationship Id="rId19" Type="http://schemas.openxmlformats.org/officeDocument/2006/relationships/hyperlink" Target="https://doi.org/10.1093/ije/dyz017" TargetMode="External"/><Relationship Id="rId4" Type="http://schemas.openxmlformats.org/officeDocument/2006/relationships/hyperlink" Target="http://data.europa.eu/eli/C/2025/1797/oj" TargetMode="External"/><Relationship Id="rId9" Type="http://schemas.openxmlformats.org/officeDocument/2006/relationships/hyperlink" Target="http://data.europa.eu/eli/C/2025/1802/oj" TargetMode="External"/><Relationship Id="rId14" Type="http://schemas.openxmlformats.org/officeDocument/2006/relationships/hyperlink" Target="https://doi.org/10.1007/s00267-015-0589-7" TargetMode="External"/><Relationship Id="rId22" Type="http://schemas.openxmlformats.org/officeDocument/2006/relationships/hyperlink" Target="http://data.europa.eu/eli/reg/2009/1107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7</Pages>
  <Words>1840</Words>
  <Characters>10109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SILVA Carla Marina</cp:lastModifiedBy>
  <cp:revision>2</cp:revision>
  <cp:lastPrinted>2004-11-19T15:42:00Z</cp:lastPrinted>
  <dcterms:created xsi:type="dcterms:W3CDTF">2026-01-28T15:47:00Z</dcterms:created>
  <dcterms:modified xsi:type="dcterms:W3CDTF">2026-01-28T15:47:00Z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B10-0559/2025</vt:lpwstr>
  </property>
  <property fmtid="{D5CDD505-2E9C-101B-9397-08002B2CF9AE}" pid="4" name="&lt;Type&gt;">
    <vt:lpwstr>RR</vt:lpwstr>
  </property>
</Properties>
</file>