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4D1" w14:paraId="0180093A" w14:textId="77777777" w:rsidTr="0010095E">
        <w:trPr>
          <w:trHeight w:hRule="exact" w:val="1418"/>
        </w:trPr>
        <w:tc>
          <w:tcPr>
            <w:tcW w:w="6804" w:type="dxa"/>
            <w:shd w:val="clear" w:color="auto" w:fill="auto"/>
            <w:vAlign w:val="center"/>
          </w:tcPr>
          <w:p w14:paraId="767669D6" w14:textId="77777777" w:rsidR="00751A4A" w:rsidRPr="00CF64D1" w:rsidRDefault="002F4544" w:rsidP="0010095E">
            <w:pPr>
              <w:pStyle w:val="EPName"/>
            </w:pPr>
            <w:r w:rsidRPr="00CF64D1">
              <w:t>Európsky parlament</w:t>
            </w:r>
          </w:p>
          <w:p w14:paraId="37C72616" w14:textId="77777777" w:rsidR="00751A4A" w:rsidRPr="00CF64D1" w:rsidRDefault="005F1B17" w:rsidP="005F1B17">
            <w:pPr>
              <w:pStyle w:val="EPTerm"/>
              <w:rPr>
                <w:rStyle w:val="HideTWBExt"/>
                <w:noProof w:val="0"/>
                <w:vanish w:val="0"/>
                <w:color w:val="auto"/>
              </w:rPr>
            </w:pPr>
            <w:r w:rsidRPr="00CF64D1">
              <w:t>2024</w:t>
            </w:r>
            <w:r w:rsidR="00817416" w:rsidRPr="00CF64D1">
              <w:t>-202</w:t>
            </w:r>
            <w:r w:rsidRPr="00CF64D1">
              <w:t>9</w:t>
            </w:r>
          </w:p>
        </w:tc>
        <w:tc>
          <w:tcPr>
            <w:tcW w:w="2268" w:type="dxa"/>
            <w:shd w:val="clear" w:color="auto" w:fill="auto"/>
          </w:tcPr>
          <w:p w14:paraId="6E0CF0D5" w14:textId="77777777" w:rsidR="00751A4A" w:rsidRPr="00CF64D1" w:rsidRDefault="00187494" w:rsidP="0010095E">
            <w:pPr>
              <w:pStyle w:val="EPLogo"/>
            </w:pPr>
            <w:r w:rsidRPr="00CF64D1">
              <w:rPr>
                <w:noProof/>
                <w:lang w:eastAsia="ja-JP"/>
              </w:rPr>
              <w:drawing>
                <wp:inline distT="0" distB="0" distL="0" distR="0" wp14:anchorId="7D8E4417" wp14:editId="55D723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EEB4A3" w14:textId="77777777" w:rsidR="00D058B8" w:rsidRPr="00CF64D1" w:rsidRDefault="00D058B8" w:rsidP="004C5D52">
      <w:pPr>
        <w:pStyle w:val="LineTop"/>
      </w:pPr>
    </w:p>
    <w:p w14:paraId="0B949E65" w14:textId="77777777" w:rsidR="00680577" w:rsidRPr="00CF64D1" w:rsidRDefault="002F4544" w:rsidP="00680577">
      <w:pPr>
        <w:pStyle w:val="EPBodyTA1"/>
      </w:pPr>
      <w:r w:rsidRPr="00CF64D1">
        <w:t>PRIJATÉ TEXTY</w:t>
      </w:r>
    </w:p>
    <w:p w14:paraId="5F8D4B1D" w14:textId="77777777" w:rsidR="00D058B8" w:rsidRPr="00CF64D1" w:rsidRDefault="00D058B8" w:rsidP="00D058B8">
      <w:pPr>
        <w:pStyle w:val="LineBottom"/>
      </w:pPr>
    </w:p>
    <w:p w14:paraId="4A87857E" w14:textId="2D1D2F40" w:rsidR="002F4544" w:rsidRPr="00CF64D1" w:rsidRDefault="002F4544" w:rsidP="002F4544">
      <w:pPr>
        <w:pStyle w:val="ATHeading1"/>
      </w:pPr>
      <w:bookmarkStart w:id="0" w:name="TANumber"/>
      <w:r w:rsidRPr="00CF64D1">
        <w:t>P10_TA(2025)0</w:t>
      </w:r>
      <w:r w:rsidR="00CF64D1" w:rsidRPr="00CF64D1">
        <w:t>328</w:t>
      </w:r>
      <w:bookmarkEnd w:id="0"/>
    </w:p>
    <w:p w14:paraId="4C190EC9" w14:textId="2439A6CC" w:rsidR="002F4544" w:rsidRPr="00CF64D1" w:rsidRDefault="0057103A" w:rsidP="002F4544">
      <w:pPr>
        <w:pStyle w:val="ATHeading2"/>
      </w:pPr>
      <w:bookmarkStart w:id="1" w:name="title"/>
      <w:r w:rsidRPr="00CF64D1">
        <w:t>G</w:t>
      </w:r>
      <w:r w:rsidR="002F4544" w:rsidRPr="00CF64D1">
        <w:t>eneticky modifikovaná cukrová repa KWS20-1</w:t>
      </w:r>
      <w:bookmarkEnd w:id="1"/>
    </w:p>
    <w:p w14:paraId="785910F4" w14:textId="77777777" w:rsidR="002F4544" w:rsidRPr="00CF64D1" w:rsidRDefault="002F4544" w:rsidP="002F4544">
      <w:pPr>
        <w:rPr>
          <w:i/>
          <w:vanish/>
        </w:rPr>
      </w:pPr>
      <w:r w:rsidRPr="00CF64D1">
        <w:rPr>
          <w:i/>
        </w:rPr>
        <w:fldChar w:fldCharType="begin"/>
      </w:r>
      <w:r w:rsidRPr="00CF64D1">
        <w:rPr>
          <w:i/>
        </w:rPr>
        <w:instrText xml:space="preserve"> TC"(</w:instrText>
      </w:r>
      <w:bookmarkStart w:id="2" w:name="DocNumber"/>
      <w:r w:rsidRPr="00CF64D1">
        <w:rPr>
          <w:i/>
        </w:rPr>
        <w:instrText>B10-0559/2025</w:instrText>
      </w:r>
      <w:bookmarkEnd w:id="2"/>
      <w:r w:rsidRPr="00CF64D1">
        <w:rPr>
          <w:i/>
        </w:rPr>
        <w:instrText xml:space="preserve">)"\l3 \n&gt; \* MERGEFORMAT </w:instrText>
      </w:r>
      <w:r w:rsidRPr="00CF64D1">
        <w:rPr>
          <w:i/>
        </w:rPr>
        <w:fldChar w:fldCharType="end"/>
      </w:r>
    </w:p>
    <w:p w14:paraId="0BEC5BFA" w14:textId="77777777" w:rsidR="002F4544" w:rsidRPr="00CF64D1" w:rsidRDefault="002F4544" w:rsidP="002F4544">
      <w:pPr>
        <w:rPr>
          <w:vanish/>
        </w:rPr>
      </w:pPr>
      <w:bookmarkStart w:id="3" w:name="PE"/>
      <w:r w:rsidRPr="00CF64D1">
        <w:rPr>
          <w:vanish/>
        </w:rPr>
        <w:t>PE779.398</w:t>
      </w:r>
      <w:bookmarkEnd w:id="3"/>
    </w:p>
    <w:p w14:paraId="059138B3" w14:textId="302276E0" w:rsidR="002F4544" w:rsidRPr="00CF64D1" w:rsidRDefault="002F4544" w:rsidP="002F4544">
      <w:pPr>
        <w:pStyle w:val="ATHeading3"/>
      </w:pPr>
      <w:bookmarkStart w:id="4" w:name="Sujet"/>
      <w:r w:rsidRPr="00CF64D1">
        <w:t>Uznesenie Európskeho parlamentu z</w:t>
      </w:r>
      <w:r w:rsidR="0057103A" w:rsidRPr="00CF64D1">
        <w:t>o</w:t>
      </w:r>
      <w:r w:rsidRPr="00CF64D1">
        <w:t xml:space="preserve"> </w:t>
      </w:r>
      <w:r w:rsidR="0057103A" w:rsidRPr="00CF64D1">
        <w:t>16</w:t>
      </w:r>
      <w:r w:rsidRPr="00CF64D1">
        <w:t>. decembra 2025 o návrhu vykonávacieho rozhodnutia Komisie, ktorým sa podľa nariadenia Európskeho parlamentu a Rady (ES) č. 1829/2003 povoľuje umiestniť na trh potraviny, zložky potravín a krmivá, ktoré sú vyrobené z geneticky modifikovanej cukrovej repy KWS20-1</w:t>
      </w:r>
      <w:bookmarkEnd w:id="4"/>
      <w:r w:rsidRPr="00CF64D1">
        <w:t xml:space="preserve"> </w:t>
      </w:r>
      <w:bookmarkStart w:id="5" w:name="References"/>
      <w:r w:rsidRPr="00CF64D1">
        <w:t>(D110122/02 – 2025/2959(RSP))</w:t>
      </w:r>
      <w:bookmarkEnd w:id="5"/>
    </w:p>
    <w:p w14:paraId="617E008F" w14:textId="77777777" w:rsidR="002C5EC3" w:rsidRPr="00CF64D1" w:rsidRDefault="002C5EC3" w:rsidP="002C5EC3">
      <w:pPr>
        <w:pStyle w:val="EPComma"/>
      </w:pPr>
      <w:bookmarkStart w:id="6" w:name="TextBodyBegin"/>
      <w:bookmarkEnd w:id="6"/>
      <w:r w:rsidRPr="00CF64D1">
        <w:rPr>
          <w:i/>
        </w:rPr>
        <w:t>Európsky parlament</w:t>
      </w:r>
      <w:r w:rsidRPr="00CF64D1">
        <w:t>,</w:t>
      </w:r>
    </w:p>
    <w:p w14:paraId="39E858DF" w14:textId="77777777" w:rsidR="002C5EC3" w:rsidRPr="00CF64D1" w:rsidRDefault="002C5EC3" w:rsidP="002C5EC3">
      <w:pPr>
        <w:pStyle w:val="NormalHanging12a"/>
      </w:pPr>
      <w:r w:rsidRPr="00CF64D1">
        <w:t>–</w:t>
      </w:r>
      <w:r w:rsidRPr="00CF64D1">
        <w:tab/>
        <w:t>so zreteľom na návrh vykonávacieho rozhodnutia Komisie, ktorým sa podľa nariadenia Európskeho parlamentu a Rady (ES) č. 1829/2003 povoľuje umiestniť na trh potraviny, zložky potravín a krmivá, ktoré sú vyrobené z geneticky modifikovanej cukrovej repy KWS20-1 (D110122/02),</w:t>
      </w:r>
    </w:p>
    <w:p w14:paraId="21A64492" w14:textId="77777777" w:rsidR="002C5EC3" w:rsidRPr="00CF64D1" w:rsidRDefault="002C5EC3" w:rsidP="002C5EC3">
      <w:pPr>
        <w:pStyle w:val="NormalHanging12a"/>
      </w:pPr>
      <w:r w:rsidRPr="00CF64D1">
        <w:t>–</w:t>
      </w:r>
      <w:r w:rsidRPr="00CF64D1">
        <w:tab/>
        <w:t>so zreteľom na nariadenie Európskeho parlamentu a Rady (ES) č. 1829/2003 z 22. septembra 2003 o geneticky modifikovaných potravinách a krmivách</w:t>
      </w:r>
      <w:r w:rsidRPr="00CF64D1">
        <w:rPr>
          <w:vertAlign w:val="superscript"/>
        </w:rPr>
        <w:footnoteReference w:id="1"/>
      </w:r>
      <w:r w:rsidRPr="00CF64D1">
        <w:t>, a najmä na jeho článok 7 ods. 3 a článok 19 ods. 3,</w:t>
      </w:r>
    </w:p>
    <w:p w14:paraId="02A15B8D" w14:textId="200073B5" w:rsidR="002C5EC3" w:rsidRPr="00CF64D1" w:rsidRDefault="002C5EC3" w:rsidP="002C5EC3">
      <w:pPr>
        <w:pStyle w:val="NormalHanging12a"/>
      </w:pPr>
      <w:r w:rsidRPr="00CF64D1">
        <w:t>–</w:t>
      </w:r>
      <w:r w:rsidRPr="00CF64D1">
        <w:tab/>
        <w:t>so zreteľom na hlasovanie Stáleho výboru pre rastliny, zvieratá, potraviny a krmivá podľa článku 35 nariadenia (ES) č. 1829/2003, ktoré sa konalo 14. októbra 2025 a na ktorom sa rozhodlo, že sa nevydá žiadne stanovisko</w:t>
      </w:r>
      <w:r w:rsidR="00696C1F" w:rsidRPr="00CF64D1">
        <w:t>, a na hlasovanie odvolacieho výboru z 28. novembra 2025, počas ktorého opätovne nebolo prijaté žiadne stanovisko</w:t>
      </w:r>
      <w:r w:rsidRPr="00CF64D1">
        <w:t>,</w:t>
      </w:r>
    </w:p>
    <w:p w14:paraId="0341E0C8" w14:textId="77777777" w:rsidR="002C5EC3" w:rsidRPr="00CF64D1" w:rsidRDefault="002C5EC3" w:rsidP="002C5EC3">
      <w:pPr>
        <w:pStyle w:val="NormalHanging12a"/>
        <w:widowControl/>
      </w:pPr>
      <w:r w:rsidRPr="00CF64D1">
        <w:t>–</w:t>
      </w:r>
      <w:r w:rsidRPr="00CF64D1">
        <w:tab/>
        <w:t>so zreteľom na článok 11 nariadenia Európskeho parlamentu a Rady (EÚ) č. 182/2011 zo 16. februára 2011, ktorým sa ustanovujú pravidlá a všeobecné zásady mechanizmu, na základe ktorého členské štáty kontrolujú vykonávanie vykonávacích právomocí Komisie</w:t>
      </w:r>
      <w:r w:rsidRPr="00CF64D1">
        <w:rPr>
          <w:rStyle w:val="FootnoteReference"/>
          <w:szCs w:val="24"/>
        </w:rPr>
        <w:footnoteReference w:id="2"/>
      </w:r>
      <w:r w:rsidRPr="00CF64D1">
        <w:t>,</w:t>
      </w:r>
    </w:p>
    <w:p w14:paraId="115900C0" w14:textId="77777777" w:rsidR="002C5EC3" w:rsidRPr="00CF64D1" w:rsidRDefault="002C5EC3" w:rsidP="002C5EC3">
      <w:pPr>
        <w:pStyle w:val="NormalHanging12a"/>
      </w:pPr>
      <w:r w:rsidRPr="00CF64D1">
        <w:t>–</w:t>
      </w:r>
      <w:r w:rsidRPr="00CF64D1">
        <w:tab/>
        <w:t>so zreteľom na stanovisko, ktoré prijal Európsky úrad pre bezpečnosť potravín (EFSA) 26. marca 2025 a ktoré bolo uverejnené 12. mája 2025</w:t>
      </w:r>
      <w:r w:rsidRPr="00CF64D1">
        <w:rPr>
          <w:rStyle w:val="FootnoteReference"/>
        </w:rPr>
        <w:footnoteReference w:id="3"/>
      </w:r>
      <w:r w:rsidRPr="00CF64D1">
        <w:t>,</w:t>
      </w:r>
    </w:p>
    <w:p w14:paraId="1E7E70AE" w14:textId="77777777" w:rsidR="002C5EC3" w:rsidRPr="00CF64D1" w:rsidRDefault="002C5EC3" w:rsidP="002C5EC3">
      <w:pPr>
        <w:pStyle w:val="NormalHanging12a"/>
      </w:pPr>
      <w:r w:rsidRPr="00CF64D1">
        <w:lastRenderedPageBreak/>
        <w:t>–</w:t>
      </w:r>
      <w:r w:rsidRPr="00CF64D1">
        <w:tab/>
        <w:t>so zreteľom na svoje predchádzajúce uznesenia, v ktorých namieta proti povoľovaniu geneticky modifikovaných organizmov (ďalej len „GMO“)</w:t>
      </w:r>
      <w:r w:rsidRPr="00CF64D1">
        <w:rPr>
          <w:rStyle w:val="FootnoteReference"/>
        </w:rPr>
        <w:footnoteReference w:id="4"/>
      </w:r>
      <w:r w:rsidRPr="00CF64D1">
        <w:t>,</w:t>
      </w:r>
    </w:p>
    <w:p w14:paraId="73B5987F" w14:textId="77777777" w:rsidR="002C5EC3" w:rsidRPr="00CF64D1" w:rsidRDefault="002C5EC3" w:rsidP="002C5EC3">
      <w:pPr>
        <w:pStyle w:val="NormalHanging12a"/>
      </w:pPr>
      <w:r w:rsidRPr="00CF64D1">
        <w:lastRenderedPageBreak/>
        <w:t>–</w:t>
      </w:r>
      <w:r w:rsidRPr="00CF64D1">
        <w:tab/>
        <w:t>so zreteľom na článok 115 ods. 2 a 3 rokovacieho poriadku,</w:t>
      </w:r>
    </w:p>
    <w:p w14:paraId="18A82D3C" w14:textId="77777777" w:rsidR="002C5EC3" w:rsidRPr="00CF64D1" w:rsidRDefault="002C5EC3" w:rsidP="002C5EC3">
      <w:pPr>
        <w:pStyle w:val="NormalHanging12a"/>
      </w:pPr>
      <w:r w:rsidRPr="00CF64D1">
        <w:lastRenderedPageBreak/>
        <w:t>–</w:t>
      </w:r>
      <w:r w:rsidRPr="00CF64D1">
        <w:tab/>
        <w:t>so zreteľom na návrh uznesenia Výboru pre životné prostredie, klímu a bezpečnosť potravín,</w:t>
      </w:r>
    </w:p>
    <w:p w14:paraId="06DC1C42" w14:textId="77777777" w:rsidR="002C5EC3" w:rsidRPr="00CF64D1" w:rsidRDefault="002C5EC3" w:rsidP="002C5EC3">
      <w:pPr>
        <w:pStyle w:val="NormalHanging12a"/>
      </w:pPr>
      <w:r w:rsidRPr="00CF64D1">
        <w:t>A.</w:t>
      </w:r>
      <w:r w:rsidRPr="00CF64D1">
        <w:tab/>
        <w:t xml:space="preserve">keďže spoločnosť Bayer </w:t>
      </w:r>
      <w:proofErr w:type="spellStart"/>
      <w:r w:rsidRPr="00CF64D1">
        <w:t>Agriculture</w:t>
      </w:r>
      <w:proofErr w:type="spellEnd"/>
      <w:r w:rsidRPr="00CF64D1">
        <w:t xml:space="preserve"> B.V. so sídlom v Belgicku predložila 30. mája 2023 v mene spoločnosti Bayer </w:t>
      </w:r>
      <w:proofErr w:type="spellStart"/>
      <w:r w:rsidRPr="00CF64D1">
        <w:t>CropScience</w:t>
      </w:r>
      <w:proofErr w:type="spellEnd"/>
      <w:r w:rsidRPr="00CF64D1">
        <w:t xml:space="preserve"> LP so sídlom v Spojených štátoch a spoločnosti KWS SAAT SE &amp; Co. </w:t>
      </w:r>
      <w:proofErr w:type="spellStart"/>
      <w:r w:rsidRPr="00CF64D1">
        <w:t>KGaA</w:t>
      </w:r>
      <w:proofErr w:type="spellEnd"/>
      <w:r w:rsidRPr="00CF64D1">
        <w:t xml:space="preserve"> so sídlom v Nemecku </w:t>
      </w:r>
      <w:r w:rsidRPr="00CF64D1">
        <w:rPr>
          <w:snapToGrid w:val="0"/>
        </w:rPr>
        <w:t>príslušnému vnútroštátnemu orgánu Holandska</w:t>
      </w:r>
      <w:r w:rsidRPr="00CF64D1">
        <w:t xml:space="preserve"> v súlade s článkami 5 a 17 nariadenia (ES) č. 1829/2003 žiadosť o umiestnenie na trh týkajúcu sa potravín, zložiek potravín a krmív, ktoré sú vyrobené z geneticky modifikovanej cukrovej repy KWS20-1 (ďalej len „geneticky modifikovaná cukrová repa“);</w:t>
      </w:r>
    </w:p>
    <w:p w14:paraId="4534D210" w14:textId="77777777" w:rsidR="002C5EC3" w:rsidRPr="00CF64D1" w:rsidRDefault="002C5EC3" w:rsidP="002C5EC3">
      <w:pPr>
        <w:pStyle w:val="NormalHanging12a"/>
      </w:pPr>
      <w:r w:rsidRPr="00CF64D1">
        <w:t>B.</w:t>
      </w:r>
      <w:r w:rsidRPr="00CF64D1">
        <w:tab/>
        <w:t>keďže úrad EFSA vydal 12. mája 2025 priaznivé vedecké stanovisko, v ktorom dospel k záveru, že geneticky modifikovaná cukrová repa je rovnako bezpečná ako jej tradičné ekvivalenty; keďže toto stanovisko sa nezaoberalo viacerými širšími environmentálnymi, sociálno-ekonomickými a kumulatívnymi vplyvmi, ktoré podľa úradu EFSA nepatria do jeho právomoci;</w:t>
      </w:r>
    </w:p>
    <w:p w14:paraId="166B9199" w14:textId="77777777" w:rsidR="002C5EC3" w:rsidRPr="00CF64D1" w:rsidRDefault="002C5EC3" w:rsidP="002C5EC3">
      <w:pPr>
        <w:pStyle w:val="NormalHanging12a"/>
      </w:pPr>
      <w:r w:rsidRPr="00CF64D1">
        <w:t>C.</w:t>
      </w:r>
      <w:r w:rsidRPr="00CF64D1">
        <w:tab/>
        <w:t xml:space="preserve">keďže geneticky modifikovaná cukrová repa bola vyvinutá tak, aby poskytovala toleranciu voči herbicídom na báze </w:t>
      </w:r>
      <w:proofErr w:type="spellStart"/>
      <w:r w:rsidRPr="00CF64D1">
        <w:t>glyfozátu</w:t>
      </w:r>
      <w:proofErr w:type="spellEnd"/>
      <w:r w:rsidRPr="00CF64D1">
        <w:t xml:space="preserve">, </w:t>
      </w:r>
      <w:proofErr w:type="spellStart"/>
      <w:r w:rsidRPr="00CF64D1">
        <w:t>dikamby</w:t>
      </w:r>
      <w:proofErr w:type="spellEnd"/>
      <w:r w:rsidRPr="00CF64D1">
        <w:t xml:space="preserve"> a </w:t>
      </w:r>
      <w:proofErr w:type="spellStart"/>
      <w:r w:rsidRPr="00CF64D1">
        <w:t>glufosinátu</w:t>
      </w:r>
      <w:proofErr w:type="spellEnd"/>
      <w:r w:rsidRPr="00CF64D1">
        <w:t xml:space="preserve"> amónneho;</w:t>
      </w:r>
    </w:p>
    <w:p w14:paraId="37BD4FA2" w14:textId="77777777" w:rsidR="002C5EC3" w:rsidRPr="00CF64D1" w:rsidRDefault="002C5EC3" w:rsidP="002C5EC3">
      <w:pPr>
        <w:pStyle w:val="NormalHanging12a"/>
      </w:pPr>
      <w:r w:rsidRPr="00CF64D1">
        <w:t>D.</w:t>
      </w:r>
      <w:r w:rsidRPr="00CF64D1">
        <w:tab/>
        <w:t xml:space="preserve">keďže posúdenie rizika, ktoré vykonal úrad EFSA, nezahŕňalo dlhodobé toxikologické štúdie ani podrobnú analýzu kumulatívnych a kombinovaných účinkov vrátane možných interakcií s rezíduami pesticídov bežne používaných pri pestovaní cukrovej repy; </w:t>
      </w:r>
    </w:p>
    <w:p w14:paraId="74A4C467" w14:textId="77777777" w:rsidR="002C5EC3" w:rsidRPr="00CF64D1" w:rsidRDefault="002C5EC3" w:rsidP="002C5EC3">
      <w:pPr>
        <w:pStyle w:val="NormalHanging12a"/>
        <w:rPr>
          <w:color w:val="000000" w:themeColor="text1"/>
          <w:szCs w:val="24"/>
        </w:rPr>
      </w:pPr>
      <w:r w:rsidRPr="00CF64D1">
        <w:rPr>
          <w:color w:val="000000" w:themeColor="text1"/>
        </w:rPr>
        <w:t>E.</w:t>
      </w:r>
      <w:r w:rsidRPr="00CF64D1">
        <w:rPr>
          <w:color w:val="000000" w:themeColor="text1"/>
        </w:rPr>
        <w:tab/>
      </w:r>
      <w:r w:rsidRPr="00CF64D1">
        <w:t xml:space="preserve">keďže veľká väčšina geneticky modifikovaných plodín vrátane geneticky modifikovanej cukrovej repy je geneticky modifikovaná tak, aby boli odolné voči jednému alebo viacerým „doplnkovým“ herbicídom, ktoré sa môžu používať počas pestovania geneticky modifikovanej plodiny bez toho, aby uhynula, ako by to bolo v prípade plodiny, ktorá nie je odolná voči herbicídom; </w:t>
      </w:r>
      <w:r w:rsidRPr="00CF64D1">
        <w:rPr>
          <w:color w:val="000000" w:themeColor="text1"/>
        </w:rPr>
        <w:t>keďže viaceré štúdie preukázali, že geneticky modifikované plodiny odolné voči herbicídom vedú k vyššiemu používaniu doplnkových herbicídov, čo je z veľkej časti spôsobené výskytom buriny odolnej voči herbicídom</w:t>
      </w:r>
      <w:r w:rsidRPr="00CF64D1">
        <w:rPr>
          <w:rStyle w:val="FootnoteReference"/>
          <w:color w:val="000000" w:themeColor="text1"/>
          <w:szCs w:val="24"/>
        </w:rPr>
        <w:footnoteReference w:id="5"/>
      </w:r>
      <w:r w:rsidRPr="00CF64D1">
        <w:rPr>
          <w:color w:val="000000" w:themeColor="text1"/>
        </w:rPr>
        <w:t>;</w:t>
      </w:r>
    </w:p>
    <w:p w14:paraId="700F995A" w14:textId="77777777" w:rsidR="002C5EC3" w:rsidRPr="00CF64D1" w:rsidRDefault="002C5EC3" w:rsidP="002C5EC3">
      <w:pPr>
        <w:spacing w:after="240"/>
        <w:ind w:left="567" w:hanging="567"/>
        <w:rPr>
          <w:szCs w:val="24"/>
        </w:rPr>
      </w:pPr>
      <w:r w:rsidRPr="00CF64D1">
        <w:t>F.</w:t>
      </w:r>
      <w:r w:rsidRPr="00CF64D1">
        <w:tab/>
        <w:t xml:space="preserve">keďže </w:t>
      </w:r>
      <w:r w:rsidRPr="00CF64D1">
        <w:rPr>
          <w:color w:val="000000" w:themeColor="text1"/>
        </w:rPr>
        <w:t xml:space="preserve">geneticky modifikované plodiny odolné voči herbicídom nútia poľnohospodárov používať systém ochrany proti burinám, ktorý je vo veľkej miere alebo úplne závislý od herbicídov, a to tak, že za geneticky modifikované osivo sa účtuje príplatok, ktorý môže byť odôvodnený len vtedy, ak poľnohospodári kupujúci takéto osivo používajú aj postrek doplnkovými herbicídmi; keďže zvýšená závislosť od doplnkových herbicídov v poľnohospodárskych podnikoch, ktoré pestujú geneticky modifikovanú cukrovú repu, urýchľuje vznik a šírenie buriny rezistentnej voči týmto herbicídom, čo vyvoláva potrebu ešte väčšieho používania herbicídov, čo je začarovaný kruh neustáleho používania čoraz väčšieho množstva herbicídov; keďže nepriaznivé vplyvy vyplývajúce </w:t>
      </w:r>
      <w:r w:rsidRPr="00CF64D1">
        <w:rPr>
          <w:color w:val="000000" w:themeColor="text1"/>
        </w:rPr>
        <w:lastRenderedPageBreak/>
        <w:t>z nadmerného používania herbicídov následne zhoršujú zdravie pôdy, kvalitu vody a biodiverzitu nad zemou a pod ňou a vedú k zvýšenej expozícii ľudí a zvierat herbicídom, a to potenciálne aj prostredníctvom zvýšeného množstva rezíduí herbicídov v potravinách a krmivách</w:t>
      </w:r>
      <w:r w:rsidRPr="00CF64D1">
        <w:rPr>
          <w:rStyle w:val="FootnoteReference"/>
          <w:color w:val="000000" w:themeColor="text1"/>
          <w:szCs w:val="24"/>
        </w:rPr>
        <w:footnoteReference w:id="6"/>
      </w:r>
      <w:r w:rsidRPr="00CF64D1">
        <w:rPr>
          <w:color w:val="000000" w:themeColor="text1"/>
        </w:rPr>
        <w:t>;</w:t>
      </w:r>
    </w:p>
    <w:p w14:paraId="217B0E4E" w14:textId="77777777" w:rsidR="002C5EC3" w:rsidRPr="00CF64D1" w:rsidRDefault="002C5EC3" w:rsidP="002C5EC3">
      <w:pPr>
        <w:pStyle w:val="NormalHanging12a"/>
      </w:pPr>
      <w:r w:rsidRPr="00CF64D1">
        <w:t>G.</w:t>
      </w:r>
      <w:r w:rsidRPr="00CF64D1">
        <w:tab/>
        <w:t xml:space="preserve">keďže naďalej pretrvávajú závažné otázky v súvislosti s karcinogenitou </w:t>
      </w:r>
      <w:proofErr w:type="spellStart"/>
      <w:r w:rsidRPr="00CF64D1">
        <w:t>glyfozátu</w:t>
      </w:r>
      <w:proofErr w:type="spellEnd"/>
      <w:r w:rsidRPr="00CF64D1">
        <w:t xml:space="preserve">; keďže úrad EFSA v novembri 2015 dospel k záveru, že </w:t>
      </w:r>
      <w:proofErr w:type="spellStart"/>
      <w:r w:rsidRPr="00CF64D1">
        <w:t>glyfozát</w:t>
      </w:r>
      <w:proofErr w:type="spellEnd"/>
      <w:r w:rsidRPr="00CF64D1">
        <w:t xml:space="preserve"> pravdepodobne nie je karcinogénny, a Európska chemická agentúra v marci 2017 dospela k záveru, že klasifikácia nie je odôvodnená; keďže Medzinárodná agentúra pre výskum rakoviny, špecializovaná agentúra Svetovej zdravotníckej organizácie pre rakovinu, v roku 2015 klasifikovala </w:t>
      </w:r>
      <w:proofErr w:type="spellStart"/>
      <w:r w:rsidRPr="00CF64D1">
        <w:t>glyfozát</w:t>
      </w:r>
      <w:proofErr w:type="spellEnd"/>
      <w:r w:rsidRPr="00CF64D1">
        <w:t xml:space="preserve"> ako pravdepodobný karcinogén pre ľudí; keďže viaceré nedávne vedecké recenzované štúdie potvrdzujú karcinogénny potenciál </w:t>
      </w:r>
      <w:proofErr w:type="spellStart"/>
      <w:r w:rsidRPr="00CF64D1">
        <w:t>glyfozátu</w:t>
      </w:r>
      <w:proofErr w:type="spellEnd"/>
      <w:r w:rsidRPr="00CF64D1">
        <w:rPr>
          <w:rStyle w:val="FootnoteReference"/>
        </w:rPr>
        <w:footnoteReference w:id="7"/>
      </w:r>
      <w:r w:rsidRPr="00CF64D1">
        <w:t>;</w:t>
      </w:r>
    </w:p>
    <w:p w14:paraId="08E07C83" w14:textId="77777777" w:rsidR="002C5EC3" w:rsidRPr="00CF64D1" w:rsidRDefault="002C5EC3" w:rsidP="002C5EC3">
      <w:pPr>
        <w:pStyle w:val="NormalHanging12a"/>
        <w:rPr>
          <w:szCs w:val="24"/>
        </w:rPr>
      </w:pPr>
      <w:r w:rsidRPr="00CF64D1">
        <w:t>H.</w:t>
      </w:r>
      <w:r w:rsidRPr="00CF64D1">
        <w:tab/>
        <w:t xml:space="preserve">keďže </w:t>
      </w:r>
      <w:proofErr w:type="spellStart"/>
      <w:r w:rsidRPr="00CF64D1">
        <w:t>dikamba</w:t>
      </w:r>
      <w:proofErr w:type="spellEnd"/>
      <w:r w:rsidRPr="00CF64D1">
        <w:t xml:space="preserve"> je veľmi nestála, čo znamená, že po aplikácii má sklon vyprchať a preniknúť do ovzdušia, kde ju unáša vietor a rozširuje ju po zemi, čo vystavuje ľudí, zvieratá a necieľové rastliny, vinič, stromy a kríky potenciálnym a vážnym škodám, najmä ak k expozícii dochádza počas niekoľkých rokov; </w:t>
      </w:r>
      <w:r w:rsidRPr="00CF64D1">
        <w:rPr>
          <w:shd w:val="clear" w:color="auto" w:fill="FFFFFF"/>
        </w:rPr>
        <w:t xml:space="preserve">keďže úlet </w:t>
      </w:r>
      <w:proofErr w:type="spellStart"/>
      <w:r w:rsidRPr="00CF64D1">
        <w:rPr>
          <w:shd w:val="clear" w:color="auto" w:fill="FFFFFF"/>
        </w:rPr>
        <w:t>dikamby</w:t>
      </w:r>
      <w:proofErr w:type="spellEnd"/>
      <w:r w:rsidRPr="00CF64D1">
        <w:rPr>
          <w:shd w:val="clear" w:color="auto" w:fill="FFFFFF"/>
        </w:rPr>
        <w:t xml:space="preserve"> a škody na okolitých plodinách, stromoch a viniči sa stali predmetom čoraz častejších sporov, v ktorých je jedna skupina poľnohospodárov je proti iným poľnohospodárom a susedom na vidieku, čo vedie k rozsiahlym súdnym sporom v súvislosti so stratami na úrode a nákladmi na opätovnú výsadbu; </w:t>
      </w:r>
    </w:p>
    <w:p w14:paraId="27156D95" w14:textId="77777777" w:rsidR="002C5EC3" w:rsidRPr="00CF64D1" w:rsidRDefault="002C5EC3" w:rsidP="002C5EC3">
      <w:pPr>
        <w:pStyle w:val="NormalWeb"/>
        <w:widowControl w:val="0"/>
        <w:spacing w:before="0" w:beforeAutospacing="0" w:after="240" w:afterAutospacing="0"/>
        <w:ind w:left="567" w:hanging="567"/>
      </w:pPr>
      <w:r w:rsidRPr="00CF64D1">
        <w:t>I.</w:t>
      </w:r>
      <w:r w:rsidRPr="00CF64D1">
        <w:tab/>
        <w:t xml:space="preserve">keďže </w:t>
      </w:r>
      <w:proofErr w:type="spellStart"/>
      <w:r w:rsidRPr="00CF64D1">
        <w:t>glufosinát</w:t>
      </w:r>
      <w:proofErr w:type="spellEnd"/>
      <w:r w:rsidRPr="00CF64D1">
        <w:t xml:space="preserve"> je zaradený do kategórie 1B ako reprodukčne toxická látka, a preto sa naň vzťahujú hraničné kritériá stanovené v nariadení Európskeho parlamentu a Rady (ES) č. 1107/2009</w:t>
      </w:r>
      <w:r w:rsidRPr="00CF64D1">
        <w:rPr>
          <w:rStyle w:val="FootnoteReference"/>
        </w:rPr>
        <w:footnoteReference w:id="8"/>
      </w:r>
      <w:r w:rsidRPr="00CF64D1">
        <w:t xml:space="preserve">; keďže platnosť povolenia </w:t>
      </w:r>
      <w:proofErr w:type="spellStart"/>
      <w:r w:rsidRPr="00CF64D1">
        <w:t>glufosinátu</w:t>
      </w:r>
      <w:proofErr w:type="spellEnd"/>
      <w:r w:rsidRPr="00CF64D1">
        <w:t xml:space="preserve"> na používanie v Únii sa skončila 31. júla 2018;</w:t>
      </w:r>
    </w:p>
    <w:p w14:paraId="7C19A53F" w14:textId="77777777" w:rsidR="002C5EC3" w:rsidRPr="00CF64D1" w:rsidRDefault="002C5EC3" w:rsidP="002C5EC3">
      <w:pPr>
        <w:spacing w:after="240"/>
        <w:ind w:left="567" w:hanging="567"/>
      </w:pPr>
      <w:r w:rsidRPr="00CF64D1">
        <w:t>J.</w:t>
      </w:r>
      <w:r w:rsidRPr="00CF64D1">
        <w:tab/>
        <w:t>keďže poľné pokusy podporujúce žiadosť sa uskutočnili v obmedzených geografických a klimatických podmienkach len v Spojených štátoch, ktoré nereprezentujú celú rozmanitosť regiónov pestovania cukrovej repy vrátane tých, ktoré sú silne ovplyvnené stresovými faktormi súvisiacimi so zmenou klímy;</w:t>
      </w:r>
    </w:p>
    <w:p w14:paraId="7EE563F5" w14:textId="77777777" w:rsidR="002C5EC3" w:rsidRPr="00CF64D1" w:rsidRDefault="002C5EC3" w:rsidP="002C5EC3">
      <w:pPr>
        <w:pStyle w:val="NormalHanging12a"/>
      </w:pPr>
      <w:r w:rsidRPr="00CF64D1">
        <w:t xml:space="preserve">K. </w:t>
      </w:r>
      <w:r w:rsidRPr="00CF64D1">
        <w:tab/>
        <w:t>keďže nie je dostatočne zaručené nezávislé monitorovanie možných nepriaznivých účinkov na biodiverzitu, zdravie pôdy, opeľovače a necieľové organizmy a dohľad nad nimi;</w:t>
      </w:r>
    </w:p>
    <w:p w14:paraId="4138BACB" w14:textId="77777777" w:rsidR="002C5EC3" w:rsidRPr="00CF64D1" w:rsidRDefault="002C5EC3" w:rsidP="002C5EC3">
      <w:pPr>
        <w:spacing w:after="240"/>
        <w:ind w:left="567" w:hanging="567"/>
      </w:pPr>
      <w:r w:rsidRPr="00CF64D1">
        <w:t>L.</w:t>
      </w:r>
      <w:r w:rsidRPr="00CF64D1">
        <w:tab/>
        <w:t>keďže v prípadoch vedeckej neistoty by sa mala uplatňovať zásada predbežnej opatrnosti ustanovená v článku 191 Zmluvy o fungovaní Európskej únie;</w:t>
      </w:r>
    </w:p>
    <w:p w14:paraId="3862E346" w14:textId="77777777" w:rsidR="002C5EC3" w:rsidRPr="00CF64D1" w:rsidRDefault="002C5EC3" w:rsidP="002C5EC3">
      <w:pPr>
        <w:spacing w:after="240"/>
        <w:ind w:left="567" w:hanging="567"/>
      </w:pPr>
      <w:r w:rsidRPr="00CF64D1">
        <w:t>M.</w:t>
      </w:r>
      <w:r w:rsidRPr="00CF64D1">
        <w:tab/>
        <w:t xml:space="preserve">keďže podľa nariadenia (ES) č. 1829/2003 sa vyžaduje, že geneticky modifikované </w:t>
      </w:r>
      <w:r w:rsidRPr="00CF64D1">
        <w:lastRenderedPageBreak/>
        <w:t>potraviny a krmivá nesmú mať nepriaznivé účinky na ľudské zdravie, zdravie zvierat alebo na životné prostredie;</w:t>
      </w:r>
    </w:p>
    <w:p w14:paraId="44B5D2FD" w14:textId="77777777" w:rsidR="002C5EC3" w:rsidRPr="00CF64D1" w:rsidRDefault="002C5EC3" w:rsidP="002C5EC3">
      <w:pPr>
        <w:pStyle w:val="NormalWeb"/>
        <w:widowControl w:val="0"/>
        <w:spacing w:before="0" w:beforeAutospacing="0" w:after="240" w:afterAutospacing="0"/>
        <w:ind w:left="567" w:hanging="567"/>
      </w:pPr>
      <w:r w:rsidRPr="00CF64D1">
        <w:t>N.</w:t>
      </w:r>
      <w:r w:rsidRPr="00CF64D1">
        <w:tab/>
        <w:t>keďže povolenie Únie pre geneticky modifikovanú cukrovú repu by nebolo v súlade s medzinárodnými záväzkami v oblasti znižovania množstva pesticídov</w:t>
      </w:r>
      <w:r w:rsidRPr="00CF64D1">
        <w:rPr>
          <w:vertAlign w:val="superscript"/>
        </w:rPr>
        <w:footnoteReference w:id="9"/>
      </w:r>
      <w:r w:rsidRPr="00CF64D1">
        <w:t xml:space="preserve"> vzhľadom na zvýšenú expozíciu ľudí, zvierat a životného prostredia účinkom </w:t>
      </w:r>
      <w:proofErr w:type="spellStart"/>
      <w:r w:rsidRPr="00CF64D1">
        <w:t>glyfozátu</w:t>
      </w:r>
      <w:proofErr w:type="spellEnd"/>
      <w:r w:rsidRPr="00CF64D1">
        <w:t xml:space="preserve">, </w:t>
      </w:r>
      <w:proofErr w:type="spellStart"/>
      <w:r w:rsidRPr="00CF64D1">
        <w:t>dikamby</w:t>
      </w:r>
      <w:proofErr w:type="spellEnd"/>
      <w:r w:rsidRPr="00CF64D1">
        <w:t xml:space="preserve"> a </w:t>
      </w:r>
      <w:proofErr w:type="spellStart"/>
      <w:r w:rsidRPr="00CF64D1">
        <w:t>glufosinátu</w:t>
      </w:r>
      <w:proofErr w:type="spellEnd"/>
      <w:r w:rsidRPr="00CF64D1">
        <w:t xml:space="preserve"> v krajinách, v ktorých sa pestujú tieto geneticky modifikované plodiny tolerantné voči herbicídom, ako aj na potenciálne súvisiace závažné zdravotné dôsledky;</w:t>
      </w:r>
    </w:p>
    <w:p w14:paraId="0E6C1698" w14:textId="77777777" w:rsidR="002C5EC3" w:rsidRPr="00CF64D1" w:rsidRDefault="002C5EC3" w:rsidP="002C5EC3">
      <w:pPr>
        <w:spacing w:after="240"/>
        <w:ind w:left="567" w:hanging="567"/>
      </w:pPr>
      <w:r w:rsidRPr="00CF64D1">
        <w:t>O.</w:t>
      </w:r>
      <w:r w:rsidRPr="00CF64D1">
        <w:tab/>
        <w:t>keďže vykonávacie rozhodnutie Komisie by umožnilo dovoz do Únie, ktorý nie je v súlade s normami, ktoré dodržiavajú poľnohospodári Únie, čím by sa dostali do konkurenčnej nevýhody;</w:t>
      </w:r>
    </w:p>
    <w:p w14:paraId="63AB8129" w14:textId="77777777" w:rsidR="002C5EC3" w:rsidRPr="00CF64D1" w:rsidRDefault="002C5EC3" w:rsidP="002C5EC3">
      <w:pPr>
        <w:spacing w:after="240"/>
        <w:ind w:left="567" w:hanging="567"/>
      </w:pPr>
      <w:r w:rsidRPr="00CF64D1">
        <w:t>P.</w:t>
      </w:r>
      <w:r w:rsidRPr="00CF64D1">
        <w:tab/>
        <w:t>keďže v záveroch strategického dialógu o budúcnosti poľnohospodárstva EÚ</w:t>
      </w:r>
      <w:r w:rsidRPr="00CF64D1">
        <w:rPr>
          <w:rStyle w:val="FootnoteReference"/>
        </w:rPr>
        <w:footnoteReference w:id="10"/>
      </w:r>
      <w:r w:rsidRPr="00CF64D1">
        <w:t xml:space="preserve"> sa Komisia vyzýva, aby prehodnotila svoj prístup k prístupu na trh pre </w:t>
      </w:r>
      <w:proofErr w:type="spellStart"/>
      <w:r w:rsidRPr="00CF64D1">
        <w:t>agropotravinový</w:t>
      </w:r>
      <w:proofErr w:type="spellEnd"/>
      <w:r w:rsidRPr="00CF64D1">
        <w:t xml:space="preserve"> dovoz a vývoz vzhľadom na rozdiely medzi normami Únie a jej obchodných partnerov; keďže spravodlivejšie obchodné vzťahy na celosvetovej úrovni, ktoré sú v súlade s cieľmi zdravého životného prostredia, boli jednou z hlavných požiadaviek poľnohospodárov počas demonštrácií v rokoch 2023 a 2024;</w:t>
      </w:r>
    </w:p>
    <w:p w14:paraId="4586E7B9" w14:textId="77777777" w:rsidR="002C5EC3" w:rsidRPr="00CF64D1" w:rsidRDefault="002C5EC3" w:rsidP="002C5EC3">
      <w:pPr>
        <w:spacing w:after="240"/>
        <w:ind w:left="567" w:hanging="567"/>
      </w:pPr>
      <w:r w:rsidRPr="00CF64D1">
        <w:t>Q.</w:t>
      </w:r>
      <w:r w:rsidRPr="00CF64D1">
        <w:tab/>
        <w:t>keďže Parlament opakovane zdôraznil, že Komisia by nemala povoľovať GMO v prípadoch, keď členské štáty nedosiahnu kvalifikovanú väčšinu v Stálom výbore pre rastliny, zvieratá, potraviny a krmivá alebo v odvolacom výbore, aby sa vyriešil pretrvávajúci demokratický deficit;</w:t>
      </w:r>
    </w:p>
    <w:p w14:paraId="63747846" w14:textId="77777777" w:rsidR="002C5EC3" w:rsidRPr="00CF64D1" w:rsidRDefault="002C5EC3" w:rsidP="002C5EC3">
      <w:pPr>
        <w:pStyle w:val="NormalWeb"/>
        <w:widowControl w:val="0"/>
        <w:shd w:val="clear" w:color="auto" w:fill="FFFFFF"/>
        <w:spacing w:before="0" w:beforeAutospacing="0" w:after="240" w:afterAutospacing="0"/>
        <w:ind w:left="567" w:hanging="567"/>
        <w:rPr>
          <w:color w:val="000000" w:themeColor="text1"/>
        </w:rPr>
      </w:pPr>
      <w:r w:rsidRPr="00CF64D1">
        <w:rPr>
          <w:color w:val="000000" w:themeColor="text1"/>
        </w:rPr>
        <w:t>R.</w:t>
      </w:r>
      <w:r w:rsidRPr="00CF64D1">
        <w:rPr>
          <w:color w:val="000000" w:themeColor="text1"/>
        </w:rPr>
        <w:tab/>
        <w:t>keďže Komisia naďalej povoľuje GMO, hoci si sama uvedomuje nedostatky z hľadiska demokracie, nízku podporu členských štátov a námietky Európskeho parlamentu;</w:t>
      </w:r>
    </w:p>
    <w:p w14:paraId="06370DFE" w14:textId="77777777" w:rsidR="002C5EC3" w:rsidRPr="00CF64D1" w:rsidRDefault="002C5EC3" w:rsidP="002C5EC3">
      <w:pPr>
        <w:spacing w:after="240"/>
        <w:ind w:left="567" w:hanging="567"/>
      </w:pPr>
      <w:r w:rsidRPr="00CF64D1">
        <w:t>S.</w:t>
      </w:r>
      <w:r w:rsidRPr="00CF64D1">
        <w:tab/>
        <w:t>keďže na základe prístupu „jedno zdravie“ sa vyžaduje, aby sa pri hodnotení dlhodobej udržateľnosti a bezpečnosti GMO zohľadňovala vzájomná závislosť medzi zdravím ľudí, zvierat, rastlín a životného prostredia;</w:t>
      </w:r>
    </w:p>
    <w:p w14:paraId="092086B8" w14:textId="77777777" w:rsidR="002C5EC3" w:rsidRPr="00CF64D1" w:rsidRDefault="002C5EC3" w:rsidP="002C5EC3">
      <w:pPr>
        <w:spacing w:after="240"/>
        <w:ind w:left="567" w:hanging="567"/>
      </w:pPr>
      <w:r w:rsidRPr="00CF64D1">
        <w:t>1.</w:t>
      </w:r>
      <w:r w:rsidRPr="00CF64D1">
        <w:tab/>
        <w:t>domnieva sa, že návrh vykonávacieho rozhodnutia Komisie prekračuje rámec vykonávacích právomocí stanovených v nariadení (ES) č. 1829/2003;</w:t>
      </w:r>
    </w:p>
    <w:p w14:paraId="3FDCF239" w14:textId="77777777" w:rsidR="002C5EC3" w:rsidRPr="00CF64D1" w:rsidRDefault="002C5EC3" w:rsidP="002C5EC3">
      <w:pPr>
        <w:spacing w:after="240"/>
        <w:ind w:left="567" w:hanging="567"/>
      </w:pPr>
      <w:r w:rsidRPr="00CF64D1">
        <w:t>2.</w:t>
      </w:r>
      <w:r w:rsidRPr="00CF64D1">
        <w:tab/>
        <w:t>domnieva sa, že návrh vykonávacieho rozhodnutia Komisie nie je v súlade s právom Únie, pretože nie je zlučiteľný s cieľom nariadenia (ES) č. 1829/2003, ktorým je podľa všeobecných zásad uvedených v nariadení Európskeho parlamentu a Rady (ES) č. 178/2002</w:t>
      </w:r>
      <w:r w:rsidRPr="00CF64D1">
        <w:rPr>
          <w:vertAlign w:val="superscript"/>
        </w:rPr>
        <w:footnoteReference w:id="11"/>
      </w:r>
      <w:r w:rsidRPr="00CF64D1">
        <w:t xml:space="preserve"> poskytovať základ na zabezpečenie vysokej miery ochrany ľudského života a zdravia, zdravia a dobrých životných podmienok zvierat, životného prostredia </w:t>
      </w:r>
      <w:r w:rsidRPr="00CF64D1">
        <w:lastRenderedPageBreak/>
        <w:t>a záujmov spotrebiteľov v súvislosti s geneticky modifikovanými potravinami a krmivami a súčasne zabezpečovať efektívne fungovanie vnútorného trhu;</w:t>
      </w:r>
    </w:p>
    <w:p w14:paraId="1A454316" w14:textId="77777777" w:rsidR="002C5EC3" w:rsidRPr="00CF64D1" w:rsidRDefault="002C5EC3" w:rsidP="002C5EC3">
      <w:pPr>
        <w:spacing w:after="240"/>
        <w:ind w:left="567" w:hanging="567"/>
      </w:pPr>
      <w:r w:rsidRPr="00CF64D1">
        <w:t>3.</w:t>
      </w:r>
      <w:r w:rsidRPr="00CF64D1">
        <w:tab/>
        <w:t>žiada Komisiu, aby stiahla svoje vykonávacie rozhodnutie;</w:t>
      </w:r>
    </w:p>
    <w:p w14:paraId="6E2B5651" w14:textId="77777777" w:rsidR="002C5EC3" w:rsidRPr="00CF64D1" w:rsidRDefault="002C5EC3" w:rsidP="002C5EC3">
      <w:pPr>
        <w:spacing w:after="240"/>
        <w:ind w:left="567" w:hanging="567"/>
      </w:pPr>
      <w:r w:rsidRPr="00CF64D1">
        <w:t>4.</w:t>
      </w:r>
      <w:r w:rsidRPr="00CF64D1">
        <w:tab/>
        <w:t>vyzýva Komisiu, aby nepovolila geneticky modifikovanú cukrovú repu z dôvodu nedostatočných dôkazov o dlhodobom vplyve na biodiverzitu, bezpečnosť potravín, živobytie poľnohospodárov a zdravie zvierat v súlade s prístupom „jedno zdravie“;</w:t>
      </w:r>
    </w:p>
    <w:p w14:paraId="0F9B4B87" w14:textId="77777777" w:rsidR="002C5EC3" w:rsidRPr="00CF64D1" w:rsidRDefault="002C5EC3" w:rsidP="002C5EC3">
      <w:pPr>
        <w:spacing w:after="240"/>
        <w:ind w:left="567" w:hanging="567"/>
      </w:pPr>
      <w:r w:rsidRPr="00CF64D1">
        <w:t>5.</w:t>
      </w:r>
      <w:r w:rsidRPr="00CF64D1">
        <w:tab/>
        <w:t>vyzýva Komisiu, aby bezodkladne predložila legislatívny návrh na reformu rozhodovacieho postupu v prípade GMO s cieľom reagovať na sústavné námietky Parlamentu a nedostatok podpory kvalifikovanej väčšiny členských štátov;</w:t>
      </w:r>
    </w:p>
    <w:p w14:paraId="53AD354F" w14:textId="77777777" w:rsidR="002C5EC3" w:rsidRPr="00CF64D1" w:rsidRDefault="002C5EC3" w:rsidP="002C5EC3">
      <w:pPr>
        <w:spacing w:after="240"/>
        <w:ind w:left="567" w:hanging="567"/>
      </w:pPr>
      <w:r w:rsidRPr="00CF64D1">
        <w:t>6.</w:t>
      </w:r>
      <w:r w:rsidRPr="00CF64D1">
        <w:tab/>
        <w:t xml:space="preserve">v tejto súvislosti zdôrazňuje, že povolenie dovozu akýchkoľvek geneticky modifikovaných rastlín, ktoré sú tolerantné voči herbicídom, ktoré sú v Únii zakázané, ako je </w:t>
      </w:r>
      <w:proofErr w:type="spellStart"/>
      <w:r w:rsidRPr="00CF64D1">
        <w:t>glufosinát</w:t>
      </w:r>
      <w:proofErr w:type="spellEnd"/>
      <w:r w:rsidRPr="00CF64D1">
        <w:t xml:space="preserve">, na použitie v potravinách alebo krmivách je v rozpore s medzinárodnými záväzkami Únie vyplývajúcimi okrem iného z Dohovoru Organizácie Spojených národov (OSN) o biologickej diverzite a cieľov OSN v oblasti udržateľného rozvoja vrátane rámca z </w:t>
      </w:r>
      <w:proofErr w:type="spellStart"/>
      <w:r w:rsidRPr="00CF64D1">
        <w:t>Kchun-mingu</w:t>
      </w:r>
      <w:proofErr w:type="spellEnd"/>
      <w:r w:rsidRPr="00CF64D1">
        <w:t xml:space="preserve"> a Montrealu a že vytvára nerovnaké podmienky pre poľnohospodárov v Únii;</w:t>
      </w:r>
    </w:p>
    <w:p w14:paraId="16083877" w14:textId="53CACBCA" w:rsidR="00E365E1" w:rsidRPr="00CF64D1" w:rsidRDefault="002C5EC3" w:rsidP="00CF64D1">
      <w:pPr>
        <w:spacing w:after="240"/>
        <w:ind w:left="567" w:hanging="567"/>
      </w:pPr>
      <w:r w:rsidRPr="00CF64D1">
        <w:t>7.</w:t>
      </w:r>
      <w:r w:rsidRPr="00CF64D1">
        <w:tab/>
        <w:t>poveruje svoju predsedníčku, aby postúpila toto uznesenie Rade, Komisii a vládam a parlamentom členských štátov.</w:t>
      </w:r>
    </w:p>
    <w:sectPr w:rsidR="00E365E1" w:rsidRPr="00CF64D1" w:rsidSect="004A5E9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8B592" w14:textId="77777777" w:rsidR="002F4544" w:rsidRPr="004A5E9E" w:rsidRDefault="002F4544">
      <w:r w:rsidRPr="004A5E9E">
        <w:separator/>
      </w:r>
    </w:p>
  </w:endnote>
  <w:endnote w:type="continuationSeparator" w:id="0">
    <w:p w14:paraId="13FF130E" w14:textId="77777777" w:rsidR="002F4544" w:rsidRPr="004A5E9E" w:rsidRDefault="002F4544">
      <w:r w:rsidRPr="004A5E9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799FB4" w14:textId="77777777" w:rsidR="00064002" w:rsidRPr="004A5E9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6DFAD" w14:textId="77777777" w:rsidR="00064002" w:rsidRPr="004A5E9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533D70" w14:textId="77777777" w:rsidR="00064002" w:rsidRPr="004A5E9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169CDB" w14:textId="77777777" w:rsidR="002F4544" w:rsidRPr="004A5E9E" w:rsidRDefault="002F4544">
      <w:r w:rsidRPr="004A5E9E">
        <w:separator/>
      </w:r>
    </w:p>
  </w:footnote>
  <w:footnote w:type="continuationSeparator" w:id="0">
    <w:p w14:paraId="29DA2594" w14:textId="77777777" w:rsidR="002F4544" w:rsidRPr="004A5E9E" w:rsidRDefault="002F4544">
      <w:r w:rsidRPr="004A5E9E">
        <w:continuationSeparator/>
      </w:r>
    </w:p>
  </w:footnote>
  <w:footnote w:id="1">
    <w:p w14:paraId="3F3E7FEE" w14:textId="230DD72C" w:rsidR="002C5EC3" w:rsidRPr="004A5E9E" w:rsidRDefault="002C5EC3" w:rsidP="004A5E9E">
      <w:pPr>
        <w:pStyle w:val="FootnoteText"/>
        <w:suppressAutoHyphens/>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Ú. v. EÚ L 268, 18.10.2003, s. 1, ELI: </w:t>
      </w:r>
      <w:hyperlink r:id="rId1" w:tooltip="Umožňuje prístup k tomuto dokumentu prostredníctvom identifikátora URI používaného v rámci ELI." w:history="1">
        <w:r w:rsidRPr="004A5E9E">
          <w:rPr>
            <w:rStyle w:val="Hyperlink"/>
            <w:sz w:val="24"/>
            <w:lang w:val="sk-SK"/>
          </w:rPr>
          <w:t>http://data.europa.eu/eli/reg/2003/1829/oj</w:t>
        </w:r>
      </w:hyperlink>
      <w:r w:rsidRPr="004A5E9E">
        <w:rPr>
          <w:rStyle w:val="Hyperlink"/>
          <w:sz w:val="24"/>
          <w:lang w:val="sk-SK"/>
        </w:rPr>
        <w:t>.</w:t>
      </w:r>
    </w:p>
  </w:footnote>
  <w:footnote w:id="2">
    <w:p w14:paraId="5BBE9C49" w14:textId="79BDF647"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 xml:space="preserve">Ú. v. EÚ L 55, 28.2.2011, s. </w:t>
      </w:r>
      <w:r w:rsidRPr="004A5E9E">
        <w:rPr>
          <w:sz w:val="24"/>
          <w:lang w:val="sk-SK"/>
        </w:rPr>
        <w:t xml:space="preserve">13, ELI: </w:t>
      </w:r>
      <w:hyperlink r:id="rId2" w:history="1">
        <w:r w:rsidRPr="004A5E9E">
          <w:rPr>
            <w:rStyle w:val="Hyperlink"/>
            <w:sz w:val="24"/>
            <w:lang w:val="sk-SK"/>
          </w:rPr>
          <w:t>http://data.europa.eu/eli/reg/2011/182/oj</w:t>
        </w:r>
      </w:hyperlink>
      <w:r w:rsidRPr="004A5E9E">
        <w:rPr>
          <w:sz w:val="24"/>
          <w:lang w:val="sk-SK"/>
        </w:rPr>
        <w:t>.</w:t>
      </w:r>
    </w:p>
  </w:footnote>
  <w:footnote w:id="3">
    <w:p w14:paraId="3A7E79A8" w14:textId="553DB41B" w:rsidR="002C5EC3" w:rsidRPr="004A5E9E" w:rsidRDefault="002C5EC3" w:rsidP="004A5E9E">
      <w:pPr>
        <w:pStyle w:val="FootnoteText"/>
        <w:suppressAutoHyphens/>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 xml:space="preserve">Vedecké stanovisko pracovnej skupiny EFSA pre geneticky modifikované organizmy k posúdeniu geneticky modifikovanej cukrovej repy KWS20-1 (žiadosť GMFF-2023-14732). </w:t>
      </w:r>
      <w:r w:rsidRPr="004A5E9E">
        <w:rPr>
          <w:sz w:val="24"/>
          <w:lang w:val="sk-SK"/>
        </w:rPr>
        <w:t xml:space="preserve">Vestník EFSA (2025) 23(5):9381, </w:t>
      </w:r>
      <w:hyperlink r:id="rId3" w:history="1">
        <w:r w:rsidRPr="004A5E9E">
          <w:rPr>
            <w:rStyle w:val="Hyperlink"/>
            <w:sz w:val="24"/>
            <w:lang w:val="sk-SK"/>
          </w:rPr>
          <w:t>https://doi.org/10.2903/j.efsa.2025.9381</w:t>
        </w:r>
      </w:hyperlink>
      <w:r w:rsidRPr="004A5E9E">
        <w:rPr>
          <w:sz w:val="24"/>
          <w:lang w:val="sk-SK"/>
        </w:rPr>
        <w:t>.</w:t>
      </w:r>
    </w:p>
  </w:footnote>
  <w:footnote w:id="4">
    <w:p w14:paraId="210DF368" w14:textId="3DA5288D" w:rsidR="002C5EC3" w:rsidRPr="004A5E9E" w:rsidRDefault="002C5EC3" w:rsidP="004A5E9E">
      <w:pPr>
        <w:pStyle w:val="FootnoteText"/>
        <w:suppressAutoHyphens/>
        <w:ind w:left="567" w:hanging="567"/>
        <w:rPr>
          <w:color w:val="000000" w:themeColor="text1"/>
          <w:sz w:val="24"/>
          <w:vertAlign w:val="superscript"/>
          <w:lang w:val="sk-SK"/>
        </w:rPr>
      </w:pPr>
      <w:r w:rsidRPr="004A5E9E">
        <w:rPr>
          <w:rStyle w:val="FootnoteReference"/>
          <w:sz w:val="24"/>
          <w:lang w:val="sk-SK"/>
        </w:rPr>
        <w:footnoteRef/>
      </w:r>
      <w:r w:rsidR="004A5E9E" w:rsidRPr="004A5E9E">
        <w:rPr>
          <w:color w:val="000000" w:themeColor="text1"/>
          <w:sz w:val="24"/>
          <w:lang w:val="sk-SK"/>
        </w:rPr>
        <w:t xml:space="preserve"> </w:t>
      </w:r>
      <w:r w:rsidR="004A5E9E" w:rsidRPr="004A5E9E">
        <w:rPr>
          <w:color w:val="000000" w:themeColor="text1"/>
          <w:sz w:val="24"/>
          <w:lang w:val="sk-SK"/>
        </w:rPr>
        <w:tab/>
      </w:r>
      <w:r w:rsidRPr="004A5E9E">
        <w:rPr>
          <w:color w:val="000000" w:themeColor="text1"/>
          <w:sz w:val="24"/>
          <w:lang w:val="sk-SK"/>
        </w:rPr>
        <w:t xml:space="preserve">Európsky parlament prijal vo svojom ôsmom volebnom období 36 uznesení a v deviatom volebnom období 38 uznesení, v ktorých </w:t>
      </w:r>
      <w:r w:rsidRPr="004A5E9E">
        <w:rPr>
          <w:sz w:val="24"/>
          <w:lang w:val="sk-SK"/>
        </w:rPr>
        <w:t>namieta</w:t>
      </w:r>
      <w:r w:rsidRPr="004A5E9E">
        <w:rPr>
          <w:color w:val="000000" w:themeColor="text1"/>
          <w:sz w:val="24"/>
          <w:lang w:val="sk-SK"/>
        </w:rPr>
        <w:t xml:space="preserve"> proti povoľovaniu GMO. Okrem toho Európsky parlament počas desiateho volebného obdobia prijal tieto uznesenia:</w:t>
      </w:r>
    </w:p>
    <w:p w14:paraId="2F3F9A4C" w14:textId="74F39618"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2024/2628 o obnovení povolenia umiestniť na trh výrobky, ktoré obsahujú geneticky modifikovanú kukuricu MON 89034 × 1507 × NK603, sú z nej zložené alebo vyrobené, podľa nariadenia Európskeho parlamentu a Rady (ES) č. 1829/2003 (Ú. v. EÚ C, C/2025/1798, 4.4.2025, ELI: </w:t>
      </w:r>
      <w:hyperlink r:id="rId4" w:history="1">
        <w:r w:rsidRPr="004A5E9E">
          <w:rPr>
            <w:rStyle w:val="Hyperlink"/>
            <w:sz w:val="24"/>
            <w:lang w:val="sk-SK"/>
          </w:rPr>
          <w:t>http://data.europa.eu/eli/C/2025/1797/oj</w:t>
        </w:r>
      </w:hyperlink>
      <w:r w:rsidRPr="004A5E9E">
        <w:rPr>
          <w:color w:val="000000" w:themeColor="text1"/>
          <w:sz w:val="24"/>
          <w:lang w:val="sk-SK"/>
        </w:rPr>
        <w:t>).</w:t>
      </w:r>
    </w:p>
    <w:p w14:paraId="360F3452" w14:textId="75BE3BD5"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2024/2627, ktorým sa podľa nariadenia Európskeho parlamentu a Rady (ES) č. 1829/2003 povoľuje umiestniť na trh výrobky, ktoré obsahujú geneticky modifikovanú bavlnu COT102, sú z nej zložené alebo vyrobené (Ú. v. EÚ C, C/2025/1798, 4.4.2025, ELI: </w:t>
      </w:r>
      <w:hyperlink r:id="rId5" w:history="1">
        <w:r w:rsidRPr="004A5E9E">
          <w:rPr>
            <w:rStyle w:val="Hyperlink"/>
            <w:sz w:val="24"/>
            <w:lang w:val="sk-SK"/>
          </w:rPr>
          <w:t>http://data.europa.eu/eli/C/2025/1798/oj</w:t>
        </w:r>
      </w:hyperlink>
      <w:r w:rsidRPr="004A5E9E">
        <w:rPr>
          <w:color w:val="000000" w:themeColor="text1"/>
          <w:sz w:val="24"/>
          <w:lang w:val="sk-SK"/>
        </w:rPr>
        <w:t>).</w:t>
      </w:r>
    </w:p>
    <w:p w14:paraId="0056F80C" w14:textId="1E0A496D"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2024/2629, ktorým sa podľa nariadenia Európskeho parlamentu a Rady (ES) č. 1829/2003 obnovuje povolenie umiestňovať na trh výrobky, ktoré obsahujú geneticky modifikovanú kukuricu MON 89034 × 1507 × MON 88017 × 59122 a osem jej čiastkových kombinácií, sú z nich zložené alebo vyrobené (Ú. v. EÚ C, C/2025/1799, 4.4.2025, ELI: </w:t>
      </w:r>
      <w:hyperlink r:id="rId6" w:history="1">
        <w:r w:rsidRPr="004A5E9E">
          <w:rPr>
            <w:rStyle w:val="Hyperlink"/>
            <w:sz w:val="24"/>
            <w:lang w:val="sk-SK"/>
          </w:rPr>
          <w:t>http://data.europa.eu/eli/C/2025/1799/oj</w:t>
        </w:r>
      </w:hyperlink>
      <w:r w:rsidRPr="004A5E9E">
        <w:rPr>
          <w:color w:val="000000" w:themeColor="text1"/>
          <w:sz w:val="24"/>
          <w:lang w:val="sk-SK"/>
        </w:rPr>
        <w:t>).</w:t>
      </w:r>
    </w:p>
    <w:p w14:paraId="23769810" w14:textId="0BAF9592"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2024/1828, ktorým sa podľa nariadenia Európskeho parlamentu a Rady (ES) č. 1829/2003 obnovuje povolenie umiestňovať na trh krmivá, ktoré obsahujú geneticky modifikovanú kukuricu MON 810 alebo sú z nej zložené, a potraviny a krmivá vyrobené z geneticky modifikovanej kukurice MON 810 a ktorým sa zrušuje vykonávacie rozhodnutie Komisie (EÚ) 2017/1207 (Ú. v. EÚ C, C/2025/1800, 4.4.2025, ELI: </w:t>
      </w:r>
      <w:hyperlink r:id="rId7" w:history="1">
        <w:r w:rsidRPr="004A5E9E">
          <w:rPr>
            <w:rStyle w:val="Hyperlink"/>
            <w:sz w:val="24"/>
            <w:lang w:val="sk-SK"/>
          </w:rPr>
          <w:t>http://data.europa.eu/eli/C/2025/1800/oj</w:t>
        </w:r>
      </w:hyperlink>
      <w:r w:rsidRPr="004A5E9E">
        <w:rPr>
          <w:color w:val="000000" w:themeColor="text1"/>
          <w:sz w:val="24"/>
          <w:lang w:val="sk-SK"/>
        </w:rPr>
        <w:t>).</w:t>
      </w:r>
    </w:p>
    <w:p w14:paraId="17B45E08" w14:textId="6A09B3A4"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2024/1822, ktorým sa podľa nariadenia Európskeho parlamentu a Rady (ES) č. 1829/2003 povoľuje umiestniť na trh výrobky, ktoré obsahujú geneticky modifikovanú kukuricu DP915635, sú z nej zložené alebo vyrobené (Ú. v. EÚ C, C/2025/1801, 4.4.2025, ELI: </w:t>
      </w:r>
      <w:hyperlink r:id="rId8" w:history="1">
        <w:r w:rsidRPr="004A5E9E">
          <w:rPr>
            <w:rStyle w:val="Hyperlink"/>
            <w:sz w:val="24"/>
            <w:lang w:val="sk-SK"/>
          </w:rPr>
          <w:t>http://data.europa.eu/eli/C/2025/1801/oj</w:t>
        </w:r>
      </w:hyperlink>
      <w:r w:rsidRPr="004A5E9E">
        <w:rPr>
          <w:color w:val="000000" w:themeColor="text1"/>
          <w:sz w:val="24"/>
          <w:lang w:val="sk-SK"/>
        </w:rPr>
        <w:t>).</w:t>
      </w:r>
    </w:p>
    <w:p w14:paraId="7D880DF4" w14:textId="113D7DDC"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2024/1826, ktorým sa podľa nariadenia Európskeho parlamentu a Rady (ES) č. 1829/2003 povoľuje umiestniť na trh výrobky, ktoré obsahujú geneticky modifikovanú kukuricu DP23211, sú z nej zložené alebo vyrobené (Ú. v. EÚ C, C/2025/1802, 4.4.2025, ELI: </w:t>
      </w:r>
      <w:hyperlink r:id="rId9" w:history="1">
        <w:r w:rsidRPr="004A5E9E">
          <w:rPr>
            <w:rStyle w:val="Hyperlink"/>
            <w:sz w:val="24"/>
            <w:lang w:val="sk-SK"/>
          </w:rPr>
          <w:t>http://data.europa.eu/eli/C/2025/1802/oj</w:t>
        </w:r>
      </w:hyperlink>
      <w:r w:rsidRPr="004A5E9E">
        <w:rPr>
          <w:color w:val="000000" w:themeColor="text1"/>
          <w:sz w:val="24"/>
          <w:lang w:val="sk-SK"/>
        </w:rPr>
        <w:t>).</w:t>
      </w:r>
    </w:p>
    <w:p w14:paraId="678C3A8E" w14:textId="7F122E3F" w:rsidR="002C5EC3" w:rsidRPr="004A5E9E" w:rsidRDefault="002C5EC3" w:rsidP="00CF64D1">
      <w:pPr>
        <w:pStyle w:val="FootnoteText"/>
        <w:suppressAutoHyphens/>
        <w:ind w:left="1134" w:hanging="567"/>
        <w:rPr>
          <w:color w:val="000000" w:themeColor="text1"/>
          <w:sz w:val="24"/>
          <w:vertAlign w:val="superscript"/>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vykonávacom rozhodnutí Komisie (EÚ) 2024/2618, ktorým sa podľa nariadenia Európskeho parlamentu a Rady (ES) č. 1829/2003 povoľuje umiestniť na trh produkty, ktoré obsahujú geneticky modifikovanú kukuricu DP202216, sú z nej zložené alebo vyrobené (Ú. v. EÚ C, C/2025/1803, 4.4.2025, ELI: </w:t>
      </w:r>
      <w:hyperlink r:id="rId10" w:history="1">
        <w:r w:rsidRPr="004A5E9E">
          <w:rPr>
            <w:rStyle w:val="Hyperlink"/>
            <w:sz w:val="24"/>
            <w:lang w:val="sk-SK"/>
          </w:rPr>
          <w:t>http://data.europa.eu/eli/C/2025/1803/oj</w:t>
        </w:r>
      </w:hyperlink>
      <w:r w:rsidRPr="004A5E9E">
        <w:rPr>
          <w:color w:val="000000" w:themeColor="text1"/>
          <w:sz w:val="24"/>
          <w:lang w:val="sk-SK"/>
        </w:rPr>
        <w:t>).</w:t>
      </w:r>
    </w:p>
    <w:p w14:paraId="09AF4F9A" w14:textId="47149350" w:rsidR="002C5EC3" w:rsidRPr="00CF64D1" w:rsidRDefault="002C5EC3" w:rsidP="00CF64D1">
      <w:pPr>
        <w:pStyle w:val="FootnoteText"/>
        <w:suppressAutoHyphens/>
        <w:ind w:left="1134" w:hanging="567"/>
        <w:rPr>
          <w:color w:val="000000" w:themeColor="text1"/>
          <w:sz w:val="24"/>
          <w:lang w:val="sk-SK"/>
        </w:rPr>
      </w:pPr>
      <w:r w:rsidRPr="004A5E9E">
        <w:rPr>
          <w:color w:val="000000" w:themeColor="text1"/>
          <w:sz w:val="24"/>
          <w:lang w:val="sk-SK"/>
        </w:rPr>
        <w:t>–</w:t>
      </w:r>
      <w:r w:rsidRPr="004A5E9E">
        <w:rPr>
          <w:color w:val="000000" w:themeColor="text1"/>
          <w:sz w:val="24"/>
          <w:lang w:val="sk-SK"/>
        </w:rPr>
        <w:tab/>
        <w:t xml:space="preserve">Uznesenie Európskeho parlamentu z 26. novembra 2024 o návrhu vykonávacieho rozhodnutia Komisie, ktorým sa podľa nariadenia Európskeho parlamentu a Rady (ES) č. 1829/2003 povoľuje umiestniť na trh produkty, ktoré obsahujú geneticky modifikovanú kukuricu MON 94804, sú z nej zložené alebo vyrobené (Ú. v. EÚ C, C/2025/1804, 4.4.2025, ELI: </w:t>
      </w:r>
      <w:hyperlink r:id="rId11" w:history="1">
        <w:r w:rsidRPr="00285132">
          <w:rPr>
            <w:rStyle w:val="Hyperlink"/>
            <w:sz w:val="24"/>
            <w:szCs w:val="24"/>
            <w:lang w:val="sk-SK"/>
          </w:rPr>
          <w:t>http://data.europa.eu/eli/C/2025/1804/oj</w:t>
        </w:r>
      </w:hyperlink>
      <w:r w:rsidRPr="004A5E9E">
        <w:rPr>
          <w:color w:val="000000" w:themeColor="text1"/>
          <w:sz w:val="24"/>
          <w:lang w:val="sk-SK"/>
        </w:rPr>
        <w:t>).</w:t>
      </w:r>
    </w:p>
    <w:p w14:paraId="258D7DA5" w14:textId="7B64477D" w:rsidR="002C5EC3" w:rsidRPr="004A5E9E" w:rsidRDefault="002C5EC3" w:rsidP="00CF64D1">
      <w:pPr>
        <w:pStyle w:val="FootnoteText"/>
        <w:suppressAutoHyphens/>
        <w:ind w:left="1134" w:hanging="567"/>
        <w:rPr>
          <w:sz w:val="24"/>
          <w:vertAlign w:val="superscript"/>
          <w:lang w:val="sk-SK"/>
        </w:rPr>
      </w:pPr>
      <w:r w:rsidRPr="004A5E9E">
        <w:rPr>
          <w:color w:val="000000" w:themeColor="text1"/>
          <w:sz w:val="24"/>
          <w:lang w:val="sk-SK"/>
        </w:rPr>
        <w:t>–</w:t>
      </w:r>
      <w:r w:rsidRPr="004A5E9E">
        <w:rPr>
          <w:color w:val="000000" w:themeColor="text1"/>
          <w:sz w:val="24"/>
          <w:lang w:val="sk-SK"/>
        </w:rPr>
        <w:tab/>
      </w:r>
      <w:r w:rsidRPr="004A5E9E">
        <w:rPr>
          <w:sz w:val="24"/>
          <w:lang w:val="sk-SK"/>
        </w:rPr>
        <w:t xml:space="preserve">Uznesenie Európskeho parlamentu z 12. februára 2025 o návrhu vykonávacieho </w:t>
      </w:r>
      <w:r w:rsidRPr="00CF64D1">
        <w:rPr>
          <w:color w:val="000000" w:themeColor="text1"/>
          <w:sz w:val="24"/>
          <w:lang w:val="sk-SK"/>
        </w:rPr>
        <w:t>rozhodnutia</w:t>
      </w:r>
      <w:r w:rsidRPr="004A5E9E">
        <w:rPr>
          <w:sz w:val="24"/>
          <w:lang w:val="sk-SK"/>
        </w:rPr>
        <w:t xml:space="preserve"> Komisie, ktorým sa podľa nariadenia Európskeho parlamentu a Rady (ES) č. 1829/2003 povoľuje umiestniť na trh produkty, ktoré obsahujú geneticky modifikovanú kukuricu DP910521, sú z nej zložené alebo vyrobené (Ú. v. EÚ C, C/2025/2246, 29.4.2025, ELI: </w:t>
      </w:r>
      <w:hyperlink r:id="rId12" w:tooltip="Umožňuje prístup k tomuto dokumentu prostredníctvom identifikátora URI používaného v rámci ELI." w:history="1">
        <w:r w:rsidRPr="004A5E9E">
          <w:rPr>
            <w:rStyle w:val="Hyperlink"/>
            <w:sz w:val="24"/>
            <w:lang w:val="sk-SK"/>
          </w:rPr>
          <w:t>http://data.europa.eu/eli/C/2025/2246/oj</w:t>
        </w:r>
      </w:hyperlink>
      <w:r w:rsidRPr="004A5E9E">
        <w:rPr>
          <w:sz w:val="24"/>
          <w:lang w:val="sk-SK"/>
        </w:rPr>
        <w:t>).</w:t>
      </w:r>
    </w:p>
    <w:p w14:paraId="4019ED58" w14:textId="0ECAA467"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t xml:space="preserve">Uznesenie Európskeho parlamentu z 12. februára 2025 o návrhu vykonávacieho </w:t>
      </w:r>
      <w:r w:rsidRPr="00CF64D1">
        <w:rPr>
          <w:color w:val="000000" w:themeColor="text1"/>
          <w:sz w:val="24"/>
          <w:lang w:val="sk-SK"/>
        </w:rPr>
        <w:t>rozhodnutia</w:t>
      </w:r>
      <w:r w:rsidRPr="004A5E9E">
        <w:rPr>
          <w:sz w:val="24"/>
          <w:lang w:val="sk-SK"/>
        </w:rPr>
        <w:t xml:space="preserve"> Komisie, ktorým sa podľa nariadenia Európskeho parlamentu a Rady (ES) č. 1829/2003 povoľuje umiestniť na trh produkty, ktoré obsahujú geneticky modifikovanú kukuricu MON 95275, sú z nej zložené alebo vyrobené (Ú. v. EÚ C, C/2025/2247, 29.4.2025, ELI: </w:t>
      </w:r>
      <w:hyperlink r:id="rId13" w:tooltip="Umožňuje prístup k tomuto dokumentu prostredníctvom identifikátora URI používaného v rámci ELI." w:history="1">
        <w:r w:rsidRPr="004A5E9E">
          <w:rPr>
            <w:rStyle w:val="Hyperlink"/>
            <w:sz w:val="24"/>
            <w:lang w:val="sk-SK"/>
          </w:rPr>
          <w:t>http://data.europa.eu/eli/C/2025/2247/oj</w:t>
        </w:r>
      </w:hyperlink>
      <w:r w:rsidRPr="004A5E9E">
        <w:rPr>
          <w:sz w:val="24"/>
          <w:lang w:val="sk-SK"/>
        </w:rPr>
        <w:t>).</w:t>
      </w:r>
    </w:p>
    <w:p w14:paraId="3DB330F8" w14:textId="0F11C2D0"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t>Uznesenie Európskeho parlamentu z 8. mája 2025 o návrhu vykonávacieho rozhodnutia Komisie, ktorým sa podľa nariadenia Európskeho parlamentu a Rady (ES) č. 1829/2003 povoľuje umiestniť na trh produkty, ktoré obsahujú geneticky modifikovanú sóju MON 87705 × MON 87708 × MON 89788, sú z nej zložené alebo vyrobené (P10_TA(2025)0106).</w:t>
      </w:r>
    </w:p>
    <w:p w14:paraId="1E6A786E" w14:textId="376B4C4D"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t>Uznesenie Európskeho parlamentu z 8. októbra 2025 o vykonávacom rozhodnutí Komisie (EÚ) 2025/1898 z 22. septembra 2025, ktorým sa podľa nariadenia Európskeho parlamentu a Rady (ES) č. 1829/2003 povoľuje umiestniť na trh výrobky, ktoré obsahujú geneticky modifikovanú kukuricu DP51291, sú z nej zložené alebo vyrobené (P10_TA(2025)0222).</w:t>
      </w:r>
    </w:p>
    <w:p w14:paraId="759AE1BC" w14:textId="2A5AFC4B"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t>Uznesenie Európskeho parlamentu z 25. novembra 2025 o návrhu vykonávacieho rozhodnutia Komisie, ktorým sa podľa nariadenia Európskeho parlamentu a Rady (ES) č. 1829/2003 povoľuje umiestniť na trh produkty, ktoré obsahujú geneticky modifikovanú kukuricu DAS1131, sú z nej zložené alebo vyrobené (P10_TA(2025)0288).</w:t>
      </w:r>
    </w:p>
    <w:p w14:paraId="51D2D7F7" w14:textId="7F8D864F"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r>
      <w:r w:rsidRPr="00CF64D1">
        <w:rPr>
          <w:color w:val="000000" w:themeColor="text1"/>
          <w:sz w:val="24"/>
          <w:lang w:val="sk-SK"/>
        </w:rPr>
        <w:t>Uznesenie</w:t>
      </w:r>
      <w:r w:rsidRPr="004A5E9E">
        <w:rPr>
          <w:sz w:val="24"/>
          <w:lang w:val="sk-SK"/>
        </w:rPr>
        <w:t xml:space="preserve"> Európskeho parlamentu z 25. novembra 2025 o návrhu vykonávacieho rozhodnutia Komisie, ktorým sa podľa nariadenia Európskeho parlamentu a Rady (ES) č. 1829/2003 obnovuje povolenie umiestniť na trh produkty, ktoré obsahujú geneticky modifikovanú bavlnu MON 88913 (MON-88913-8), sú z nej zložené alebo vyrobené (P10_TA(2025)0289).</w:t>
      </w:r>
    </w:p>
    <w:p w14:paraId="20B40383" w14:textId="73668653" w:rsidR="002C5EC3" w:rsidRPr="00CF64D1" w:rsidRDefault="002C5EC3" w:rsidP="00CF64D1">
      <w:pPr>
        <w:pStyle w:val="FootnoteText"/>
        <w:suppressAutoHyphens/>
        <w:ind w:left="1134" w:hanging="567"/>
        <w:rPr>
          <w:color w:val="000000" w:themeColor="text1"/>
          <w:sz w:val="24"/>
          <w:lang w:val="sk-SK"/>
        </w:rPr>
      </w:pPr>
      <w:r w:rsidRPr="004A5E9E">
        <w:rPr>
          <w:sz w:val="24"/>
          <w:lang w:val="sk-SK"/>
        </w:rPr>
        <w:t>–</w:t>
      </w:r>
      <w:r w:rsidRPr="004A5E9E">
        <w:rPr>
          <w:sz w:val="24"/>
          <w:lang w:val="sk-SK"/>
        </w:rPr>
        <w:tab/>
        <w:t xml:space="preserve">Uznesenie Európskeho parlamentu z 25. novembra 2025 o návrhu vykonávacieho rozhodnutia Komisie, ktorým sa podľa nariadenia Európskeho parlamentu a Rady (ES) č. 1829/2003 obnovuje povolenie umiestniť na trh produkty, ktoré obsahujú geneticky modifikovanú repku </w:t>
      </w:r>
      <w:proofErr w:type="spellStart"/>
      <w:r w:rsidRPr="004A5E9E">
        <w:rPr>
          <w:sz w:val="24"/>
          <w:lang w:val="sk-SK"/>
        </w:rPr>
        <w:t>olejku</w:t>
      </w:r>
      <w:proofErr w:type="spellEnd"/>
      <w:r w:rsidRPr="004A5E9E">
        <w:rPr>
          <w:sz w:val="24"/>
          <w:lang w:val="sk-SK"/>
        </w:rPr>
        <w:t xml:space="preserve"> MON 88302, sú z nej zložené alebo </w:t>
      </w:r>
      <w:r w:rsidRPr="00CF64D1">
        <w:rPr>
          <w:color w:val="000000" w:themeColor="text1"/>
          <w:sz w:val="24"/>
          <w:lang w:val="sk-SK"/>
        </w:rPr>
        <w:t>vyrobené (P10_TA(2025)0290).</w:t>
      </w:r>
    </w:p>
    <w:p w14:paraId="34F777D5" w14:textId="3F3C0148" w:rsidR="002C5EC3" w:rsidRPr="004A5E9E" w:rsidRDefault="002C5EC3" w:rsidP="00CF64D1">
      <w:pPr>
        <w:pStyle w:val="FootnoteText"/>
        <w:suppressAutoHyphens/>
        <w:ind w:left="1134" w:hanging="567"/>
        <w:rPr>
          <w:sz w:val="24"/>
          <w:vertAlign w:val="superscript"/>
          <w:lang w:val="sk-SK"/>
        </w:rPr>
      </w:pPr>
      <w:r w:rsidRPr="004A5E9E">
        <w:rPr>
          <w:sz w:val="24"/>
          <w:lang w:val="sk-SK"/>
        </w:rPr>
        <w:t>–</w:t>
      </w:r>
      <w:r w:rsidRPr="004A5E9E">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sóju MON 87708, sú z nej zložené alebo vyrobené (P10_TA(2025)0291).</w:t>
      </w:r>
    </w:p>
    <w:p w14:paraId="14BCE58C" w14:textId="7C0A0CFB" w:rsidR="002C5EC3" w:rsidRPr="004A5E9E" w:rsidRDefault="002C5EC3" w:rsidP="00CF64D1">
      <w:pPr>
        <w:pStyle w:val="FootnoteText"/>
        <w:suppressAutoHyphens/>
        <w:ind w:left="1134" w:hanging="567"/>
        <w:rPr>
          <w:sz w:val="24"/>
          <w:lang w:val="sk-SK"/>
        </w:rPr>
      </w:pPr>
      <w:r w:rsidRPr="004A5E9E">
        <w:rPr>
          <w:sz w:val="24"/>
          <w:lang w:val="sk-SK"/>
        </w:rPr>
        <w:t>–</w:t>
      </w:r>
      <w:r w:rsidRPr="004A5E9E">
        <w:rPr>
          <w:sz w:val="24"/>
          <w:lang w:val="sk-SK"/>
        </w:rPr>
        <w:tab/>
        <w:t>Uznesenie Európskeho parlamentu z 25. novembra 2025 o návrhu vykonávacieho rozhodnutia Komisie, ktorým sa podľa nariadenia Európskeho parlamentu a Rady (ES) č. 1829/2003 obnovuje povolenie umiestniť na trh produkty, ktoré obsahujú geneticky modifikovanú kukuricu MON 87427, sú z nej zložené alebo vyrobené (P10_TA(2025)0292).</w:t>
      </w:r>
    </w:p>
  </w:footnote>
  <w:footnote w:id="5">
    <w:p w14:paraId="2DBEE40F" w14:textId="3CCAA972"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shd w:val="clear" w:color="auto" w:fill="FFFFFF"/>
          <w:lang w:val="sk-SK"/>
        </w:rPr>
        <w:t xml:space="preserve"> </w:t>
      </w:r>
      <w:r w:rsidR="004A5E9E" w:rsidRPr="004A5E9E">
        <w:rPr>
          <w:sz w:val="24"/>
          <w:shd w:val="clear" w:color="auto" w:fill="FFFFFF"/>
          <w:lang w:val="sk-SK"/>
        </w:rPr>
        <w:tab/>
      </w:r>
      <w:r w:rsidRPr="004A5E9E">
        <w:rPr>
          <w:sz w:val="24"/>
          <w:shd w:val="clear" w:color="auto" w:fill="FFFFFF"/>
          <w:lang w:val="sk-SK"/>
        </w:rPr>
        <w:t xml:space="preserve">Pozri napríklad </w:t>
      </w:r>
      <w:proofErr w:type="spellStart"/>
      <w:r w:rsidRPr="004A5E9E">
        <w:rPr>
          <w:sz w:val="24"/>
          <w:shd w:val="clear" w:color="auto" w:fill="FFFFFF"/>
          <w:lang w:val="sk-SK"/>
        </w:rPr>
        <w:t>Bonny</w:t>
      </w:r>
      <w:proofErr w:type="spellEnd"/>
      <w:r w:rsidRPr="004A5E9E">
        <w:rPr>
          <w:sz w:val="24"/>
          <w:shd w:val="clear" w:color="auto" w:fill="FFFFFF"/>
          <w:lang w:val="sk-SK"/>
        </w:rPr>
        <w:t>, S., „</w:t>
      </w:r>
      <w:proofErr w:type="spellStart"/>
      <w:r w:rsidRPr="004A5E9E">
        <w:rPr>
          <w:sz w:val="24"/>
          <w:shd w:val="clear" w:color="auto" w:fill="FFFFFF"/>
          <w:lang w:val="sk-SK"/>
        </w:rPr>
        <w:t>Genetically</w:t>
      </w:r>
      <w:proofErr w:type="spellEnd"/>
      <w:r w:rsidRPr="004A5E9E">
        <w:rPr>
          <w:sz w:val="24"/>
          <w:shd w:val="clear" w:color="auto" w:fill="FFFFFF"/>
          <w:lang w:val="sk-SK"/>
        </w:rPr>
        <w:t xml:space="preserve"> </w:t>
      </w:r>
      <w:proofErr w:type="spellStart"/>
      <w:r w:rsidRPr="004A5E9E">
        <w:rPr>
          <w:sz w:val="24"/>
          <w:shd w:val="clear" w:color="auto" w:fill="FFFFFF"/>
          <w:lang w:val="sk-SK"/>
        </w:rPr>
        <w:t>Modified</w:t>
      </w:r>
      <w:proofErr w:type="spellEnd"/>
      <w:r w:rsidRPr="004A5E9E">
        <w:rPr>
          <w:sz w:val="24"/>
          <w:shd w:val="clear" w:color="auto" w:fill="FFFFFF"/>
          <w:lang w:val="sk-SK"/>
        </w:rPr>
        <w:t xml:space="preserve"> </w:t>
      </w:r>
      <w:proofErr w:type="spellStart"/>
      <w:r w:rsidRPr="004A5E9E">
        <w:rPr>
          <w:sz w:val="24"/>
          <w:shd w:val="clear" w:color="auto" w:fill="FFFFFF"/>
          <w:lang w:val="sk-SK"/>
        </w:rPr>
        <w:t>Herbicide-Tolerant</w:t>
      </w:r>
      <w:proofErr w:type="spellEnd"/>
      <w:r w:rsidRPr="004A5E9E">
        <w:rPr>
          <w:sz w:val="24"/>
          <w:shd w:val="clear" w:color="auto" w:fill="FFFFFF"/>
          <w:lang w:val="sk-SK"/>
        </w:rPr>
        <w:t xml:space="preserve"> </w:t>
      </w:r>
      <w:proofErr w:type="spellStart"/>
      <w:r w:rsidRPr="004A5E9E">
        <w:rPr>
          <w:sz w:val="24"/>
          <w:shd w:val="clear" w:color="auto" w:fill="FFFFFF"/>
          <w:lang w:val="sk-SK"/>
        </w:rPr>
        <w:t>Crops</w:t>
      </w:r>
      <w:proofErr w:type="spellEnd"/>
      <w:r w:rsidRPr="004A5E9E">
        <w:rPr>
          <w:sz w:val="24"/>
          <w:shd w:val="clear" w:color="auto" w:fill="FFFFFF"/>
          <w:lang w:val="sk-SK"/>
        </w:rPr>
        <w:t xml:space="preserve">, </w:t>
      </w:r>
      <w:proofErr w:type="spellStart"/>
      <w:r w:rsidRPr="004A5E9E">
        <w:rPr>
          <w:sz w:val="24"/>
          <w:shd w:val="clear" w:color="auto" w:fill="FFFFFF"/>
          <w:lang w:val="sk-SK"/>
        </w:rPr>
        <w:t>Weeds</w:t>
      </w:r>
      <w:proofErr w:type="spellEnd"/>
      <w:r w:rsidRPr="004A5E9E">
        <w:rPr>
          <w:sz w:val="24"/>
          <w:shd w:val="clear" w:color="auto" w:fill="FFFFFF"/>
          <w:lang w:val="sk-SK"/>
        </w:rPr>
        <w:t xml:space="preserve">, and </w:t>
      </w:r>
      <w:proofErr w:type="spellStart"/>
      <w:r w:rsidRPr="004A5E9E">
        <w:rPr>
          <w:sz w:val="24"/>
          <w:shd w:val="clear" w:color="auto" w:fill="FFFFFF"/>
          <w:lang w:val="sk-SK"/>
        </w:rPr>
        <w:t>Herbicides</w:t>
      </w:r>
      <w:proofErr w:type="spellEnd"/>
      <w:r w:rsidRPr="004A5E9E">
        <w:rPr>
          <w:sz w:val="24"/>
          <w:shd w:val="clear" w:color="auto" w:fill="FFFFFF"/>
          <w:lang w:val="sk-SK"/>
        </w:rPr>
        <w:t xml:space="preserve">: </w:t>
      </w:r>
      <w:proofErr w:type="spellStart"/>
      <w:r w:rsidRPr="004A5E9E">
        <w:rPr>
          <w:sz w:val="24"/>
          <w:shd w:val="clear" w:color="auto" w:fill="FFFFFF"/>
          <w:lang w:val="sk-SK"/>
        </w:rPr>
        <w:t>Overview</w:t>
      </w:r>
      <w:proofErr w:type="spellEnd"/>
      <w:r w:rsidRPr="004A5E9E">
        <w:rPr>
          <w:sz w:val="24"/>
          <w:shd w:val="clear" w:color="auto" w:fill="FFFFFF"/>
          <w:lang w:val="sk-SK"/>
        </w:rPr>
        <w:t xml:space="preserve"> and </w:t>
      </w:r>
      <w:proofErr w:type="spellStart"/>
      <w:r w:rsidRPr="004A5E9E">
        <w:rPr>
          <w:sz w:val="24"/>
          <w:shd w:val="clear" w:color="auto" w:fill="FFFFFF"/>
          <w:lang w:val="sk-SK"/>
        </w:rPr>
        <w:t>Impact</w:t>
      </w:r>
      <w:proofErr w:type="spellEnd"/>
      <w:r w:rsidRPr="004A5E9E">
        <w:rPr>
          <w:sz w:val="24"/>
          <w:shd w:val="clear" w:color="auto" w:fill="FFFFFF"/>
          <w:lang w:val="sk-SK"/>
        </w:rPr>
        <w:t xml:space="preserve">“ (Geneticky modifikované plodiny odolné voči herbicídom, burina a herbicídy: prehľad a vplyv), </w:t>
      </w:r>
      <w:proofErr w:type="spellStart"/>
      <w:r w:rsidRPr="004A5E9E">
        <w:rPr>
          <w:sz w:val="24"/>
          <w:shd w:val="clear" w:color="auto" w:fill="FFFFFF"/>
          <w:lang w:val="sk-SK"/>
        </w:rPr>
        <w:t>Environmental</w:t>
      </w:r>
      <w:proofErr w:type="spellEnd"/>
      <w:r w:rsidRPr="004A5E9E">
        <w:rPr>
          <w:sz w:val="24"/>
          <w:shd w:val="clear" w:color="auto" w:fill="FFFFFF"/>
          <w:lang w:val="sk-SK"/>
        </w:rPr>
        <w:t xml:space="preserve"> Management, január, 2016; 57(1), s. </w:t>
      </w:r>
      <w:r w:rsidRPr="004A5E9E">
        <w:rPr>
          <w:sz w:val="24"/>
          <w:shd w:val="clear" w:color="auto" w:fill="FFFFFF"/>
          <w:lang w:val="sk-SK"/>
        </w:rPr>
        <w:t xml:space="preserve">31 – 48, </w:t>
      </w:r>
      <w:hyperlink r:id="rId14" w:history="1">
        <w:r w:rsidRPr="004A5E9E">
          <w:rPr>
            <w:rStyle w:val="Hyperlink"/>
            <w:sz w:val="24"/>
            <w:shd w:val="clear" w:color="auto" w:fill="FFFFFF"/>
            <w:lang w:val="sk-SK"/>
          </w:rPr>
          <w:t>https://doi.org/10.1007/s00267-015-0589-7</w:t>
        </w:r>
      </w:hyperlink>
      <w:r w:rsidRPr="004A5E9E">
        <w:rPr>
          <w:sz w:val="24"/>
          <w:shd w:val="clear" w:color="auto" w:fill="FFFFFF"/>
          <w:lang w:val="sk-SK"/>
        </w:rPr>
        <w:t xml:space="preserve"> a </w:t>
      </w:r>
      <w:proofErr w:type="spellStart"/>
      <w:r w:rsidRPr="004A5E9E">
        <w:rPr>
          <w:sz w:val="24"/>
          <w:shd w:val="clear" w:color="auto" w:fill="FFFFFF"/>
          <w:lang w:val="sk-SK"/>
        </w:rPr>
        <w:t>Benbrook</w:t>
      </w:r>
      <w:proofErr w:type="spellEnd"/>
      <w:r w:rsidRPr="004A5E9E">
        <w:rPr>
          <w:sz w:val="24"/>
          <w:shd w:val="clear" w:color="auto" w:fill="FFFFFF"/>
          <w:lang w:val="sk-SK"/>
        </w:rPr>
        <w:t>, C.M., „</w:t>
      </w:r>
      <w:proofErr w:type="spellStart"/>
      <w:r w:rsidRPr="004A5E9E">
        <w:rPr>
          <w:sz w:val="24"/>
          <w:shd w:val="clear" w:color="auto" w:fill="FFFFFF"/>
          <w:lang w:val="sk-SK"/>
        </w:rPr>
        <w:t>Impacts</w:t>
      </w:r>
      <w:proofErr w:type="spellEnd"/>
      <w:r w:rsidRPr="004A5E9E">
        <w:rPr>
          <w:sz w:val="24"/>
          <w:shd w:val="clear" w:color="auto" w:fill="FFFFFF"/>
          <w:lang w:val="sk-SK"/>
        </w:rPr>
        <w:t xml:space="preserve"> of </w:t>
      </w:r>
      <w:proofErr w:type="spellStart"/>
      <w:r w:rsidRPr="004A5E9E">
        <w:rPr>
          <w:sz w:val="24"/>
          <w:shd w:val="clear" w:color="auto" w:fill="FFFFFF"/>
          <w:lang w:val="sk-SK"/>
        </w:rPr>
        <w:t>genetically</w:t>
      </w:r>
      <w:proofErr w:type="spellEnd"/>
      <w:r w:rsidRPr="004A5E9E">
        <w:rPr>
          <w:sz w:val="24"/>
          <w:shd w:val="clear" w:color="auto" w:fill="FFFFFF"/>
          <w:lang w:val="sk-SK"/>
        </w:rPr>
        <w:t xml:space="preserve"> </w:t>
      </w:r>
      <w:proofErr w:type="spellStart"/>
      <w:r w:rsidRPr="004A5E9E">
        <w:rPr>
          <w:sz w:val="24"/>
          <w:shd w:val="clear" w:color="auto" w:fill="FFFFFF"/>
          <w:lang w:val="sk-SK"/>
        </w:rPr>
        <w:t>engineered</w:t>
      </w:r>
      <w:proofErr w:type="spellEnd"/>
      <w:r w:rsidRPr="004A5E9E">
        <w:rPr>
          <w:sz w:val="24"/>
          <w:shd w:val="clear" w:color="auto" w:fill="FFFFFF"/>
          <w:lang w:val="sk-SK"/>
        </w:rPr>
        <w:t xml:space="preserve"> </w:t>
      </w:r>
      <w:proofErr w:type="spellStart"/>
      <w:r w:rsidRPr="004A5E9E">
        <w:rPr>
          <w:sz w:val="24"/>
          <w:shd w:val="clear" w:color="auto" w:fill="FFFFFF"/>
          <w:lang w:val="sk-SK"/>
        </w:rPr>
        <w:t>crops</w:t>
      </w:r>
      <w:proofErr w:type="spellEnd"/>
      <w:r w:rsidRPr="004A5E9E">
        <w:rPr>
          <w:sz w:val="24"/>
          <w:shd w:val="clear" w:color="auto" w:fill="FFFFFF"/>
          <w:lang w:val="sk-SK"/>
        </w:rPr>
        <w:t xml:space="preserve"> on </w:t>
      </w:r>
      <w:proofErr w:type="spellStart"/>
      <w:r w:rsidRPr="004A5E9E">
        <w:rPr>
          <w:sz w:val="24"/>
          <w:shd w:val="clear" w:color="auto" w:fill="FFFFFF"/>
          <w:lang w:val="sk-SK"/>
        </w:rPr>
        <w:t>pesticide</w:t>
      </w:r>
      <w:proofErr w:type="spellEnd"/>
      <w:r w:rsidRPr="004A5E9E">
        <w:rPr>
          <w:sz w:val="24"/>
          <w:shd w:val="clear" w:color="auto" w:fill="FFFFFF"/>
          <w:lang w:val="sk-SK"/>
        </w:rPr>
        <w:t xml:space="preserve"> </w:t>
      </w:r>
      <w:proofErr w:type="spellStart"/>
      <w:r w:rsidRPr="004A5E9E">
        <w:rPr>
          <w:sz w:val="24"/>
          <w:shd w:val="clear" w:color="auto" w:fill="FFFFFF"/>
          <w:lang w:val="sk-SK"/>
        </w:rPr>
        <w:t>use</w:t>
      </w:r>
      <w:proofErr w:type="spellEnd"/>
      <w:r w:rsidRPr="004A5E9E">
        <w:rPr>
          <w:sz w:val="24"/>
          <w:shd w:val="clear" w:color="auto" w:fill="FFFFFF"/>
          <w:lang w:val="sk-SK"/>
        </w:rPr>
        <w:t xml:space="preserve"> in </w:t>
      </w:r>
      <w:proofErr w:type="spellStart"/>
      <w:r w:rsidRPr="004A5E9E">
        <w:rPr>
          <w:sz w:val="24"/>
          <w:shd w:val="clear" w:color="auto" w:fill="FFFFFF"/>
          <w:lang w:val="sk-SK"/>
        </w:rPr>
        <w:t>the</w:t>
      </w:r>
      <w:proofErr w:type="spellEnd"/>
      <w:r w:rsidRPr="004A5E9E">
        <w:rPr>
          <w:sz w:val="24"/>
          <w:shd w:val="clear" w:color="auto" w:fill="FFFFFF"/>
          <w:lang w:val="sk-SK"/>
        </w:rPr>
        <w:t xml:space="preserve"> U.S. - </w:t>
      </w:r>
      <w:proofErr w:type="spellStart"/>
      <w:r w:rsidRPr="004A5E9E">
        <w:rPr>
          <w:sz w:val="24"/>
          <w:shd w:val="clear" w:color="auto" w:fill="FFFFFF"/>
          <w:lang w:val="sk-SK"/>
        </w:rPr>
        <w:t>the</w:t>
      </w:r>
      <w:proofErr w:type="spellEnd"/>
      <w:r w:rsidRPr="004A5E9E">
        <w:rPr>
          <w:sz w:val="24"/>
          <w:shd w:val="clear" w:color="auto" w:fill="FFFFFF"/>
          <w:lang w:val="sk-SK"/>
        </w:rPr>
        <w:t xml:space="preserve"> </w:t>
      </w:r>
      <w:proofErr w:type="spellStart"/>
      <w:r w:rsidRPr="004A5E9E">
        <w:rPr>
          <w:sz w:val="24"/>
          <w:shd w:val="clear" w:color="auto" w:fill="FFFFFF"/>
          <w:lang w:val="sk-SK"/>
        </w:rPr>
        <w:t>first</w:t>
      </w:r>
      <w:proofErr w:type="spellEnd"/>
      <w:r w:rsidRPr="004A5E9E">
        <w:rPr>
          <w:sz w:val="24"/>
          <w:shd w:val="clear" w:color="auto" w:fill="FFFFFF"/>
          <w:lang w:val="sk-SK"/>
        </w:rPr>
        <w:t xml:space="preserve"> </w:t>
      </w:r>
      <w:proofErr w:type="spellStart"/>
      <w:r w:rsidRPr="004A5E9E">
        <w:rPr>
          <w:sz w:val="24"/>
          <w:shd w:val="clear" w:color="auto" w:fill="FFFFFF"/>
          <w:lang w:val="sk-SK"/>
        </w:rPr>
        <w:t>sixteen</w:t>
      </w:r>
      <w:proofErr w:type="spellEnd"/>
      <w:r w:rsidRPr="004A5E9E">
        <w:rPr>
          <w:sz w:val="24"/>
          <w:shd w:val="clear" w:color="auto" w:fill="FFFFFF"/>
          <w:lang w:val="sk-SK"/>
        </w:rPr>
        <w:t xml:space="preserve"> </w:t>
      </w:r>
      <w:proofErr w:type="spellStart"/>
      <w:r w:rsidRPr="004A5E9E">
        <w:rPr>
          <w:sz w:val="24"/>
          <w:shd w:val="clear" w:color="auto" w:fill="FFFFFF"/>
          <w:lang w:val="sk-SK"/>
        </w:rPr>
        <w:t>years</w:t>
      </w:r>
      <w:proofErr w:type="spellEnd"/>
      <w:r w:rsidRPr="004A5E9E">
        <w:rPr>
          <w:sz w:val="24"/>
          <w:shd w:val="clear" w:color="auto" w:fill="FFFFFF"/>
          <w:lang w:val="sk-SK"/>
        </w:rPr>
        <w:t xml:space="preserve">“ (Vplyv geneticky modifikovaných plodín na používanie pesticídov v USA – prvých šestnásť rokov), </w:t>
      </w:r>
      <w:proofErr w:type="spellStart"/>
      <w:r w:rsidRPr="004A5E9E">
        <w:rPr>
          <w:sz w:val="24"/>
          <w:shd w:val="clear" w:color="auto" w:fill="FFFFFF"/>
          <w:lang w:val="sk-SK"/>
        </w:rPr>
        <w:t>Environmental</w:t>
      </w:r>
      <w:proofErr w:type="spellEnd"/>
      <w:r w:rsidRPr="004A5E9E">
        <w:rPr>
          <w:sz w:val="24"/>
          <w:shd w:val="clear" w:color="auto" w:fill="FFFFFF"/>
          <w:lang w:val="sk-SK"/>
        </w:rPr>
        <w:t xml:space="preserve"> </w:t>
      </w:r>
      <w:proofErr w:type="spellStart"/>
      <w:r w:rsidRPr="004A5E9E">
        <w:rPr>
          <w:sz w:val="24"/>
          <w:shd w:val="clear" w:color="auto" w:fill="FFFFFF"/>
          <w:lang w:val="sk-SK"/>
        </w:rPr>
        <w:t>Sciences</w:t>
      </w:r>
      <w:proofErr w:type="spellEnd"/>
      <w:r w:rsidRPr="004A5E9E">
        <w:rPr>
          <w:sz w:val="24"/>
          <w:shd w:val="clear" w:color="auto" w:fill="FFFFFF"/>
          <w:lang w:val="sk-SK"/>
        </w:rPr>
        <w:t xml:space="preserve"> </w:t>
      </w:r>
      <w:proofErr w:type="spellStart"/>
      <w:r w:rsidRPr="004A5E9E">
        <w:rPr>
          <w:sz w:val="24"/>
          <w:shd w:val="clear" w:color="auto" w:fill="FFFFFF"/>
          <w:lang w:val="sk-SK"/>
        </w:rPr>
        <w:t>Europe</w:t>
      </w:r>
      <w:proofErr w:type="spellEnd"/>
      <w:r w:rsidRPr="004A5E9E">
        <w:rPr>
          <w:sz w:val="24"/>
          <w:shd w:val="clear" w:color="auto" w:fill="FFFFFF"/>
          <w:lang w:val="sk-SK"/>
        </w:rPr>
        <w:t xml:space="preserve">; 28. septembra 2012, zv. 24(1), </w:t>
      </w:r>
      <w:hyperlink r:id="rId15" w:history="1">
        <w:r w:rsidRPr="004A5E9E">
          <w:rPr>
            <w:rStyle w:val="Hyperlink"/>
            <w:sz w:val="24"/>
            <w:lang w:val="sk-SK"/>
          </w:rPr>
          <w:t>https://doi.org/10.1186/2190-4715-24-24</w:t>
        </w:r>
      </w:hyperlink>
      <w:r w:rsidRPr="004A5E9E">
        <w:rPr>
          <w:rStyle w:val="Hyperlink"/>
          <w:sz w:val="24"/>
          <w:shd w:val="clear" w:color="auto" w:fill="FFFFFF"/>
          <w:lang w:val="sk-SK"/>
        </w:rPr>
        <w:t>.</w:t>
      </w:r>
    </w:p>
  </w:footnote>
  <w:footnote w:id="6">
    <w:p w14:paraId="0F3FCFC5" w14:textId="7712FC93" w:rsidR="002C5EC3" w:rsidRPr="004A5E9E" w:rsidRDefault="002C5EC3" w:rsidP="004A5E9E">
      <w:pPr>
        <w:pStyle w:val="FootnoteText"/>
        <w:ind w:left="567" w:hanging="567"/>
        <w:rPr>
          <w:sz w:val="24"/>
          <w:vertAlign w:val="superscript"/>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 xml:space="preserve">Pozri napríklad: </w:t>
      </w:r>
      <w:hyperlink r:id="rId16" w:history="1">
        <w:r w:rsidRPr="004A5E9E">
          <w:rPr>
            <w:rStyle w:val="Hyperlink"/>
            <w:sz w:val="24"/>
            <w:lang w:val="sk-SK"/>
          </w:rPr>
          <w:t>https://doi.org/10.1002/ps.8105</w:t>
        </w:r>
      </w:hyperlink>
      <w:r w:rsidRPr="004A5E9E">
        <w:rPr>
          <w:sz w:val="24"/>
          <w:lang w:val="sk-SK"/>
        </w:rPr>
        <w:t>,</w:t>
      </w:r>
    </w:p>
    <w:p w14:paraId="1E127483" w14:textId="6E298CD5" w:rsidR="002C5EC3" w:rsidRPr="004A5E9E" w:rsidRDefault="002C5EC3" w:rsidP="00CF64D1">
      <w:pPr>
        <w:pStyle w:val="FootnoteText"/>
        <w:ind w:left="567" w:firstLine="0"/>
        <w:rPr>
          <w:sz w:val="24"/>
          <w:lang w:val="sk-SK"/>
        </w:rPr>
      </w:pPr>
      <w:hyperlink r:id="rId17" w:tgtFrame="_blank" w:tooltip="Trvalé prepojenie pomocou digitálneho identifikátora objektu" w:history="1">
        <w:r w:rsidRPr="004A5E9E">
          <w:rPr>
            <w:rStyle w:val="Hyperlink"/>
            <w:sz w:val="24"/>
            <w:lang w:val="sk-SK"/>
          </w:rPr>
          <w:t>https://doi.org/10.1016/j.geoforum.2009.03.009</w:t>
        </w:r>
      </w:hyperlink>
      <w:r w:rsidRPr="004A5E9E">
        <w:rPr>
          <w:sz w:val="24"/>
          <w:lang w:val="sk-SK"/>
        </w:rPr>
        <w:t>.</w:t>
      </w:r>
    </w:p>
  </w:footnote>
  <w:footnote w:id="7">
    <w:p w14:paraId="450C850E" w14:textId="1F22E5C0"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Pozri napríklad:</w:t>
      </w:r>
      <w:r w:rsidRPr="004A5E9E">
        <w:rPr>
          <w:sz w:val="24"/>
          <w:lang w:val="sk-SK"/>
        </w:rPr>
        <w:br/>
      </w:r>
      <w:hyperlink r:id="rId18" w:tgtFrame="_blank" w:tooltip="Trvalé prepojenie pomocou digitálneho identifikátora objektu" w:history="1">
        <w:r w:rsidRPr="004A5E9E">
          <w:rPr>
            <w:rStyle w:val="Hyperlink"/>
            <w:sz w:val="24"/>
            <w:lang w:val="sk-SK"/>
          </w:rPr>
          <w:t>https://doi.org/10.1016/j.mrrev.2019.02.001</w:t>
        </w:r>
      </w:hyperlink>
      <w:r w:rsidRPr="004A5E9E">
        <w:rPr>
          <w:sz w:val="24"/>
          <w:lang w:val="sk-SK"/>
        </w:rPr>
        <w:t>,</w:t>
      </w:r>
      <w:r w:rsidRPr="004A5E9E">
        <w:rPr>
          <w:sz w:val="24"/>
          <w:lang w:val="sk-SK"/>
        </w:rPr>
        <w:br/>
      </w:r>
      <w:hyperlink r:id="rId19" w:history="1">
        <w:r w:rsidRPr="004A5E9E">
          <w:rPr>
            <w:rStyle w:val="Hyperlink"/>
            <w:sz w:val="24"/>
            <w:lang w:val="sk-SK"/>
          </w:rPr>
          <w:t>https://doi.org/10.1093/ije/dyz017</w:t>
        </w:r>
      </w:hyperlink>
      <w:r w:rsidRPr="004A5E9E">
        <w:rPr>
          <w:sz w:val="24"/>
          <w:lang w:val="sk-SK"/>
        </w:rPr>
        <w:t>,</w:t>
      </w:r>
      <w:r w:rsidRPr="004A5E9E">
        <w:rPr>
          <w:sz w:val="24"/>
          <w:lang w:val="sk-SK"/>
        </w:rPr>
        <w:br/>
      </w:r>
      <w:hyperlink r:id="rId20" w:history="1">
        <w:r w:rsidRPr="004A5E9E">
          <w:rPr>
            <w:rStyle w:val="Hyperlink"/>
            <w:sz w:val="24"/>
            <w:lang w:val="sk-SK"/>
          </w:rPr>
          <w:t>https://doi.org/10.1371/journal.pone.0219610</w:t>
        </w:r>
      </w:hyperlink>
      <w:r w:rsidRPr="004A5E9E">
        <w:rPr>
          <w:sz w:val="24"/>
          <w:lang w:val="sk-SK"/>
        </w:rPr>
        <w:t xml:space="preserve"> a</w:t>
      </w:r>
      <w:r w:rsidRPr="004A5E9E">
        <w:rPr>
          <w:sz w:val="24"/>
          <w:lang w:val="sk-SK"/>
        </w:rPr>
        <w:br/>
      </w:r>
      <w:hyperlink r:id="rId21" w:history="1">
        <w:r w:rsidRPr="004A5E9E">
          <w:rPr>
            <w:rStyle w:val="Hyperlink"/>
            <w:sz w:val="24"/>
            <w:lang w:val="sk-SK"/>
          </w:rPr>
          <w:t>https://doi.org/10.1186/s13045-019-0767-9</w:t>
        </w:r>
      </w:hyperlink>
      <w:r w:rsidRPr="004A5E9E">
        <w:rPr>
          <w:sz w:val="24"/>
          <w:lang w:val="sk-SK"/>
        </w:rPr>
        <w:t>.</w:t>
      </w:r>
    </w:p>
  </w:footnote>
  <w:footnote w:id="8">
    <w:p w14:paraId="0C593E29" w14:textId="316B068E"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Nariadenie Európskeho parlamentu a Rady (ES) č. 1107/2009 z 21. októbra 2009 o uvádzaní prípravkov na ochranu rastlín na trh a o zrušení smerníc Rady 79/117/EHS a 91/414/EHS (Ú. v. EÚ L 309, 24.11.2009, s. </w:t>
      </w:r>
      <w:r w:rsidRPr="004A5E9E">
        <w:rPr>
          <w:sz w:val="24"/>
          <w:lang w:val="sk-SK"/>
        </w:rPr>
        <w:t xml:space="preserve">1, ELI: </w:t>
      </w:r>
      <w:hyperlink r:id="rId22" w:tooltip="Umožňuje prístup k tomuto dokumentu prostredníctvom identifikátora URI používaného v rámci ELI." w:history="1">
        <w:r w:rsidRPr="004A5E9E">
          <w:rPr>
            <w:rStyle w:val="Hyperlink"/>
            <w:sz w:val="24"/>
            <w:lang w:val="sk-SK"/>
          </w:rPr>
          <w:t>http://data.europa.eu/eli/reg/2009/1107/oj</w:t>
        </w:r>
      </w:hyperlink>
      <w:r w:rsidRPr="004A5E9E">
        <w:rPr>
          <w:sz w:val="24"/>
          <w:lang w:val="sk-SK"/>
        </w:rPr>
        <w:t>).</w:t>
      </w:r>
    </w:p>
  </w:footnote>
  <w:footnote w:id="9">
    <w:p w14:paraId="56B256BA" w14:textId="4EF37BE5"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color w:val="000000" w:themeColor="text1"/>
          <w:sz w:val="24"/>
          <w:lang w:val="sk-SK"/>
        </w:rPr>
        <w:t xml:space="preserve"> </w:t>
      </w:r>
      <w:r w:rsidR="004A5E9E" w:rsidRPr="004A5E9E">
        <w:rPr>
          <w:color w:val="000000" w:themeColor="text1"/>
          <w:sz w:val="24"/>
          <w:lang w:val="sk-SK"/>
        </w:rPr>
        <w:tab/>
      </w:r>
      <w:r w:rsidRPr="004A5E9E">
        <w:rPr>
          <w:color w:val="000000" w:themeColor="text1"/>
          <w:sz w:val="24"/>
          <w:lang w:val="sk-SK"/>
        </w:rPr>
        <w:t xml:space="preserve">V decembri 2022 bol na 15. </w:t>
      </w:r>
      <w:r w:rsidRPr="004A5E9E">
        <w:rPr>
          <w:color w:val="000000" w:themeColor="text1"/>
          <w:sz w:val="24"/>
          <w:lang w:val="sk-SK"/>
        </w:rPr>
        <w:t>konferencii zmluvných strán Dohovoru OSN o biologickej diverzite schválený globálny rámec pre biodiverzitu, ktorý zahŕňa globálny cieľ znížiť do roku 2030 riziko používania pesticídov aspoň o 50</w:t>
      </w:r>
      <w:r w:rsidRPr="004A5E9E">
        <w:rPr>
          <w:sz w:val="24"/>
          <w:lang w:val="sk-SK"/>
        </w:rPr>
        <w:t> </w:t>
      </w:r>
      <w:r w:rsidRPr="004A5E9E">
        <w:rPr>
          <w:color w:val="000000" w:themeColor="text1"/>
          <w:sz w:val="24"/>
          <w:lang w:val="sk-SK"/>
        </w:rPr>
        <w:t xml:space="preserve">% (pozri: </w:t>
      </w:r>
      <w:hyperlink r:id="rId23" w:history="1">
        <w:r w:rsidRPr="004A5E9E">
          <w:rPr>
            <w:rStyle w:val="Hyperlink"/>
            <w:sz w:val="24"/>
            <w:lang w:val="sk-SK"/>
          </w:rPr>
          <w:t>https://ec.europa.eu/commission/presscorner/detail/sk/ip_22_7834</w:t>
        </w:r>
      </w:hyperlink>
      <w:r w:rsidRPr="004A5E9E">
        <w:rPr>
          <w:sz w:val="24"/>
          <w:lang w:val="sk-SK"/>
        </w:rPr>
        <w:t xml:space="preserve">) </w:t>
      </w:r>
    </w:p>
  </w:footnote>
  <w:footnote w:id="10">
    <w:p w14:paraId="12B60161" w14:textId="7F1A3BBF"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hyperlink r:id="rId24" w:history="1">
        <w:r w:rsidRPr="004A5E9E">
          <w:rPr>
            <w:rStyle w:val="Hyperlink"/>
            <w:sz w:val="24"/>
            <w:lang w:val="sk-SK"/>
          </w:rPr>
          <w:t>https://commission.europa.eu/strategy-and-policy/priorities-2019-2024/european-green-deal/agriculture-and-green-deal/strategic-dialogue-future-eu-agriculture_sk</w:t>
        </w:r>
      </w:hyperlink>
      <w:r w:rsidRPr="004A5E9E">
        <w:rPr>
          <w:rStyle w:val="Hyperlink"/>
          <w:sz w:val="24"/>
          <w:lang w:val="sk-SK"/>
        </w:rPr>
        <w:t>.</w:t>
      </w:r>
      <w:r w:rsidRPr="004A5E9E">
        <w:rPr>
          <w:sz w:val="24"/>
          <w:lang w:val="sk-SK"/>
        </w:rPr>
        <w:t xml:space="preserve"> </w:t>
      </w:r>
    </w:p>
  </w:footnote>
  <w:footnote w:id="11">
    <w:p w14:paraId="6B5F979D" w14:textId="56ACF576" w:rsidR="002C5EC3" w:rsidRPr="004A5E9E" w:rsidRDefault="002C5EC3" w:rsidP="004A5E9E">
      <w:pPr>
        <w:pStyle w:val="FootnoteText"/>
        <w:ind w:left="567" w:hanging="567"/>
        <w:rPr>
          <w:sz w:val="24"/>
          <w:lang w:val="sk-SK"/>
        </w:rPr>
      </w:pPr>
      <w:r w:rsidRPr="004A5E9E">
        <w:rPr>
          <w:rStyle w:val="FootnoteReference"/>
          <w:sz w:val="24"/>
          <w:lang w:val="sk-SK"/>
        </w:rPr>
        <w:footnoteRef/>
      </w:r>
      <w:r w:rsidR="004A5E9E" w:rsidRPr="004A5E9E">
        <w:rPr>
          <w:sz w:val="24"/>
          <w:lang w:val="sk-SK"/>
        </w:rPr>
        <w:t xml:space="preserve"> </w:t>
      </w:r>
      <w:r w:rsidR="004A5E9E" w:rsidRPr="004A5E9E">
        <w:rPr>
          <w:sz w:val="24"/>
          <w:lang w:val="sk-SK"/>
        </w:rPr>
        <w:tab/>
      </w:r>
      <w:r w:rsidRPr="004A5E9E">
        <w:rPr>
          <w:sz w:val="24"/>
          <w:lang w:val="sk-SK"/>
        </w:rPr>
        <w:t>Nariadenie Európskeho parlamentu a Rady (ES) č. 178/2002 z 28. januára 2002, ktorým sa ustanovujú všeobecné zásady a požiadavky potravinového práva, zriaďuje Európsky úrad pre bezpečnosť potravín a stanovujú postupy v záležitostiach bezpečnosti potravín (Ú. v. ES L 31, 1.2.2002, s. </w:t>
      </w:r>
      <w:r w:rsidRPr="004A5E9E">
        <w:rPr>
          <w:sz w:val="24"/>
          <w:lang w:val="sk-SK"/>
        </w:rPr>
        <w:t>1, ELI: </w:t>
      </w:r>
      <w:hyperlink r:id="rId25" w:tgtFrame="Gives%20access%20to%20this%20document%20through%20its%20ELI%20URI." w:history="1">
        <w:r w:rsidRPr="004A5E9E">
          <w:rPr>
            <w:rStyle w:val="Hyperlink"/>
            <w:sz w:val="24"/>
            <w:lang w:val="sk-SK"/>
          </w:rPr>
          <w:t>http://data.europa.eu/eli/reg/2002/178/oj</w:t>
        </w:r>
      </w:hyperlink>
      <w:r w:rsidRPr="004A5E9E">
        <w:rPr>
          <w:sz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C3E539" w14:textId="77777777" w:rsidR="00064002" w:rsidRPr="004A5E9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BE0994" w14:textId="77777777" w:rsidR="00064002" w:rsidRPr="004A5E9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6FD867" w14:textId="77777777" w:rsidR="00064002" w:rsidRPr="004A5E9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44614518">
    <w:abstractNumId w:val="9"/>
  </w:num>
  <w:num w:numId="2" w16cid:durableId="923536742">
    <w:abstractNumId w:val="9"/>
  </w:num>
  <w:num w:numId="3" w16cid:durableId="555354670">
    <w:abstractNumId w:val="7"/>
  </w:num>
  <w:num w:numId="4" w16cid:durableId="1918202690">
    <w:abstractNumId w:val="7"/>
  </w:num>
  <w:num w:numId="5" w16cid:durableId="35014623">
    <w:abstractNumId w:val="6"/>
  </w:num>
  <w:num w:numId="6" w16cid:durableId="2145610639">
    <w:abstractNumId w:val="6"/>
  </w:num>
  <w:num w:numId="7" w16cid:durableId="15816692">
    <w:abstractNumId w:val="5"/>
  </w:num>
  <w:num w:numId="8" w16cid:durableId="1849824922">
    <w:abstractNumId w:val="5"/>
  </w:num>
  <w:num w:numId="9" w16cid:durableId="505244487">
    <w:abstractNumId w:val="4"/>
  </w:num>
  <w:num w:numId="10" w16cid:durableId="211963010">
    <w:abstractNumId w:val="4"/>
  </w:num>
  <w:num w:numId="11" w16cid:durableId="1264722207">
    <w:abstractNumId w:val="8"/>
  </w:num>
  <w:num w:numId="12" w16cid:durableId="273288225">
    <w:abstractNumId w:val="8"/>
  </w:num>
  <w:num w:numId="13" w16cid:durableId="1641300073">
    <w:abstractNumId w:val="3"/>
  </w:num>
  <w:num w:numId="14" w16cid:durableId="22824549">
    <w:abstractNumId w:val="3"/>
  </w:num>
  <w:num w:numId="15" w16cid:durableId="1504200335">
    <w:abstractNumId w:val="2"/>
  </w:num>
  <w:num w:numId="16" w16cid:durableId="312760944">
    <w:abstractNumId w:val="2"/>
  </w:num>
  <w:num w:numId="17" w16cid:durableId="1643774907">
    <w:abstractNumId w:val="1"/>
  </w:num>
  <w:num w:numId="18" w16cid:durableId="1079668604">
    <w:abstractNumId w:val="1"/>
  </w:num>
  <w:num w:numId="19" w16cid:durableId="504706604">
    <w:abstractNumId w:val="0"/>
  </w:num>
  <w:num w:numId="20" w16cid:durableId="148639970">
    <w:abstractNumId w:val="0"/>
  </w:num>
  <w:num w:numId="21" w16cid:durableId="166479190">
    <w:abstractNumId w:val="9"/>
  </w:num>
  <w:num w:numId="22" w16cid:durableId="1507985865">
    <w:abstractNumId w:val="7"/>
  </w:num>
  <w:num w:numId="23" w16cid:durableId="791559559">
    <w:abstractNumId w:val="6"/>
  </w:num>
  <w:num w:numId="24" w16cid:durableId="673149123">
    <w:abstractNumId w:val="5"/>
  </w:num>
  <w:num w:numId="25" w16cid:durableId="493885535">
    <w:abstractNumId w:val="4"/>
  </w:num>
  <w:num w:numId="26" w16cid:durableId="1936592380">
    <w:abstractNumId w:val="8"/>
  </w:num>
  <w:num w:numId="27" w16cid:durableId="1960143522">
    <w:abstractNumId w:val="3"/>
  </w:num>
  <w:num w:numId="28" w16cid:durableId="986781937">
    <w:abstractNumId w:val="2"/>
  </w:num>
  <w:num w:numId="29" w16cid:durableId="1187601921">
    <w:abstractNumId w:val="1"/>
  </w:num>
  <w:num w:numId="30" w16cid:durableId="1842501335">
    <w:abstractNumId w:val="0"/>
  </w:num>
  <w:num w:numId="31" w16cid:durableId="545602107">
    <w:abstractNumId w:val="9"/>
  </w:num>
  <w:num w:numId="32" w16cid:durableId="207955196">
    <w:abstractNumId w:val="7"/>
  </w:num>
  <w:num w:numId="33" w16cid:durableId="135150752">
    <w:abstractNumId w:val="6"/>
  </w:num>
  <w:num w:numId="34" w16cid:durableId="2076584059">
    <w:abstractNumId w:val="5"/>
  </w:num>
  <w:num w:numId="35" w16cid:durableId="1766002210">
    <w:abstractNumId w:val="4"/>
  </w:num>
  <w:num w:numId="36" w16cid:durableId="1523128172">
    <w:abstractNumId w:val="8"/>
  </w:num>
  <w:num w:numId="37" w16cid:durableId="2032761240">
    <w:abstractNumId w:val="3"/>
  </w:num>
  <w:num w:numId="38" w16cid:durableId="2015263470">
    <w:abstractNumId w:val="2"/>
  </w:num>
  <w:num w:numId="39" w16cid:durableId="61829274">
    <w:abstractNumId w:val="1"/>
  </w:num>
  <w:num w:numId="40" w16cid:durableId="1313409628">
    <w:abstractNumId w:val="0"/>
  </w:num>
  <w:num w:numId="41" w16cid:durableId="347635138">
    <w:abstractNumId w:val="10"/>
  </w:num>
  <w:num w:numId="42" w16cid:durableId="1868829932">
    <w:abstractNumId w:val="10"/>
  </w:num>
  <w:num w:numId="43" w16cid:durableId="754786995">
    <w:abstractNumId w:val="10"/>
  </w:num>
  <w:num w:numId="44" w16cid:durableId="17962186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559/2025"/>
    <w:docVar w:name="dvlangue" w:val="SK"/>
    <w:docVar w:name="dvnumam" w:val="0"/>
    <w:docVar w:name="dvpe" w:val="779.398"/>
    <w:docVar w:name="dvtitre" w:val="Uznesenie Európskeho parlamentu z xx. decembra 2025 o návrhu vykonávacieho rozhodnutia Komisie, ktorým sa podľa nariadenia Európskeho parlamentu a Rady (ES) č. 1829/2003 povoľuje umiestniť na trh potraviny, zložky potravín a krmivá, ktoré sú vyrobené z geneticky modifikovanej cukrovej repy KWS20-1(D110122/02 – 2025/2959(RSP))"/>
  </w:docVars>
  <w:rsids>
    <w:rsidRoot w:val="002F4544"/>
    <w:rsid w:val="00002272"/>
    <w:rsid w:val="00064002"/>
    <w:rsid w:val="000677B9"/>
    <w:rsid w:val="000831BA"/>
    <w:rsid w:val="000A42CC"/>
    <w:rsid w:val="000E7DD9"/>
    <w:rsid w:val="0010095E"/>
    <w:rsid w:val="00125B37"/>
    <w:rsid w:val="00187494"/>
    <w:rsid w:val="001F32AE"/>
    <w:rsid w:val="002767FF"/>
    <w:rsid w:val="00285132"/>
    <w:rsid w:val="002B18FE"/>
    <w:rsid w:val="002B5493"/>
    <w:rsid w:val="002C5EC3"/>
    <w:rsid w:val="002F4544"/>
    <w:rsid w:val="00343214"/>
    <w:rsid w:val="00361C00"/>
    <w:rsid w:val="00395FA1"/>
    <w:rsid w:val="003E15D4"/>
    <w:rsid w:val="00411CCE"/>
    <w:rsid w:val="0041666E"/>
    <w:rsid w:val="00421060"/>
    <w:rsid w:val="00471C19"/>
    <w:rsid w:val="004867E3"/>
    <w:rsid w:val="00494A28"/>
    <w:rsid w:val="004A5E9E"/>
    <w:rsid w:val="004C0004"/>
    <w:rsid w:val="004C5D52"/>
    <w:rsid w:val="0050519A"/>
    <w:rsid w:val="005072A1"/>
    <w:rsid w:val="00514517"/>
    <w:rsid w:val="00545827"/>
    <w:rsid w:val="00560270"/>
    <w:rsid w:val="0057103A"/>
    <w:rsid w:val="005C2568"/>
    <w:rsid w:val="005F1B17"/>
    <w:rsid w:val="006037C0"/>
    <w:rsid w:val="006631B6"/>
    <w:rsid w:val="00680577"/>
    <w:rsid w:val="00696C1F"/>
    <w:rsid w:val="006F74FA"/>
    <w:rsid w:val="00731ADD"/>
    <w:rsid w:val="00734777"/>
    <w:rsid w:val="00744999"/>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31E3"/>
    <w:rsid w:val="009509D8"/>
    <w:rsid w:val="00950B64"/>
    <w:rsid w:val="00981893"/>
    <w:rsid w:val="00A1687D"/>
    <w:rsid w:val="00A43E52"/>
    <w:rsid w:val="00A4678D"/>
    <w:rsid w:val="00A778C7"/>
    <w:rsid w:val="00AB441E"/>
    <w:rsid w:val="00AB6293"/>
    <w:rsid w:val="00AE0928"/>
    <w:rsid w:val="00AF3B82"/>
    <w:rsid w:val="00B12E95"/>
    <w:rsid w:val="00B22876"/>
    <w:rsid w:val="00B36D08"/>
    <w:rsid w:val="00B558F0"/>
    <w:rsid w:val="00BD48FE"/>
    <w:rsid w:val="00BD7BD8"/>
    <w:rsid w:val="00BE6ADC"/>
    <w:rsid w:val="00C05BFE"/>
    <w:rsid w:val="00C23CD4"/>
    <w:rsid w:val="00C61C0C"/>
    <w:rsid w:val="00C941CB"/>
    <w:rsid w:val="00CC2357"/>
    <w:rsid w:val="00CF071A"/>
    <w:rsid w:val="00CF64D1"/>
    <w:rsid w:val="00D058B8"/>
    <w:rsid w:val="00D56C11"/>
    <w:rsid w:val="00D834A0"/>
    <w:rsid w:val="00D872DF"/>
    <w:rsid w:val="00D91E21"/>
    <w:rsid w:val="00DA7FCD"/>
    <w:rsid w:val="00E365E1"/>
    <w:rsid w:val="00E820A4"/>
    <w:rsid w:val="00EB006A"/>
    <w:rsid w:val="00EB4772"/>
    <w:rsid w:val="00ED169E"/>
    <w:rsid w:val="00ED1AE6"/>
    <w:rsid w:val="00ED4235"/>
    <w:rsid w:val="00F04346"/>
    <w:rsid w:val="00F075DC"/>
    <w:rsid w:val="00F149E9"/>
    <w:rsid w:val="00F5134D"/>
    <w:rsid w:val="00F74202"/>
    <w:rsid w:val="00F87713"/>
    <w:rsid w:val="00F9372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85A106"/>
  <w15:chartTrackingRefBased/>
  <w15:docId w15:val="{A3C48DC5-54A3-4BF2-A11D-E6F7ECE94E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uiPriority w:val="99"/>
    <w:rsid w:val="002C5EC3"/>
    <w:pPr>
      <w:spacing w:before="480" w:after="240"/>
    </w:pPr>
  </w:style>
  <w:style w:type="paragraph" w:customStyle="1" w:styleId="NormalHanging12a">
    <w:name w:val="NormalHanging12a"/>
    <w:basedOn w:val="Normal"/>
    <w:uiPriority w:val="99"/>
    <w:qFormat/>
    <w:rsid w:val="002C5EC3"/>
    <w:pPr>
      <w:spacing w:after="240"/>
      <w:ind w:left="567" w:hanging="567"/>
    </w:pPr>
  </w:style>
  <w:style w:type="character" w:styleId="Hyperlink">
    <w:name w:val="Hyperlink"/>
    <w:basedOn w:val="DefaultParagraphFont"/>
    <w:uiPriority w:val="99"/>
    <w:rsid w:val="002C5EC3"/>
    <w:rPr>
      <w:color w:val="0563C1" w:themeColor="hyperlink"/>
      <w:u w:val="single"/>
    </w:rPr>
  </w:style>
  <w:style w:type="paragraph" w:styleId="NormalWeb">
    <w:name w:val="Normal (Web)"/>
    <w:basedOn w:val="Normal"/>
    <w:uiPriority w:val="99"/>
    <w:unhideWhenUsed/>
    <w:rsid w:val="002C5EC3"/>
    <w:pPr>
      <w:widowControl/>
      <w:spacing w:before="100" w:beforeAutospacing="1" w:after="100" w:afterAutospacing="1"/>
    </w:pPr>
    <w:rPr>
      <w:szCs w:val="24"/>
    </w:rPr>
  </w:style>
  <w:style w:type="paragraph" w:styleId="Revision">
    <w:name w:val="Revision"/>
    <w:hidden/>
    <w:uiPriority w:val="99"/>
    <w:semiHidden/>
    <w:rsid w:val="0057103A"/>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18" Type="http://schemas.openxmlformats.org/officeDocument/2006/relationships/hyperlink" Target="https://doi.org/10.1016/j.mrrev.2019.02.001" TargetMode="External"/><Relationship Id="rId3" Type="http://schemas.openxmlformats.org/officeDocument/2006/relationships/hyperlink" Target="https://doi.org/10.2903/j.efsa.2025.9381" TargetMode="External"/><Relationship Id="rId21" Type="http://schemas.openxmlformats.org/officeDocument/2006/relationships/hyperlink" Target="https://doi.org/10.1186/s13045-019-0767-9"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17" Type="http://schemas.openxmlformats.org/officeDocument/2006/relationships/hyperlink" Target="https://doi.org/10.1016/j.geoforum.2009.03.009" TargetMode="External"/><Relationship Id="rId25" Type="http://schemas.openxmlformats.org/officeDocument/2006/relationships/hyperlink" Target="http://data.europa.eu/eli/reg/2002/178/oj" TargetMode="External"/><Relationship Id="rId2" Type="http://schemas.openxmlformats.org/officeDocument/2006/relationships/hyperlink" Target="http://data.europa.eu/eli/reg/2011/182/oj" TargetMode="External"/><Relationship Id="rId16" Type="http://schemas.openxmlformats.org/officeDocument/2006/relationships/hyperlink" Target="https://doi.org/10.1002/ps.8105" TargetMode="External"/><Relationship Id="rId20" Type="http://schemas.openxmlformats.org/officeDocument/2006/relationships/hyperlink" Target="https://doi.org/10.1371/journal.pone.0219610"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24" Type="http://schemas.openxmlformats.org/officeDocument/2006/relationships/hyperlink" Target="https://commission.europa.eu/strategy-and-policy/priorities-2019-2024/european-green-deal/agriculture-and-green-deal/strategic-dialogue-future-eu-agriculture_sk" TargetMode="External"/><Relationship Id="rId5" Type="http://schemas.openxmlformats.org/officeDocument/2006/relationships/hyperlink" Target="http://data.europa.eu/eli/C/2025/1798/oj" TargetMode="External"/><Relationship Id="rId15" Type="http://schemas.openxmlformats.org/officeDocument/2006/relationships/hyperlink" Target="https://doi.org/10.1186/2190-4715-24-24" TargetMode="External"/><Relationship Id="rId23" Type="http://schemas.openxmlformats.org/officeDocument/2006/relationships/hyperlink" Target="https://ec.europa.eu/commission/presscorner/detail/sk/ip_22_7834" TargetMode="External"/><Relationship Id="rId10" Type="http://schemas.openxmlformats.org/officeDocument/2006/relationships/hyperlink" Target="http://data.europa.eu/eli/C/2025/1803/oj" TargetMode="External"/><Relationship Id="rId19" Type="http://schemas.openxmlformats.org/officeDocument/2006/relationships/hyperlink" Target="https://doi.org/10.1093/ije/dyz017"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s://doi.org/10.1007/s00267-015-0589-7" TargetMode="External"/><Relationship Id="rId22" Type="http://schemas.openxmlformats.org/officeDocument/2006/relationships/hyperlink" Target="http://data.europa.eu/eli/reg/2009/110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1492</Words>
  <Characters>9240</Characters>
  <Application>Microsoft Office Word</Application>
  <DocSecurity>0</DocSecurity>
  <Lines>188</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SUCHANOVA Monika</cp:lastModifiedBy>
  <cp:revision>2</cp:revision>
  <cp:lastPrinted>2004-11-19T15:42:00Z</cp:lastPrinted>
  <dcterms:created xsi:type="dcterms:W3CDTF">2025-12-16T10:30:00Z</dcterms:created>
  <dcterms:modified xsi:type="dcterms:W3CDTF">2025-12-16T10:30:00Z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B10-0559/2025</vt:lpwstr>
  </property>
  <property fmtid="{D5CDD505-2E9C-101B-9397-08002B2CF9AE}" pid="4" name="&lt;Type&gt;">
    <vt:lpwstr>RR</vt:lpwstr>
  </property>
</Properties>
</file>