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662A" w14:paraId="3B47E658" w14:textId="77777777" w:rsidTr="0010095E">
        <w:trPr>
          <w:trHeight w:hRule="exact" w:val="1418"/>
        </w:trPr>
        <w:tc>
          <w:tcPr>
            <w:tcW w:w="6804" w:type="dxa"/>
            <w:shd w:val="clear" w:color="auto" w:fill="auto"/>
            <w:vAlign w:val="center"/>
          </w:tcPr>
          <w:p w14:paraId="42801B3A" w14:textId="0F11B3DE" w:rsidR="00751A4A" w:rsidRPr="008B662A" w:rsidRDefault="006613D7" w:rsidP="0010095E">
            <w:pPr>
              <w:pStyle w:val="EPName"/>
            </w:pPr>
            <w:r w:rsidRPr="008B662A">
              <w:t>Europaparlamentet</w:t>
            </w:r>
          </w:p>
          <w:p w14:paraId="47A15411" w14:textId="77777777" w:rsidR="00751A4A" w:rsidRPr="008B662A" w:rsidRDefault="005F1B17" w:rsidP="005F1B17">
            <w:pPr>
              <w:pStyle w:val="EPTerm"/>
              <w:rPr>
                <w:rStyle w:val="HideTWBExt"/>
                <w:noProof w:val="0"/>
                <w:vanish w:val="0"/>
                <w:color w:val="auto"/>
              </w:rPr>
            </w:pPr>
            <w:r w:rsidRPr="008B662A">
              <w:t>2024</w:t>
            </w:r>
            <w:r w:rsidR="00817416" w:rsidRPr="008B662A">
              <w:t>-202</w:t>
            </w:r>
            <w:r w:rsidRPr="008B662A">
              <w:t>9</w:t>
            </w:r>
          </w:p>
        </w:tc>
        <w:tc>
          <w:tcPr>
            <w:tcW w:w="2268" w:type="dxa"/>
            <w:shd w:val="clear" w:color="auto" w:fill="auto"/>
          </w:tcPr>
          <w:p w14:paraId="1322DB68" w14:textId="77777777" w:rsidR="00751A4A" w:rsidRPr="008B662A" w:rsidRDefault="00187494" w:rsidP="0010095E">
            <w:pPr>
              <w:pStyle w:val="EPLogo"/>
            </w:pPr>
            <w:r w:rsidRPr="008B662A">
              <w:rPr>
                <w:noProof/>
                <w:lang w:eastAsia="ja-JP"/>
              </w:rPr>
              <w:drawing>
                <wp:inline distT="0" distB="0" distL="0" distR="0" wp14:anchorId="77BB40AF" wp14:editId="65AD72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5C9556" w14:textId="77777777" w:rsidR="00D058B8" w:rsidRPr="008B662A" w:rsidRDefault="00D058B8" w:rsidP="004C5D52">
      <w:pPr>
        <w:pStyle w:val="LineTop"/>
      </w:pPr>
    </w:p>
    <w:p w14:paraId="0AD9D624" w14:textId="2124727B" w:rsidR="00680577" w:rsidRPr="008B662A" w:rsidRDefault="006613D7" w:rsidP="00680577">
      <w:pPr>
        <w:pStyle w:val="EPBodyTA1"/>
      </w:pPr>
      <w:r w:rsidRPr="008B662A">
        <w:t>ANTAGNA TEXTER</w:t>
      </w:r>
    </w:p>
    <w:p w14:paraId="61F8EB02" w14:textId="77777777" w:rsidR="00D058B8" w:rsidRPr="008B662A" w:rsidRDefault="00D058B8" w:rsidP="00D058B8">
      <w:pPr>
        <w:pStyle w:val="LineBottom"/>
      </w:pPr>
    </w:p>
    <w:p w14:paraId="03B5A88A" w14:textId="7CAD3722" w:rsidR="006613D7" w:rsidRPr="008B662A" w:rsidRDefault="006613D7" w:rsidP="006613D7">
      <w:pPr>
        <w:pStyle w:val="ATHeading1"/>
      </w:pPr>
      <w:bookmarkStart w:id="0" w:name="TANumber"/>
      <w:r w:rsidRPr="008B662A">
        <w:t>P10_TA(2025)0</w:t>
      </w:r>
      <w:bookmarkEnd w:id="0"/>
      <w:r w:rsidR="006B6BDE">
        <w:t>328</w:t>
      </w:r>
    </w:p>
    <w:p w14:paraId="17C63296" w14:textId="44E0526B" w:rsidR="006613D7" w:rsidRPr="008B662A" w:rsidRDefault="006613D7" w:rsidP="006613D7">
      <w:pPr>
        <w:pStyle w:val="ATHeading2"/>
      </w:pPr>
      <w:bookmarkStart w:id="1" w:name="title"/>
      <w:r w:rsidRPr="008B662A">
        <w:t>Genetiskt modifierad sockerbeta</w:t>
      </w:r>
      <w:r w:rsidR="00451831" w:rsidRPr="008B662A">
        <w:t xml:space="preserve"> </w:t>
      </w:r>
      <w:r w:rsidRPr="008B662A">
        <w:t>KWS20-1</w:t>
      </w:r>
      <w:bookmarkEnd w:id="1"/>
    </w:p>
    <w:p w14:paraId="34250819" w14:textId="77777777" w:rsidR="006613D7" w:rsidRPr="008B662A" w:rsidRDefault="006613D7" w:rsidP="006613D7">
      <w:pPr>
        <w:rPr>
          <w:i/>
          <w:vanish/>
        </w:rPr>
      </w:pPr>
      <w:r w:rsidRPr="008B662A">
        <w:rPr>
          <w:i/>
        </w:rPr>
        <w:fldChar w:fldCharType="begin"/>
      </w:r>
      <w:r w:rsidRPr="008B662A">
        <w:rPr>
          <w:i/>
        </w:rPr>
        <w:instrText xml:space="preserve"> TC"(</w:instrText>
      </w:r>
      <w:bookmarkStart w:id="2" w:name="DocNumber"/>
      <w:r w:rsidRPr="008B662A">
        <w:rPr>
          <w:i/>
        </w:rPr>
        <w:instrText>B10-0559/2025</w:instrText>
      </w:r>
      <w:bookmarkEnd w:id="2"/>
      <w:r w:rsidRPr="008B662A">
        <w:rPr>
          <w:i/>
        </w:rPr>
        <w:instrText xml:space="preserve">)"\l3 \n&gt; \* MERGEFORMAT </w:instrText>
      </w:r>
      <w:r w:rsidRPr="008B662A">
        <w:rPr>
          <w:i/>
        </w:rPr>
        <w:fldChar w:fldCharType="end"/>
      </w:r>
    </w:p>
    <w:p w14:paraId="4F27E3F2" w14:textId="77777777" w:rsidR="006613D7" w:rsidRPr="008B662A" w:rsidRDefault="006613D7" w:rsidP="006613D7">
      <w:pPr>
        <w:rPr>
          <w:vanish/>
        </w:rPr>
      </w:pPr>
      <w:bookmarkStart w:id="3" w:name="PE"/>
      <w:r w:rsidRPr="008B662A">
        <w:rPr>
          <w:vanish/>
        </w:rPr>
        <w:t>PE779.398</w:t>
      </w:r>
      <w:bookmarkEnd w:id="3"/>
    </w:p>
    <w:p w14:paraId="7FA9DE77" w14:textId="1ED64AA9" w:rsidR="006613D7" w:rsidRPr="008B662A" w:rsidRDefault="006613D7" w:rsidP="006613D7">
      <w:pPr>
        <w:pStyle w:val="ATHeading3"/>
      </w:pPr>
      <w:bookmarkStart w:id="4" w:name="Sujet"/>
      <w:r w:rsidRPr="008B662A">
        <w:t xml:space="preserve">Europaparlamentets resolution av den </w:t>
      </w:r>
      <w:r w:rsidR="00451831" w:rsidRPr="008B662A">
        <w:t>16 december</w:t>
      </w:r>
      <w:r w:rsidRPr="008B662A">
        <w:t xml:space="preserve">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w:t>
      </w:r>
      <w:bookmarkEnd w:id="4"/>
      <w:r w:rsidRPr="008B662A">
        <w:t xml:space="preserve"> </w:t>
      </w:r>
      <w:bookmarkStart w:id="5" w:name="References"/>
      <w:r w:rsidRPr="008B662A">
        <w:t>(D110122/02 – 2025/2959(RSP))</w:t>
      </w:r>
      <w:bookmarkEnd w:id="5"/>
    </w:p>
    <w:p w14:paraId="01D93711" w14:textId="77777777" w:rsidR="00EE0743" w:rsidRPr="008B662A" w:rsidRDefault="00EE0743" w:rsidP="00EE0743">
      <w:pPr>
        <w:pStyle w:val="EPComma"/>
      </w:pPr>
      <w:bookmarkStart w:id="6" w:name="TextBodyBegin"/>
      <w:bookmarkEnd w:id="6"/>
      <w:r w:rsidRPr="008B662A">
        <w:rPr>
          <w:i/>
        </w:rPr>
        <w:t>Europaparlamentet utfärdar denna resolution</w:t>
      </w:r>
    </w:p>
    <w:p w14:paraId="05223795" w14:textId="77777777" w:rsidR="00EE0743" w:rsidRPr="008B662A" w:rsidRDefault="00EE0743" w:rsidP="00EE0743">
      <w:pPr>
        <w:pStyle w:val="NormalHanging12a"/>
      </w:pPr>
      <w:r w:rsidRPr="008B662A">
        <w:t>–</w:t>
      </w:r>
      <w:r w:rsidRPr="008B662A">
        <w:tab/>
        <w:t>med beaktande av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(D110122/02),</w:t>
      </w:r>
    </w:p>
    <w:p w14:paraId="0CBB0FA6" w14:textId="77777777" w:rsidR="00EE0743" w:rsidRPr="008B662A" w:rsidRDefault="00EE0743" w:rsidP="00EE0743">
      <w:pPr>
        <w:pStyle w:val="NormalHanging12a"/>
      </w:pPr>
      <w:r w:rsidRPr="008B662A">
        <w:t>–</w:t>
      </w:r>
      <w:r w:rsidRPr="008B662A">
        <w:tab/>
        <w:t>med beaktande av Europaparlamentets och rådets förordning (EG) nr 1829/2003 av den 22 september 2003 om genetiskt modifierade livsmedel och foder</w:t>
      </w:r>
      <w:r w:rsidRPr="008B662A">
        <w:rPr>
          <w:vertAlign w:val="superscript"/>
        </w:rPr>
        <w:footnoteReference w:id="1"/>
      </w:r>
      <w:r w:rsidRPr="008B662A">
        <w:t>, särskilt artiklarna 7.3 och 19.3,</w:t>
      </w:r>
    </w:p>
    <w:p w14:paraId="7F540678" w14:textId="6A8E027E" w:rsidR="00EE0743" w:rsidRPr="008B662A" w:rsidRDefault="00EE0743" w:rsidP="00EE0743">
      <w:pPr>
        <w:pStyle w:val="NormalHanging12a"/>
      </w:pPr>
      <w:r w:rsidRPr="008B662A">
        <w:t>–</w:t>
      </w:r>
      <w:r w:rsidRPr="008B662A">
        <w:tab/>
        <w:t>med beaktande av omröstningen den 14 oktober 2025 i den ständiga kommitté för växter, djur, livsmedel och foder som avses i artikel 35 i förordning (EG) nr 1829/2003, där inget yttrande avgavs,</w:t>
      </w:r>
      <w:r w:rsidR="00451831" w:rsidRPr="008B662A">
        <w:t xml:space="preserve"> och omröstningen i överklagandekommittén den 28 november 2025, där återigen inget yttrande avgavs</w:t>
      </w:r>
    </w:p>
    <w:p w14:paraId="55891CDC" w14:textId="77777777" w:rsidR="00EE0743" w:rsidRPr="008B662A" w:rsidRDefault="00EE0743" w:rsidP="00EE0743">
      <w:pPr>
        <w:pStyle w:val="NormalHanging12a"/>
        <w:widowControl/>
      </w:pPr>
      <w:r w:rsidRPr="008B662A">
        <w:t>–</w:t>
      </w:r>
      <w:r w:rsidRPr="008B662A">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8B662A">
        <w:rPr>
          <w:rStyle w:val="FootnoteReference"/>
          <w:szCs w:val="24"/>
        </w:rPr>
        <w:footnoteReference w:id="2"/>
      </w:r>
      <w:r w:rsidRPr="008B662A">
        <w:t>,</w:t>
      </w:r>
    </w:p>
    <w:p w14:paraId="08251332" w14:textId="77777777" w:rsidR="00EE0743" w:rsidRPr="008B662A" w:rsidRDefault="00EE0743" w:rsidP="00EE0743">
      <w:pPr>
        <w:pStyle w:val="NormalHanging12a"/>
      </w:pPr>
      <w:r w:rsidRPr="008B662A">
        <w:t>–</w:t>
      </w:r>
      <w:r w:rsidRPr="008B662A">
        <w:tab/>
        <w:t>med beaktande av det yttrande som antogs av Europeiska myndigheten för livsmedelssäkerhet (Efsa) den 26 mars 2025, och som offentliggjordes den 12 maj 2025</w:t>
      </w:r>
      <w:r w:rsidRPr="008B662A">
        <w:rPr>
          <w:rStyle w:val="FootnoteReference"/>
        </w:rPr>
        <w:footnoteReference w:id="3"/>
      </w:r>
      <w:r w:rsidRPr="008B662A">
        <w:t>,</w:t>
      </w:r>
    </w:p>
    <w:p w14:paraId="115E0E87" w14:textId="77777777" w:rsidR="00EE0743" w:rsidRPr="008B662A" w:rsidRDefault="00EE0743" w:rsidP="00EE0743">
      <w:pPr>
        <w:pStyle w:val="NormalHanging12a"/>
      </w:pPr>
      <w:r w:rsidRPr="008B662A">
        <w:lastRenderedPageBreak/>
        <w:t>–</w:t>
      </w:r>
      <w:r w:rsidRPr="008B662A">
        <w:tab/>
        <w:t>med beaktande av sina tidigare resolutioner där parlamentet har invänt mot godkännande av genetiskt modifierade organismer</w:t>
      </w:r>
      <w:r w:rsidRPr="008B662A">
        <w:rPr>
          <w:rStyle w:val="FootnoteReference"/>
        </w:rPr>
        <w:footnoteReference w:id="4"/>
      </w:r>
      <w:r w:rsidRPr="008B662A">
        <w:t>,</w:t>
      </w:r>
    </w:p>
    <w:p w14:paraId="60600EB5" w14:textId="77777777" w:rsidR="00EE0743" w:rsidRPr="008B662A" w:rsidRDefault="00EE0743" w:rsidP="00EE0743">
      <w:pPr>
        <w:pStyle w:val="NormalHanging12a"/>
      </w:pPr>
      <w:r w:rsidRPr="008B662A">
        <w:lastRenderedPageBreak/>
        <w:t>–</w:t>
      </w:r>
      <w:r w:rsidRPr="008B662A">
        <w:tab/>
        <w:t>med beaktande av artiklarna 115.2 och 115.3 i arbetsordningen,</w:t>
      </w:r>
    </w:p>
    <w:p w14:paraId="60212266" w14:textId="77777777" w:rsidR="00EE0743" w:rsidRPr="008B662A" w:rsidRDefault="00EE0743" w:rsidP="00EE0743">
      <w:pPr>
        <w:pStyle w:val="NormalHanging12a"/>
      </w:pPr>
      <w:r w:rsidRPr="008B662A">
        <w:t>–</w:t>
      </w:r>
      <w:r w:rsidRPr="008B662A">
        <w:tab/>
        <w:t>med beaktande av förslaget till resolution från utskottet för miljö, klimat och livsmedelssäkerhet, och av följande skäl:</w:t>
      </w:r>
    </w:p>
    <w:p w14:paraId="72318B6D" w14:textId="77777777" w:rsidR="00EE0743" w:rsidRPr="008B662A" w:rsidRDefault="00EE0743" w:rsidP="00EE0743">
      <w:pPr>
        <w:pStyle w:val="NormalHanging12a"/>
      </w:pPr>
      <w:r w:rsidRPr="008B662A">
        <w:t>A.</w:t>
      </w:r>
      <w:r w:rsidRPr="008B662A">
        <w:tab/>
        <w:t xml:space="preserve">Den 30 maj 2023 lämnade Bayer Agriculture B.V., baserat i Belgien, på uppdrag av Bayer CropScience LP, baserat i Förenta staterna, och KWS SAAT SE &amp; Co. KGaA, baserat i Tyskland, i enlighet med artiklarna 5 och 17 i förordning (EG) nr 1829/2003 </w:t>
      </w:r>
      <w:r w:rsidRPr="008B662A">
        <w:rPr>
          <w:snapToGrid w:val="0"/>
        </w:rPr>
        <w:t>in en ansökan till Nederländernas behöriga myndighet om att få</w:t>
      </w:r>
      <w:r w:rsidRPr="008B662A">
        <w:t xml:space="preserve"> släppa ut livsmedel, livsmedelsingredienser och foder som har framställts av den genetiskt modifierade sockerbetan KWS20-1 på marknaden.</w:t>
      </w:r>
    </w:p>
    <w:p w14:paraId="71BED5C5" w14:textId="77777777" w:rsidR="00EE0743" w:rsidRPr="008B662A" w:rsidRDefault="00EE0743" w:rsidP="00EE0743">
      <w:pPr>
        <w:pStyle w:val="NormalHanging12a"/>
      </w:pPr>
      <w:r w:rsidRPr="008B662A">
        <w:t>B.</w:t>
      </w:r>
      <w:r w:rsidRPr="008B662A">
        <w:tab/>
        <w:t>Efsa avgav ett positivt vetenskapligt yttrande den 12 maj 2025 och drog slutsatsen att den genetiskt modifierade sockerbetan är lika säker som sina konventionella motsvarigheter. Yttrandet tog inte upp ett antal bredare miljömässiga, socioekonomiska och kumulativa effekter som Efsa anser ligger utanför dess ansvarsområde.</w:t>
      </w:r>
    </w:p>
    <w:p w14:paraId="411BEC77" w14:textId="77777777" w:rsidR="00EE0743" w:rsidRPr="008B662A" w:rsidRDefault="00EE0743" w:rsidP="00EE0743">
      <w:pPr>
        <w:pStyle w:val="NormalHanging12a"/>
      </w:pPr>
      <w:r w:rsidRPr="008B662A">
        <w:t>C.</w:t>
      </w:r>
      <w:r w:rsidRPr="008B662A">
        <w:tab/>
        <w:t>Den genetiskt modifierade sockerbetan utvecklades för att ge tolerans mot glyfosatbaserade, dikambabaserade och glufosinatammoniumbaserade herbicider.</w:t>
      </w:r>
    </w:p>
    <w:p w14:paraId="674B5B7B" w14:textId="77777777" w:rsidR="00EE0743" w:rsidRPr="008B662A" w:rsidRDefault="00EE0743" w:rsidP="00EE0743">
      <w:pPr>
        <w:pStyle w:val="NormalHanging12a"/>
      </w:pPr>
      <w:r w:rsidRPr="008B662A">
        <w:t>D.</w:t>
      </w:r>
      <w:r w:rsidRPr="008B662A">
        <w:tab/>
        <w:t xml:space="preserve">Efsas riskbedömning omfattade inte långsiktiga toxikologiska studier eller detaljerade analyser av kumulativa och kombinerade effekter, inbegripet potentiell interaktion med bekämpningsmedelsrester som vanligen används vid sockerbetsodling. </w:t>
      </w:r>
    </w:p>
    <w:p w14:paraId="51017E1C" w14:textId="77777777" w:rsidR="00EE0743" w:rsidRPr="008B662A" w:rsidRDefault="00EE0743" w:rsidP="00EE0743">
      <w:pPr>
        <w:pStyle w:val="NormalHanging12a"/>
        <w:rPr>
          <w:color w:val="000000" w:themeColor="text1"/>
          <w:szCs w:val="24"/>
        </w:rPr>
      </w:pPr>
      <w:r w:rsidRPr="008B662A">
        <w:rPr>
          <w:color w:val="000000" w:themeColor="text1"/>
        </w:rPr>
        <w:t>E.</w:t>
      </w:r>
      <w:r w:rsidRPr="008B662A">
        <w:rPr>
          <w:color w:val="000000" w:themeColor="text1"/>
        </w:rPr>
        <w:tab/>
      </w:r>
      <w:r w:rsidRPr="008B662A">
        <w:t xml:space="preserve">De allra flesta genetiskt modifierade grödor, inbegripet den genetiskt modifierade sockerbetan, har modifierats genetiskt så att de är toleranta mot en eller flera ”kompletterande” herbicider som kan användas under hela odlingen av den genetiskt modifierade grödan utan att grödan dör, vilket skulle vara fallet med icke-herbicidtoleranta grödor. </w:t>
      </w:r>
      <w:r w:rsidRPr="008B662A">
        <w:rPr>
          <w:color w:val="000000" w:themeColor="text1"/>
        </w:rPr>
        <w:t>Flera studier visar att herbicidtoleranta genetiskt modifierade grödor leder till en ökad användning av kompletterande herbicider, till stor del på grund av att det uppstår herbicidtolerant ogräs</w:t>
      </w:r>
      <w:r w:rsidRPr="008B662A">
        <w:rPr>
          <w:rStyle w:val="FootnoteReference"/>
          <w:color w:val="000000" w:themeColor="text1"/>
          <w:szCs w:val="24"/>
        </w:rPr>
        <w:footnoteReference w:id="5"/>
      </w:r>
      <w:r w:rsidRPr="008B662A">
        <w:rPr>
          <w:color w:val="000000" w:themeColor="text1"/>
        </w:rPr>
        <w:t>.</w:t>
      </w:r>
    </w:p>
    <w:p w14:paraId="414FDEC0" w14:textId="77777777" w:rsidR="00EE0743" w:rsidRPr="008B662A" w:rsidRDefault="00EE0743" w:rsidP="00EE0743">
      <w:pPr>
        <w:spacing w:after="240"/>
        <w:ind w:left="567" w:hanging="567"/>
        <w:rPr>
          <w:szCs w:val="24"/>
        </w:rPr>
      </w:pPr>
      <w:r w:rsidRPr="008B662A">
        <w:t>F.</w:t>
      </w:r>
      <w:r w:rsidRPr="008B662A">
        <w:tab/>
      </w:r>
      <w:r w:rsidRPr="008B662A">
        <w:rPr>
          <w:color w:val="000000" w:themeColor="text1"/>
        </w:rPr>
        <w:t xml:space="preserve">Herbicidtoleranta genetiskt modifierade grödor gör att jordbrukare fastnar i ett ogräsbekämpningssystem som till stor del eller helt och hållet är beroende av herbicider. Detta beror på att det tas ut en avgift för genetiskt modifierat utsäde som kan motiveras endast om de jordbrukare som köper sådant utsäde också besprutar med de kompletterande herbiciderna. Ett ökat beroende av de kompletterande herbiciderna på gårdar som odlar genetiskt modifierade sockerbetor kommer att påskynda uppkomsten och spridningen av ogräs som är resistenta mot dessa herbicider, vilket utlöser ett behov </w:t>
      </w:r>
      <w:r w:rsidRPr="008B662A">
        <w:rPr>
          <w:color w:val="000000" w:themeColor="text1"/>
        </w:rPr>
        <w:lastRenderedPageBreak/>
        <w:t>av ännu mer herbicider, en ond cirkel som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sidRPr="008B662A">
        <w:rPr>
          <w:rStyle w:val="FootnoteReference"/>
          <w:color w:val="000000" w:themeColor="text1"/>
          <w:szCs w:val="24"/>
        </w:rPr>
        <w:footnoteReference w:id="6"/>
      </w:r>
      <w:r w:rsidRPr="008B662A">
        <w:rPr>
          <w:color w:val="000000" w:themeColor="text1"/>
        </w:rPr>
        <w:t>.</w:t>
      </w:r>
    </w:p>
    <w:p w14:paraId="302138C7" w14:textId="77777777" w:rsidR="00EE0743" w:rsidRPr="008B662A" w:rsidRDefault="00EE0743" w:rsidP="00EE0743">
      <w:pPr>
        <w:pStyle w:val="NormalHanging12a"/>
      </w:pPr>
      <w:r w:rsidRPr="008B662A">
        <w:t>G.</w:t>
      </w:r>
      <w:r w:rsidRPr="008B662A">
        <w:tab/>
        <w:t>Stora frågetecken kvarstår kring huruvida glyfosat är cancerframkallande. Efsa kom i november 2015 fram till att glyfosat sannolikt inte är cancerframkallande, och Europeiska kemikaliemyndigheten kom i mars 2017 fram till att det inte var motiverat med någon klassificering. Däremot klassificerade Internationella centret för cancerforskning, Världshälsoorganisationens särskilda cancerorgan, 2015 glyfosat som troligtvis cancerframkallande för människor. Ett antal nyligen genomförda expertgranskade vetenskapliga studier bekräftar den cancerframkallande potentialen hos glyfosat</w:t>
      </w:r>
      <w:r w:rsidRPr="008B662A">
        <w:rPr>
          <w:rStyle w:val="FootnoteReference"/>
        </w:rPr>
        <w:footnoteReference w:id="7"/>
      </w:r>
      <w:r w:rsidRPr="008B662A">
        <w:t>.</w:t>
      </w:r>
    </w:p>
    <w:p w14:paraId="058BF9A5" w14:textId="77777777" w:rsidR="00EE0743" w:rsidRPr="008B662A" w:rsidRDefault="00EE0743" w:rsidP="00EE0743">
      <w:pPr>
        <w:pStyle w:val="NormalHanging12a"/>
        <w:rPr>
          <w:szCs w:val="24"/>
        </w:rPr>
      </w:pPr>
      <w:r w:rsidRPr="008B662A">
        <w:t>H.</w:t>
      </w:r>
      <w:r w:rsidRPr="008B662A">
        <w:tab/>
        <w:t xml:space="preserve">Dikamba är mycket flyktigt, vilket innebär att när det väl har applicerats riskerar det att förångas, släppas ut i luften och sedan föras vidare med vinden tills det faller ned på marken, vilket exponerar människor, djur och växter som inte är målarter, klätterväxter, träd och buskar för potentiell och allvarlig skada, särskilt när exponeringen sker under flera år. </w:t>
      </w:r>
      <w:r w:rsidRPr="008B662A">
        <w:rPr>
          <w:shd w:val="clear" w:color="auto" w:fill="FFFFFF"/>
        </w:rPr>
        <w:t xml:space="preserve">Dikamba som förs vidare och orsakar skador på närliggande grödor, träd och klätterväxter har blivit en fråga som mer och mer splittrar och som gör att en grupp jordbrukare ställs mot andra jordbrukare och grannar på landsbygden och leder till omfattande tvister om förlust av grödor och återplanteringskostnader. </w:t>
      </w:r>
    </w:p>
    <w:p w14:paraId="65F4F021" w14:textId="515AC060" w:rsidR="00EE0743" w:rsidRPr="008B662A" w:rsidRDefault="00EE0743" w:rsidP="00EE0743">
      <w:pPr>
        <w:pStyle w:val="NormalWeb"/>
        <w:widowControl w:val="0"/>
        <w:spacing w:before="0" w:beforeAutospacing="0" w:after="240" w:afterAutospacing="0"/>
        <w:ind w:left="567" w:hanging="567"/>
      </w:pPr>
      <w:r w:rsidRPr="008B662A">
        <w:t>I.</w:t>
      </w:r>
      <w:r w:rsidRPr="008B662A">
        <w:tab/>
        <w:t>Glufosinat klassificeras som ett reproduktionstoxiskt ämne i kategori 1B och omfattas därför av ute</w:t>
      </w:r>
      <w:r w:rsidR="00451831" w:rsidRPr="008B662A">
        <w:t>sl</w:t>
      </w:r>
      <w:r w:rsidRPr="008B662A">
        <w:t>utningskriterierna i Europaparlamentets och rådets förordning (EG) nr 1107/2009</w:t>
      </w:r>
      <w:r w:rsidRPr="008B662A">
        <w:rPr>
          <w:rStyle w:val="FootnoteReference"/>
        </w:rPr>
        <w:footnoteReference w:id="8"/>
      </w:r>
      <w:r w:rsidRPr="008B662A">
        <w:t>. Godkännandet av glufosinat för användning i unionen löpte ut den 31 juli 2018.</w:t>
      </w:r>
    </w:p>
    <w:p w14:paraId="00ACFCE1" w14:textId="77777777" w:rsidR="00EE0743" w:rsidRPr="008B662A" w:rsidRDefault="00EE0743" w:rsidP="00EE0743">
      <w:pPr>
        <w:spacing w:after="240"/>
        <w:ind w:left="567" w:hanging="567"/>
      </w:pPr>
      <w:r w:rsidRPr="008B662A">
        <w:t>J.</w:t>
      </w:r>
      <w:r w:rsidRPr="008B662A">
        <w:tab/>
        <w:t>Fältförsök till stöd för ansökan genomfördes under begränsade geografiska och klimatmässiga förhållanden, enbart i Förenta staterna, som inte representerar hela mångfalden av sockerbetesodlande regioner, inbegripet de regioner som påverkas starkt av klimatförändringsrelaterade stressfaktorer.</w:t>
      </w:r>
    </w:p>
    <w:p w14:paraId="076E03E1" w14:textId="77777777" w:rsidR="00EE0743" w:rsidRPr="008B662A" w:rsidRDefault="00EE0743" w:rsidP="00EE0743">
      <w:pPr>
        <w:pStyle w:val="NormalHanging12a"/>
      </w:pPr>
      <w:r w:rsidRPr="008B662A">
        <w:t xml:space="preserve">K. </w:t>
      </w:r>
      <w:r w:rsidRPr="008B662A">
        <w:tab/>
        <w:t>Oberoende övervakning och kontroll av potentiella negativa effekter på den biologiska mångfalden, markhälsan, pollinerare och icke-målorganismer är fortfarande inte tillräckligt garanterad.</w:t>
      </w:r>
    </w:p>
    <w:p w14:paraId="229794CD" w14:textId="77777777" w:rsidR="00EE0743" w:rsidRPr="008B662A" w:rsidRDefault="00EE0743" w:rsidP="00EE0743">
      <w:pPr>
        <w:spacing w:after="240"/>
        <w:ind w:left="567" w:hanging="567"/>
      </w:pPr>
      <w:r w:rsidRPr="008B662A">
        <w:t>L.</w:t>
      </w:r>
      <w:r w:rsidRPr="008B662A">
        <w:tab/>
        <w:t xml:space="preserve">Försiktighetsprincipen, som stadfästs i artikel 191 i fördraget om Europeiska unionens </w:t>
      </w:r>
      <w:r w:rsidRPr="008B662A">
        <w:lastRenderedPageBreak/>
        <w:t>funktionssätt, bör tillämpas när det råder vetenskaplig osäkerhet.</w:t>
      </w:r>
    </w:p>
    <w:p w14:paraId="2C343515" w14:textId="77777777" w:rsidR="00EE0743" w:rsidRPr="008B662A" w:rsidRDefault="00EE0743" w:rsidP="00EE0743">
      <w:pPr>
        <w:spacing w:after="240"/>
        <w:ind w:left="567" w:hanging="567"/>
      </w:pPr>
      <w:r w:rsidRPr="008B662A">
        <w:t>M.</w:t>
      </w:r>
      <w:r w:rsidRPr="008B662A">
        <w:tab/>
        <w:t>Enligt förordning (EG) nr 1829/2003 får genetiskt modifierade livsmedel och foder inte ha negativa effekter på människors eller djurs hälsa eller för miljön.</w:t>
      </w:r>
    </w:p>
    <w:p w14:paraId="69E53617" w14:textId="77777777" w:rsidR="00EE0743" w:rsidRPr="008B662A" w:rsidRDefault="00EE0743" w:rsidP="00EE0743">
      <w:pPr>
        <w:pStyle w:val="NormalWeb"/>
        <w:widowControl w:val="0"/>
        <w:spacing w:before="0" w:beforeAutospacing="0" w:after="240" w:afterAutospacing="0"/>
        <w:ind w:left="567" w:hanging="567"/>
      </w:pPr>
      <w:r w:rsidRPr="008B662A">
        <w:t>N.</w:t>
      </w:r>
      <w:r w:rsidRPr="008B662A">
        <w:tab/>
        <w:t>Unionens godkännande av den genetiskt modifierade sockerbetan skulle inte vara förenligt med internationella åtaganden om minskning av bekämpningsmedel</w:t>
      </w:r>
      <w:r w:rsidRPr="008B662A">
        <w:rPr>
          <w:vertAlign w:val="superscript"/>
        </w:rPr>
        <w:footnoteReference w:id="9"/>
      </w:r>
      <w:r w:rsidRPr="008B662A">
        <w:t>, med tanke på människors, djurs och miljöns ökade exponering för glyfosat, dikamba och glufosinat i länder som odlar denna herbicidtoleranta genetiskt modifierade gröda, tillsammans med de potentiellt allvarliga hälsoeffekterna.</w:t>
      </w:r>
    </w:p>
    <w:p w14:paraId="1958EF2E" w14:textId="77777777" w:rsidR="00EE0743" w:rsidRPr="008B662A" w:rsidRDefault="00EE0743" w:rsidP="00EE0743">
      <w:pPr>
        <w:spacing w:after="240"/>
        <w:ind w:left="567" w:hanging="567"/>
      </w:pPr>
      <w:r w:rsidRPr="008B662A">
        <w:t>O.</w:t>
      </w:r>
      <w:r w:rsidRPr="008B662A">
        <w:tab/>
        <w:t>Kommissionens genomförandebeslut skulle möjliggöra import till unionen som inte uppfyller de normer som unionens jordbrukare iakttar, vilket skulle medföra en konkurrensnackdel för dem.</w:t>
      </w:r>
    </w:p>
    <w:p w14:paraId="03DC7934" w14:textId="77777777" w:rsidR="00EE0743" w:rsidRPr="008B662A" w:rsidRDefault="00EE0743" w:rsidP="00EE0743">
      <w:pPr>
        <w:spacing w:after="240"/>
        <w:ind w:left="567" w:hanging="567"/>
      </w:pPr>
      <w:r w:rsidRPr="008B662A">
        <w:t>P.</w:t>
      </w:r>
      <w:r w:rsidRPr="008B662A">
        <w:tab/>
        <w:t>I slutsatserna från den strategiska dialogen om framtiden för EU:s jordbruk</w:t>
      </w:r>
      <w:r w:rsidRPr="008B662A">
        <w:rPr>
          <w:rStyle w:val="FootnoteReference"/>
        </w:rPr>
        <w:footnoteReference w:id="10"/>
      </w:r>
      <w:r w:rsidRPr="008B662A">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och 2024.</w:t>
      </w:r>
    </w:p>
    <w:p w14:paraId="3C2269ED" w14:textId="77777777" w:rsidR="00EE0743" w:rsidRPr="008B662A" w:rsidRDefault="00EE0743" w:rsidP="00EE0743">
      <w:pPr>
        <w:spacing w:after="240"/>
        <w:ind w:left="567" w:hanging="567"/>
      </w:pPr>
      <w:r w:rsidRPr="008B662A">
        <w:t>Q.</w:t>
      </w:r>
      <w:r w:rsidRPr="008B662A">
        <w:tab/>
        <w:t>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0F467F1E" w14:textId="77777777" w:rsidR="00EE0743" w:rsidRPr="008B662A" w:rsidRDefault="00EE0743" w:rsidP="00EE0743">
      <w:pPr>
        <w:pStyle w:val="NormalWeb"/>
        <w:widowControl w:val="0"/>
        <w:shd w:val="clear" w:color="auto" w:fill="FFFFFF"/>
        <w:spacing w:before="0" w:beforeAutospacing="0" w:after="240" w:afterAutospacing="0"/>
        <w:ind w:left="567" w:hanging="567"/>
        <w:rPr>
          <w:color w:val="000000" w:themeColor="text1"/>
        </w:rPr>
      </w:pPr>
      <w:r w:rsidRPr="008B662A">
        <w:rPr>
          <w:color w:val="000000" w:themeColor="text1"/>
        </w:rPr>
        <w:t>R.</w:t>
      </w:r>
      <w:r w:rsidRPr="008B662A">
        <w:rPr>
          <w:color w:val="000000" w:themeColor="text1"/>
        </w:rPr>
        <w:tab/>
        <w:t>Trots att kommissionen själv erkänner de demokratiska bristerna, och trots det bristande stödet från medlemsstaterna och parlamentets invändningar, fortsätter kommissionen att godkänna genetiskt modifierade organismer.</w:t>
      </w:r>
    </w:p>
    <w:p w14:paraId="1E876975" w14:textId="77777777" w:rsidR="00EE0743" w:rsidRPr="008B662A" w:rsidRDefault="00EE0743" w:rsidP="00EE0743">
      <w:pPr>
        <w:spacing w:after="240"/>
        <w:ind w:left="567" w:hanging="567"/>
      </w:pPr>
      <w:r w:rsidRPr="008B662A">
        <w:t>S.</w:t>
      </w:r>
      <w:r w:rsidRPr="008B662A">
        <w:tab/>
        <w:t>One Health-modellen förutsätter att man tar hänsyn till det ömsesidiga beroendet mellan människors, djurs, växters och miljöns hälsa vid bedömningen av genetiskt modifierade organismers långsiktiga hållbarhet och säkerhet.</w:t>
      </w:r>
    </w:p>
    <w:p w14:paraId="4BE572E3" w14:textId="77777777" w:rsidR="00EE0743" w:rsidRPr="008B662A" w:rsidRDefault="00EE0743" w:rsidP="00EE0743">
      <w:pPr>
        <w:spacing w:after="240"/>
        <w:ind w:left="567" w:hanging="567"/>
      </w:pPr>
      <w:r w:rsidRPr="008B662A">
        <w:t>1.</w:t>
      </w:r>
      <w:r w:rsidRPr="008B662A">
        <w:tab/>
        <w:t>Europaparlamentet anser att utkastet till kommissionens genomförandebeslut överskrider de genomförandebefogenheter som fastställs i förordning (EG) nr 1829/2003.</w:t>
      </w:r>
    </w:p>
    <w:p w14:paraId="3C754FF2" w14:textId="77777777" w:rsidR="00EE0743" w:rsidRPr="008B662A" w:rsidRDefault="00EE0743" w:rsidP="00EE0743">
      <w:pPr>
        <w:spacing w:after="240"/>
        <w:ind w:left="567" w:hanging="567"/>
      </w:pPr>
      <w:r w:rsidRPr="008B662A">
        <w:t>2.</w:t>
      </w:r>
      <w:r w:rsidRPr="008B662A">
        <w:tab/>
        <w:t xml:space="preserve">Europaparlamentet anser att utkastet till kommissionens genomförandebeslut inte överensstämmer med unionsrätten, eftersom det är oförenligt med syftet med förordning (EG) nr 1829/2003, nämligen att, i enlighet med de allmänna principerna </w:t>
      </w:r>
      <w:r w:rsidRPr="008B662A">
        <w:lastRenderedPageBreak/>
        <w:t>i Europaparlamentets och rådets förordning (EG) nr 178/2002</w:t>
      </w:r>
      <w:r w:rsidRPr="008B662A">
        <w:rPr>
          <w:vertAlign w:val="superscript"/>
        </w:rPr>
        <w:footnoteReference w:id="11"/>
      </w:r>
      <w:r w:rsidRPr="008B662A">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7B88DCD0" w14:textId="77777777" w:rsidR="00EE0743" w:rsidRPr="008B662A" w:rsidRDefault="00EE0743" w:rsidP="00EE0743">
      <w:pPr>
        <w:spacing w:after="240"/>
        <w:ind w:left="567" w:hanging="567"/>
      </w:pPr>
      <w:r w:rsidRPr="008B662A">
        <w:t>3.</w:t>
      </w:r>
      <w:r w:rsidRPr="008B662A">
        <w:tab/>
        <w:t>Europaparlamentet uppmanar kommissionen att dra tillbaka sitt genomförandebeslut.</w:t>
      </w:r>
    </w:p>
    <w:p w14:paraId="4C8C18F7" w14:textId="77777777" w:rsidR="00EE0743" w:rsidRPr="008B662A" w:rsidRDefault="00EE0743" w:rsidP="00EE0743">
      <w:pPr>
        <w:spacing w:after="240"/>
        <w:ind w:left="567" w:hanging="567"/>
      </w:pPr>
      <w:r w:rsidRPr="008B662A">
        <w:t>4.</w:t>
      </w:r>
      <w:r w:rsidRPr="008B662A">
        <w:tab/>
        <w:t>Europaparlamentet uppmanar kommissionen att inte godkänna den genetiskt modifierade sockerbetan på grund av bristen på tillräckliga belägg för långsiktiga effekter på den biologiska mångfalden, livsmedelssäkerheten, jordbrukarnas försörjningsmöjligheter och djurhälsan i enlighet med One health-modellen.</w:t>
      </w:r>
    </w:p>
    <w:p w14:paraId="35A689E2" w14:textId="77777777" w:rsidR="00EE0743" w:rsidRPr="008B662A" w:rsidRDefault="00EE0743" w:rsidP="00EE0743">
      <w:pPr>
        <w:spacing w:after="240"/>
        <w:ind w:left="567" w:hanging="567"/>
      </w:pPr>
      <w:r w:rsidRPr="008B662A">
        <w:t>5.</w:t>
      </w:r>
      <w:r w:rsidRPr="008B662A">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p>
    <w:p w14:paraId="510467E3" w14:textId="77777777" w:rsidR="00EE0743" w:rsidRPr="008B662A" w:rsidRDefault="00EE0743" w:rsidP="00EE0743">
      <w:pPr>
        <w:spacing w:after="240"/>
        <w:ind w:left="567" w:hanging="567"/>
      </w:pPr>
      <w:r w:rsidRPr="008B662A">
        <w:t>6.</w:t>
      </w:r>
      <w:r w:rsidRPr="008B662A">
        <w:tab/>
        <w:t>Europaparlamentet betonar i detta avseende att godkännande av import för användning som livsmedel eller foder av genetiskt modifierade växter som har gjorts toleranta mot herbicider som är förbjudna i unionen, såsom glufosinat, är oförenligt med unionens internationella åtaganden enligt bland annat FN:s konvention om biologisk mångfald och FN:s mål för hållbar utveckling, inbegripet Kunming-Montreal-ramen, och att det gör att EU:s jordbrukare inte har likvärdiga förutsättningar.</w:t>
      </w:r>
    </w:p>
    <w:p w14:paraId="31123F90" w14:textId="7CD092C2" w:rsidR="00451B5B" w:rsidRPr="008B662A" w:rsidRDefault="00EE0743" w:rsidP="00451B5B">
      <w:pPr>
        <w:spacing w:after="240"/>
        <w:ind w:left="567" w:hanging="567"/>
      </w:pPr>
      <w:r w:rsidRPr="008B662A">
        <w:t>7.</w:t>
      </w:r>
      <w:r w:rsidRPr="008B662A">
        <w:tab/>
        <w:t>Europaparlamentet uppdrar åt talmannen att översända denna resolution till rådet och kommissionen samt till medlemsstaternas regeringar och parlament.</w:t>
      </w:r>
    </w:p>
    <w:p w14:paraId="2FA6F70F" w14:textId="7CD4DB73" w:rsidR="00E365E1" w:rsidRPr="008B662A" w:rsidRDefault="00E365E1" w:rsidP="006613D7"/>
    <w:sectPr w:rsidR="00E365E1" w:rsidRPr="008B662A" w:rsidSect="00451B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F4CC5" w14:textId="77777777" w:rsidR="006613D7" w:rsidRPr="00451B5B" w:rsidRDefault="006613D7">
      <w:r w:rsidRPr="00451B5B">
        <w:separator/>
      </w:r>
    </w:p>
  </w:endnote>
  <w:endnote w:type="continuationSeparator" w:id="0">
    <w:p w14:paraId="60B2CD66" w14:textId="77777777" w:rsidR="006613D7" w:rsidRPr="00451B5B" w:rsidRDefault="006613D7">
      <w:r w:rsidRPr="00451B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2DA2" w14:textId="77777777" w:rsidR="00064002" w:rsidRPr="00451B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29A1" w14:textId="77777777" w:rsidR="00064002" w:rsidRPr="00451B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06BF" w14:textId="77777777" w:rsidR="00064002" w:rsidRPr="00451B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57A62" w14:textId="77777777" w:rsidR="006613D7" w:rsidRPr="00451B5B" w:rsidRDefault="006613D7">
      <w:r w:rsidRPr="00451B5B">
        <w:separator/>
      </w:r>
    </w:p>
  </w:footnote>
  <w:footnote w:type="continuationSeparator" w:id="0">
    <w:p w14:paraId="089D2429" w14:textId="77777777" w:rsidR="006613D7" w:rsidRPr="00451B5B" w:rsidRDefault="006613D7">
      <w:r w:rsidRPr="00451B5B">
        <w:continuationSeparator/>
      </w:r>
    </w:p>
  </w:footnote>
  <w:footnote w:id="1">
    <w:p w14:paraId="14BEEB55" w14:textId="5E1D142F" w:rsidR="00EE0743" w:rsidRPr="008B662A" w:rsidRDefault="00EE0743" w:rsidP="00451B5B">
      <w:pPr>
        <w:pStyle w:val="FootnoteText"/>
        <w:suppressAutoHyphens/>
        <w:ind w:left="567" w:hanging="567"/>
        <w:rPr>
          <w:sz w:val="24"/>
          <w:lang w:val="fr-BE"/>
        </w:rPr>
      </w:pPr>
      <w:r w:rsidRPr="00451B5B">
        <w:rPr>
          <w:rStyle w:val="FootnoteReference"/>
          <w:sz w:val="24"/>
          <w:lang w:val="sv-SE"/>
        </w:rPr>
        <w:footnoteRef/>
      </w:r>
      <w:r w:rsidR="00451B5B" w:rsidRPr="008B662A">
        <w:rPr>
          <w:sz w:val="24"/>
          <w:lang w:val="fr-BE"/>
        </w:rPr>
        <w:t xml:space="preserve"> </w:t>
      </w:r>
      <w:r w:rsidR="00451B5B" w:rsidRPr="008B662A">
        <w:rPr>
          <w:sz w:val="24"/>
          <w:lang w:val="fr-BE"/>
        </w:rPr>
        <w:tab/>
      </w:r>
      <w:r w:rsidRPr="008B662A">
        <w:rPr>
          <w:sz w:val="24"/>
          <w:lang w:val="fr-BE"/>
        </w:rPr>
        <w:t xml:space="preserve">EUT L 268, 18.10.2003, s. 1, </w:t>
      </w:r>
      <w:proofErr w:type="gramStart"/>
      <w:r w:rsidRPr="008B662A">
        <w:rPr>
          <w:sz w:val="24"/>
          <w:lang w:val="fr-BE"/>
        </w:rPr>
        <w:t>ELI:</w:t>
      </w:r>
      <w:proofErr w:type="gramEnd"/>
      <w:r w:rsidRPr="008B662A">
        <w:rPr>
          <w:sz w:val="24"/>
          <w:lang w:val="fr-BE"/>
        </w:rPr>
        <w:t> </w:t>
      </w:r>
      <w:hyperlink r:id="rId1" w:tooltip="Ger åtkomst till dokumentet via dess ELI-adress." w:history="1">
        <w:r w:rsidRPr="008B662A">
          <w:rPr>
            <w:rStyle w:val="Hyperlink"/>
            <w:sz w:val="24"/>
            <w:lang w:val="fr-BE"/>
          </w:rPr>
          <w:t>http://data.europa.eu/eli/reg/2003/1829/oj</w:t>
        </w:r>
      </w:hyperlink>
      <w:r w:rsidRPr="008B662A">
        <w:rPr>
          <w:rStyle w:val="Hyperlink"/>
          <w:sz w:val="24"/>
          <w:lang w:val="fr-BE"/>
        </w:rPr>
        <w:t>.</w:t>
      </w:r>
    </w:p>
  </w:footnote>
  <w:footnote w:id="2">
    <w:p w14:paraId="7B56DFC3" w14:textId="5E17F333" w:rsidR="00EE0743" w:rsidRPr="008B662A" w:rsidRDefault="00EE0743" w:rsidP="00451B5B">
      <w:pPr>
        <w:pStyle w:val="FootnoteText"/>
        <w:ind w:left="567" w:hanging="567"/>
        <w:rPr>
          <w:sz w:val="24"/>
          <w:lang w:val="fi-FI"/>
        </w:rPr>
      </w:pPr>
      <w:r w:rsidRPr="00451B5B">
        <w:rPr>
          <w:rStyle w:val="FootnoteReference"/>
          <w:sz w:val="24"/>
          <w:lang w:val="sv-SE"/>
        </w:rPr>
        <w:footnoteRef/>
      </w:r>
      <w:r w:rsidR="00451B5B" w:rsidRPr="008B662A">
        <w:rPr>
          <w:sz w:val="24"/>
          <w:lang w:val="fi-FI"/>
        </w:rPr>
        <w:t xml:space="preserve"> </w:t>
      </w:r>
      <w:r w:rsidR="00451B5B" w:rsidRPr="008B662A">
        <w:rPr>
          <w:sz w:val="24"/>
          <w:lang w:val="fi-FI"/>
        </w:rPr>
        <w:tab/>
      </w:r>
      <w:r w:rsidRPr="008B662A">
        <w:rPr>
          <w:sz w:val="24"/>
          <w:lang w:val="fi-FI"/>
        </w:rPr>
        <w:t xml:space="preserve">EUT L 55, 28.2.2011, s. 13, ELI: </w:t>
      </w:r>
      <w:hyperlink r:id="rId2" w:history="1">
        <w:r w:rsidRPr="008B662A">
          <w:rPr>
            <w:rStyle w:val="Hyperlink"/>
            <w:sz w:val="24"/>
            <w:lang w:val="fi-FI"/>
          </w:rPr>
          <w:t>http://data.europa.eu/eli/reg/2011/182/oj</w:t>
        </w:r>
      </w:hyperlink>
      <w:r w:rsidRPr="008B662A">
        <w:rPr>
          <w:sz w:val="24"/>
          <w:lang w:val="fi-FI"/>
        </w:rPr>
        <w:t>.</w:t>
      </w:r>
    </w:p>
  </w:footnote>
  <w:footnote w:id="3">
    <w:p w14:paraId="4ED32B68" w14:textId="46819B9E" w:rsidR="00EE0743" w:rsidRPr="00451B5B" w:rsidRDefault="00EE0743" w:rsidP="00451B5B">
      <w:pPr>
        <w:pStyle w:val="FootnoteText"/>
        <w:suppressAutoHyphens/>
        <w:ind w:left="567" w:hanging="567"/>
        <w:rPr>
          <w:sz w:val="24"/>
          <w:lang w:val="sv-SE"/>
        </w:rPr>
      </w:pPr>
      <w:r w:rsidRPr="00451B5B">
        <w:rPr>
          <w:rStyle w:val="FootnoteReference"/>
          <w:sz w:val="24"/>
          <w:lang w:val="sv-SE"/>
        </w:rPr>
        <w:footnoteRef/>
      </w:r>
      <w:r w:rsidR="00451B5B" w:rsidRPr="00451B5B">
        <w:rPr>
          <w:sz w:val="24"/>
          <w:lang w:val="sv-SE"/>
        </w:rPr>
        <w:t xml:space="preserve"> </w:t>
      </w:r>
      <w:r w:rsidR="00451B5B" w:rsidRPr="00451B5B">
        <w:rPr>
          <w:sz w:val="24"/>
          <w:lang w:val="sv-SE"/>
        </w:rPr>
        <w:tab/>
      </w:r>
      <w:r w:rsidRPr="00451B5B">
        <w:rPr>
          <w:sz w:val="24"/>
          <w:lang w:val="sv-SE"/>
        </w:rPr>
        <w:t>Vetenskapligt yttrande från Efsas panel för genetiskt modifierade organismer över bedömningen av den genetiskt modifierade sockerbetan KWS20-1 (ansökan GMFF-2023-14732), EFSA Journal, vol. 23(2025):5, artikelnr 9381;</w:t>
      </w:r>
      <w:hyperlink r:id="rId3" w:history="1">
        <w:r w:rsidRPr="00451B5B">
          <w:rPr>
            <w:rStyle w:val="Hyperlink"/>
            <w:sz w:val="24"/>
            <w:lang w:val="sv-SE"/>
          </w:rPr>
          <w:t>https://doi.org/10.2903/j.efsa.2025.9381</w:t>
        </w:r>
      </w:hyperlink>
      <w:r w:rsidRPr="00451B5B">
        <w:rPr>
          <w:sz w:val="24"/>
          <w:lang w:val="sv-SE"/>
        </w:rPr>
        <w:t>.</w:t>
      </w:r>
    </w:p>
  </w:footnote>
  <w:footnote w:id="4">
    <w:p w14:paraId="16352075" w14:textId="1BC8087A" w:rsidR="00EE0743" w:rsidRPr="00451B5B" w:rsidRDefault="00EE0743" w:rsidP="00451B5B">
      <w:pPr>
        <w:pStyle w:val="FootnoteText"/>
        <w:suppressAutoHyphens/>
        <w:ind w:left="567" w:hanging="567"/>
        <w:rPr>
          <w:color w:val="000000" w:themeColor="text1"/>
          <w:sz w:val="24"/>
          <w:vertAlign w:val="superscript"/>
          <w:lang w:val="sv-SE"/>
        </w:rPr>
      </w:pPr>
      <w:r w:rsidRPr="00451B5B">
        <w:rPr>
          <w:rStyle w:val="FootnoteReference"/>
          <w:sz w:val="24"/>
          <w:lang w:val="sv-SE"/>
        </w:rPr>
        <w:footnoteRef/>
      </w:r>
      <w:r w:rsidR="00451B5B" w:rsidRPr="00451B5B">
        <w:rPr>
          <w:color w:val="000000" w:themeColor="text1"/>
          <w:sz w:val="24"/>
          <w:lang w:val="sv-SE"/>
        </w:rPr>
        <w:t xml:space="preserve"> </w:t>
      </w:r>
      <w:r w:rsidR="00451B5B" w:rsidRPr="00451B5B">
        <w:rPr>
          <w:color w:val="000000" w:themeColor="text1"/>
          <w:sz w:val="24"/>
          <w:lang w:val="sv-SE"/>
        </w:rPr>
        <w:tab/>
      </w:r>
      <w:r w:rsidRPr="00451B5B">
        <w:rPr>
          <w:color w:val="000000" w:themeColor="text1"/>
          <w:sz w:val="24"/>
          <w:lang w:val="sv-SE"/>
        </w:rPr>
        <w:t xml:space="preserve">Parlamentet antog under sin åttonde valperiod 36 resolutioner och under sin nionde valperiod 38 resolutioner </w:t>
      </w:r>
      <w:r w:rsidRPr="00451B5B">
        <w:rPr>
          <w:sz w:val="24"/>
          <w:lang w:val="sv-SE"/>
        </w:rPr>
        <w:t xml:space="preserve">med invändningar mot </w:t>
      </w:r>
      <w:r w:rsidRPr="00451B5B">
        <w:rPr>
          <w:color w:val="000000" w:themeColor="text1"/>
          <w:sz w:val="24"/>
          <w:lang w:val="sv-SE"/>
        </w:rPr>
        <w:t>godkännandet av genetiskt modifierade organismer. Dessutom har parlamentet under sin tionde valperiod antagit följande resolutioner:</w:t>
      </w:r>
    </w:p>
    <w:p w14:paraId="0F2ADCA8" w14:textId="2192F9F2" w:rsidR="00EE0743" w:rsidRPr="00451B5B" w:rsidRDefault="00EE0743" w:rsidP="008B662A">
      <w:pPr>
        <w:pStyle w:val="FootnoteText"/>
        <w:suppressAutoHyphens/>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C/2025/1798, 4.4.2025, ELI: </w:t>
      </w:r>
      <w:hyperlink r:id="rId4" w:history="1">
        <w:r w:rsidRPr="00451B5B">
          <w:rPr>
            <w:rStyle w:val="Hyperlink"/>
            <w:sz w:val="24"/>
            <w:lang w:val="sv-SE"/>
          </w:rPr>
          <w:t>http://data.europa.eu/eli/C/2025/1797/oj</w:t>
        </w:r>
      </w:hyperlink>
      <w:r w:rsidRPr="00451B5B">
        <w:rPr>
          <w:color w:val="000000" w:themeColor="text1"/>
          <w:sz w:val="24"/>
          <w:lang w:val="sv-SE"/>
        </w:rPr>
        <w:t>).</w:t>
      </w:r>
    </w:p>
    <w:p w14:paraId="7A5FDCB0" w14:textId="38488BAC" w:rsidR="00EE0743" w:rsidRPr="00451B5B" w:rsidRDefault="00EE0743" w:rsidP="008B662A">
      <w:pPr>
        <w:pStyle w:val="FootnoteText"/>
        <w:suppressAutoHyphens/>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Pr="00451B5B">
          <w:rPr>
            <w:rStyle w:val="Hyperlink"/>
            <w:sz w:val="24"/>
            <w:lang w:val="sv-SE"/>
          </w:rPr>
          <w:t>http://data.europa.eu/eli/C/2025/1798/oj</w:t>
        </w:r>
      </w:hyperlink>
      <w:r w:rsidRPr="00451B5B">
        <w:rPr>
          <w:color w:val="000000" w:themeColor="text1"/>
          <w:sz w:val="24"/>
          <w:lang w:val="sv-SE"/>
        </w:rPr>
        <w:t>).</w:t>
      </w:r>
    </w:p>
    <w:p w14:paraId="4AA24CF7" w14:textId="52232072" w:rsidR="00EE0743" w:rsidRPr="00451B5B" w:rsidRDefault="00EE0743" w:rsidP="008B662A">
      <w:pPr>
        <w:pStyle w:val="FootnoteText"/>
        <w:suppressAutoHyphens/>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Pr="00451B5B">
          <w:rPr>
            <w:rStyle w:val="Hyperlink"/>
            <w:sz w:val="24"/>
            <w:lang w:val="sv-SE"/>
          </w:rPr>
          <w:t>http://data.europa.eu/eli/C/2025/1799/oj</w:t>
        </w:r>
      </w:hyperlink>
      <w:r w:rsidRPr="00451B5B">
        <w:rPr>
          <w:color w:val="000000" w:themeColor="text1"/>
          <w:sz w:val="24"/>
          <w:lang w:val="sv-SE"/>
        </w:rPr>
        <w:t>).</w:t>
      </w:r>
    </w:p>
    <w:p w14:paraId="4F6F717A" w14:textId="28A0A2E3" w:rsidR="00EE0743" w:rsidRPr="00451B5B" w:rsidRDefault="00EE0743" w:rsidP="008B662A">
      <w:pPr>
        <w:pStyle w:val="FootnoteText"/>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Pr="00451B5B">
          <w:rPr>
            <w:rStyle w:val="Hyperlink"/>
            <w:sz w:val="24"/>
            <w:lang w:val="sv-SE"/>
          </w:rPr>
          <w:t>http://data.europa.eu/eli/C/2025/1800/oj</w:t>
        </w:r>
      </w:hyperlink>
      <w:r w:rsidRPr="00451B5B">
        <w:rPr>
          <w:color w:val="000000" w:themeColor="text1"/>
          <w:sz w:val="24"/>
          <w:lang w:val="sv-SE"/>
        </w:rPr>
        <w:t>).</w:t>
      </w:r>
    </w:p>
    <w:p w14:paraId="016135AF" w14:textId="3595A067" w:rsidR="00EE0743" w:rsidRPr="00451B5B" w:rsidRDefault="00EE0743" w:rsidP="008B662A">
      <w:pPr>
        <w:pStyle w:val="FootnoteText"/>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Pr="00451B5B">
          <w:rPr>
            <w:rStyle w:val="Hyperlink"/>
            <w:sz w:val="24"/>
            <w:lang w:val="sv-SE"/>
          </w:rPr>
          <w:t>http://data.europa.eu/eli/C/2025/1801/oj</w:t>
        </w:r>
      </w:hyperlink>
      <w:r w:rsidRPr="00451B5B">
        <w:rPr>
          <w:color w:val="000000" w:themeColor="text1"/>
          <w:sz w:val="24"/>
          <w:lang w:val="sv-SE"/>
        </w:rPr>
        <w:t>).</w:t>
      </w:r>
    </w:p>
    <w:p w14:paraId="09551E52" w14:textId="48376343" w:rsidR="00EE0743" w:rsidRPr="00451B5B" w:rsidRDefault="00EE0743" w:rsidP="008B662A">
      <w:pPr>
        <w:pStyle w:val="FootnoteText"/>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Pr="00451B5B">
          <w:rPr>
            <w:rStyle w:val="Hyperlink"/>
            <w:sz w:val="24"/>
            <w:lang w:val="sv-SE"/>
          </w:rPr>
          <w:t>http://data.europa.eu/eli/C/2025/1802/oj</w:t>
        </w:r>
      </w:hyperlink>
      <w:r w:rsidRPr="00451B5B">
        <w:rPr>
          <w:color w:val="000000" w:themeColor="text1"/>
          <w:sz w:val="24"/>
          <w:lang w:val="sv-SE"/>
        </w:rPr>
        <w:t>).</w:t>
      </w:r>
    </w:p>
    <w:p w14:paraId="2178D58E" w14:textId="0FE7E4FF" w:rsidR="00EE0743" w:rsidRPr="00451B5B" w:rsidRDefault="00EE0743" w:rsidP="008B662A">
      <w:pPr>
        <w:pStyle w:val="FootnoteText"/>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Pr="00451B5B">
          <w:rPr>
            <w:rStyle w:val="Hyperlink"/>
            <w:sz w:val="24"/>
            <w:lang w:val="sv-SE"/>
          </w:rPr>
          <w:t>http://data.europa.eu/eli/C/2025/1803/oj</w:t>
        </w:r>
      </w:hyperlink>
      <w:r w:rsidRPr="00451B5B">
        <w:rPr>
          <w:color w:val="000000" w:themeColor="text1"/>
          <w:sz w:val="24"/>
          <w:lang w:val="sv-SE"/>
        </w:rPr>
        <w:t>).</w:t>
      </w:r>
    </w:p>
    <w:p w14:paraId="33A57C8B" w14:textId="4E48D471" w:rsidR="00EE0743" w:rsidRPr="00451B5B" w:rsidRDefault="00EE0743" w:rsidP="008B662A">
      <w:pPr>
        <w:pStyle w:val="FootnoteText"/>
        <w:ind w:left="1134" w:hanging="567"/>
        <w:rPr>
          <w:color w:val="000000" w:themeColor="text1"/>
          <w:sz w:val="24"/>
          <w:vertAlign w:val="superscript"/>
          <w:lang w:val="sv-SE"/>
        </w:rPr>
      </w:pPr>
      <w:r w:rsidRPr="00451B5B">
        <w:rPr>
          <w:color w:val="000000" w:themeColor="text1"/>
          <w:sz w:val="24"/>
          <w:lang w:val="sv-SE"/>
        </w:rPr>
        <w:t>–</w:t>
      </w:r>
      <w:r w:rsidRPr="00451B5B">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Pr="00451B5B">
          <w:rPr>
            <w:rStyle w:val="Hyperlink"/>
            <w:sz w:val="24"/>
            <w:lang w:val="sv-SE"/>
          </w:rPr>
          <w:t>http://data.europa.eu/eli/C/2025/1804/oj</w:t>
        </w:r>
      </w:hyperlink>
      <w:r w:rsidRPr="00451B5B">
        <w:rPr>
          <w:color w:val="000000" w:themeColor="text1"/>
          <w:sz w:val="24"/>
          <w:lang w:val="sv-SE"/>
        </w:rPr>
        <w:t>).</w:t>
      </w:r>
    </w:p>
    <w:p w14:paraId="6EA7BB6B" w14:textId="5B0AC9AB" w:rsidR="00EE0743" w:rsidRPr="00451B5B" w:rsidRDefault="00EE0743" w:rsidP="008B662A">
      <w:pPr>
        <w:pStyle w:val="FootnoteText"/>
        <w:ind w:left="1134" w:hanging="567"/>
        <w:rPr>
          <w:sz w:val="24"/>
          <w:vertAlign w:val="superscript"/>
          <w:lang w:val="sv-SE"/>
        </w:rPr>
      </w:pPr>
      <w:r w:rsidRPr="00451B5B">
        <w:rPr>
          <w:color w:val="000000" w:themeColor="text1"/>
          <w:sz w:val="24"/>
          <w:lang w:val="sv-SE"/>
        </w:rPr>
        <w:t>–</w:t>
      </w:r>
      <w:r w:rsidRPr="00451B5B">
        <w:rPr>
          <w:color w:val="000000" w:themeColor="text1"/>
          <w:sz w:val="24"/>
          <w:lang w:val="sv-SE"/>
        </w:rPr>
        <w:tab/>
      </w:r>
      <w:r w:rsidRPr="00451B5B">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åtkomst till dokumentet via dess ELI-adress." w:history="1">
        <w:r w:rsidRPr="00451B5B">
          <w:rPr>
            <w:rStyle w:val="Hyperlink"/>
            <w:sz w:val="24"/>
            <w:lang w:val="sv-SE"/>
          </w:rPr>
          <w:t>http://data.europa.eu/eli/C/2025/2246/oj</w:t>
        </w:r>
      </w:hyperlink>
      <w:r w:rsidRPr="00451B5B">
        <w:rPr>
          <w:sz w:val="24"/>
          <w:lang w:val="sv-SE"/>
        </w:rPr>
        <w:t>).</w:t>
      </w:r>
    </w:p>
    <w:p w14:paraId="33CDF50A" w14:textId="47E77E10" w:rsidR="00EE0743" w:rsidRPr="00451B5B" w:rsidRDefault="00EE0743" w:rsidP="008B662A">
      <w:pPr>
        <w:pStyle w:val="FootnoteText"/>
        <w:ind w:left="1134" w:hanging="567"/>
        <w:rPr>
          <w:sz w:val="24"/>
          <w:vertAlign w:val="superscript"/>
          <w:lang w:val="sv-SE"/>
        </w:rPr>
      </w:pPr>
      <w:r w:rsidRPr="00451B5B">
        <w:rPr>
          <w:sz w:val="24"/>
          <w:lang w:val="sv-SE"/>
        </w:rPr>
        <w:t>–</w:t>
      </w:r>
      <w:r w:rsidRPr="00451B5B">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åtkomst till dokumentet via dess ELI-adress." w:history="1">
        <w:r w:rsidRPr="00451B5B">
          <w:rPr>
            <w:rStyle w:val="Hyperlink"/>
            <w:sz w:val="24"/>
            <w:lang w:val="sv-SE"/>
          </w:rPr>
          <w:t>http://data.europa.eu/eli/C/2025/2247/oj</w:t>
        </w:r>
      </w:hyperlink>
      <w:r w:rsidRPr="00451B5B">
        <w:rPr>
          <w:sz w:val="24"/>
          <w:lang w:val="sv-SE"/>
        </w:rPr>
        <w:t>).</w:t>
      </w:r>
    </w:p>
    <w:p w14:paraId="7F3E57EC" w14:textId="16DBF698" w:rsidR="00EE0743" w:rsidRPr="00451B5B" w:rsidRDefault="00EE0743" w:rsidP="00451831">
      <w:pPr>
        <w:pStyle w:val="FootnoteText"/>
        <w:ind w:left="1134" w:hanging="567"/>
        <w:rPr>
          <w:sz w:val="24"/>
          <w:vertAlign w:val="superscript"/>
          <w:lang w:val="sv-SE"/>
        </w:rPr>
      </w:pPr>
      <w:r w:rsidRPr="00451B5B">
        <w:rPr>
          <w:sz w:val="24"/>
          <w:lang w:val="sv-SE"/>
        </w:rPr>
        <w:t>–</w:t>
      </w:r>
      <w:r w:rsidRPr="00451B5B">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p w14:paraId="15BFEA07" w14:textId="0F8FE356" w:rsidR="00EE0743" w:rsidRPr="00451B5B" w:rsidRDefault="00EE0743" w:rsidP="008B662A">
      <w:pPr>
        <w:pStyle w:val="FootnoteText"/>
        <w:ind w:left="1134" w:hanging="567"/>
        <w:rPr>
          <w:sz w:val="24"/>
          <w:vertAlign w:val="superscript"/>
          <w:lang w:val="sv-SE"/>
        </w:rPr>
      </w:pPr>
      <w:r w:rsidRPr="00451B5B">
        <w:rPr>
          <w:sz w:val="24"/>
          <w:lang w:val="sv-SE"/>
        </w:rPr>
        <w:t>–</w:t>
      </w:r>
      <w:r w:rsidRPr="00451B5B">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(P10_TA(2025)0222).</w:t>
      </w:r>
    </w:p>
    <w:p w14:paraId="7E81DA97" w14:textId="1E1123F9" w:rsidR="00EE0743" w:rsidRPr="00451B5B" w:rsidRDefault="00EE0743" w:rsidP="008B662A">
      <w:pPr>
        <w:pStyle w:val="FootnoteText"/>
        <w:ind w:left="1134" w:hanging="567"/>
        <w:rPr>
          <w:sz w:val="24"/>
          <w:vertAlign w:val="superscript"/>
          <w:lang w:val="sv-SE"/>
        </w:rPr>
      </w:pPr>
      <w:r w:rsidRPr="00451B5B">
        <w:rPr>
          <w:sz w:val="24"/>
          <w:lang w:val="sv-SE"/>
        </w:rPr>
        <w:t>–</w:t>
      </w:r>
      <w:r w:rsidRPr="00451B5B">
        <w:rPr>
          <w:sz w:val="24"/>
          <w:lang w:val="sv-SE"/>
        </w:rPr>
        <w:tab/>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(P10_TA(2025)0288).</w:t>
      </w:r>
    </w:p>
    <w:p w14:paraId="56ABE111" w14:textId="129DD71C" w:rsidR="00EE0743" w:rsidRPr="00451B5B" w:rsidRDefault="00EE0743" w:rsidP="008B662A">
      <w:pPr>
        <w:pStyle w:val="FootnoteText"/>
        <w:ind w:left="1134" w:hanging="567"/>
        <w:rPr>
          <w:sz w:val="24"/>
          <w:vertAlign w:val="superscript"/>
          <w:lang w:val="sv-SE"/>
        </w:rPr>
      </w:pPr>
      <w:r w:rsidRPr="00451B5B">
        <w:rPr>
          <w:sz w:val="24"/>
          <w:lang w:val="sv-SE"/>
        </w:rPr>
        <w:t>–</w:t>
      </w:r>
      <w:r w:rsidRPr="00451B5B">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(P10_TA(2025)0289).</w:t>
      </w:r>
    </w:p>
    <w:p w14:paraId="1AE64017" w14:textId="4C5203DE" w:rsidR="00EE0743" w:rsidRPr="00451B5B" w:rsidRDefault="00EE0743" w:rsidP="008B662A">
      <w:pPr>
        <w:pStyle w:val="FootnoteText"/>
        <w:ind w:left="1134" w:hanging="567"/>
        <w:rPr>
          <w:sz w:val="24"/>
          <w:vertAlign w:val="superscript"/>
          <w:lang w:val="sv-SE"/>
        </w:rPr>
      </w:pPr>
      <w:r w:rsidRPr="00451B5B">
        <w:rPr>
          <w:sz w:val="24"/>
          <w:lang w:val="sv-SE"/>
        </w:rPr>
        <w:t>–</w:t>
      </w:r>
      <w:r w:rsidRPr="00451B5B">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(P10_TA(2025)0290).</w:t>
      </w:r>
    </w:p>
    <w:p w14:paraId="0E356FF3" w14:textId="016B4C6B" w:rsidR="00EE0743" w:rsidRPr="00451B5B" w:rsidRDefault="00EE0743" w:rsidP="008B662A">
      <w:pPr>
        <w:pStyle w:val="FootnoteText"/>
        <w:ind w:left="1134" w:hanging="567"/>
        <w:rPr>
          <w:sz w:val="24"/>
          <w:vertAlign w:val="superscript"/>
          <w:lang w:val="sv-SE"/>
        </w:rPr>
      </w:pPr>
      <w:r w:rsidRPr="00451B5B">
        <w:rPr>
          <w:sz w:val="24"/>
          <w:lang w:val="sv-SE"/>
        </w:rPr>
        <w:t>–</w:t>
      </w:r>
      <w:r w:rsidRPr="00451B5B">
        <w:rPr>
          <w:sz w:val="24"/>
          <w:lang w:val="sv-SE"/>
        </w:rPr>
        <w:tab/>
        <w:t>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(P10_TA(2025)0291).</w:t>
      </w:r>
    </w:p>
    <w:p w14:paraId="33147C98" w14:textId="0C5F6683" w:rsidR="00EE0743" w:rsidRPr="00451B5B" w:rsidRDefault="00EE0743" w:rsidP="008B662A">
      <w:pPr>
        <w:pStyle w:val="FootnoteText"/>
        <w:ind w:left="1134" w:hanging="567"/>
        <w:rPr>
          <w:sz w:val="24"/>
          <w:lang w:val="sv-SE"/>
        </w:rPr>
      </w:pPr>
      <w:r w:rsidRPr="00451B5B">
        <w:rPr>
          <w:sz w:val="24"/>
          <w:lang w:val="sv-SE"/>
        </w:rPr>
        <w:t>–</w:t>
      </w:r>
      <w:r w:rsidRPr="00451B5B">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(P10_TA(2025)0292).</w:t>
      </w:r>
    </w:p>
  </w:footnote>
  <w:footnote w:id="5">
    <w:p w14:paraId="33FC995A" w14:textId="7728D931" w:rsidR="00EE0743" w:rsidRPr="00451B5B" w:rsidRDefault="00EE0743" w:rsidP="00451B5B">
      <w:pPr>
        <w:pStyle w:val="FootnoteText"/>
        <w:ind w:left="567" w:hanging="567"/>
        <w:rPr>
          <w:sz w:val="24"/>
          <w:lang w:val="sv-SE"/>
        </w:rPr>
      </w:pPr>
      <w:r w:rsidRPr="00451B5B">
        <w:rPr>
          <w:rStyle w:val="FootnoteReference"/>
          <w:sz w:val="24"/>
          <w:lang w:val="sv-SE"/>
        </w:rPr>
        <w:footnoteRef/>
      </w:r>
      <w:r w:rsidR="00451B5B" w:rsidRPr="00451B5B">
        <w:rPr>
          <w:sz w:val="24"/>
          <w:shd w:val="clear" w:color="auto" w:fill="FFFFFF"/>
          <w:lang w:val="sv-SE"/>
        </w:rPr>
        <w:t xml:space="preserve"> </w:t>
      </w:r>
      <w:r w:rsidR="00451B5B" w:rsidRPr="00451B5B">
        <w:rPr>
          <w:sz w:val="24"/>
          <w:shd w:val="clear" w:color="auto" w:fill="FFFFFF"/>
          <w:lang w:val="sv-SE"/>
        </w:rPr>
        <w:tab/>
      </w:r>
      <w:r w:rsidRPr="00451B5B">
        <w:rPr>
          <w:sz w:val="24"/>
          <w:shd w:val="clear" w:color="auto" w:fill="FFFFFF"/>
          <w:lang w:val="sv-SE"/>
        </w:rPr>
        <w:t xml:space="preserve">Se t.ex. Bonny, S., ”Genetically Modified Herbicide-Tolerant Crops, Weeds, and Herbicides: Overview and Impact”, </w:t>
      </w:r>
      <w:r w:rsidRPr="00451B5B">
        <w:rPr>
          <w:i/>
          <w:iCs/>
          <w:sz w:val="24"/>
          <w:shd w:val="clear" w:color="auto" w:fill="FFFFFF"/>
          <w:lang w:val="sv-SE"/>
        </w:rPr>
        <w:t>Environmental Management</w:t>
      </w:r>
      <w:r w:rsidRPr="00451B5B">
        <w:rPr>
          <w:sz w:val="24"/>
          <w:shd w:val="clear" w:color="auto" w:fill="FFFFFF"/>
          <w:lang w:val="sv-SE"/>
        </w:rPr>
        <w:t>, januari 2016:57(1), s. 31–48,</w:t>
      </w:r>
      <w:r w:rsidRPr="00451B5B">
        <w:rPr>
          <w:sz w:val="24"/>
          <w:lang w:val="sv-SE"/>
        </w:rPr>
        <w:t xml:space="preserve"> </w:t>
      </w:r>
      <w:hyperlink r:id="rId14" w:history="1">
        <w:r w:rsidRPr="00451B5B">
          <w:rPr>
            <w:rStyle w:val="Hyperlink"/>
            <w:sz w:val="24"/>
            <w:shd w:val="clear" w:color="auto" w:fill="FFFFFF"/>
            <w:lang w:val="sv-SE"/>
          </w:rPr>
          <w:t>https://doi.org/10.1007/s00267-015-0589-7</w:t>
        </w:r>
      </w:hyperlink>
      <w:r w:rsidRPr="00451B5B">
        <w:rPr>
          <w:sz w:val="24"/>
          <w:shd w:val="clear" w:color="auto" w:fill="FFFFFF"/>
          <w:lang w:val="sv-SE"/>
        </w:rPr>
        <w:t xml:space="preserve"> och Benbrook, C.M., ”Impacts of genetically engineered crops on pesticide use in the U.S. – the first sixteen years”, </w:t>
      </w:r>
      <w:r w:rsidRPr="00451B5B">
        <w:rPr>
          <w:i/>
          <w:iCs/>
          <w:sz w:val="24"/>
          <w:shd w:val="clear" w:color="auto" w:fill="FFFFFF"/>
          <w:lang w:val="sv-SE"/>
        </w:rPr>
        <w:t>Environmental Sciences Europe</w:t>
      </w:r>
      <w:r w:rsidRPr="00451B5B">
        <w:rPr>
          <w:sz w:val="24"/>
          <w:shd w:val="clear" w:color="auto" w:fill="FFFFFF"/>
          <w:lang w:val="sv-SE"/>
        </w:rPr>
        <w:t>, 28 september 2012, volym 24(1),</w:t>
      </w:r>
      <w:r w:rsidRPr="00451B5B">
        <w:rPr>
          <w:sz w:val="24"/>
          <w:lang w:val="sv-SE"/>
        </w:rPr>
        <w:t xml:space="preserve"> </w:t>
      </w:r>
      <w:hyperlink r:id="rId15" w:history="1">
        <w:r w:rsidRPr="00451B5B">
          <w:rPr>
            <w:rStyle w:val="Hyperlink"/>
            <w:sz w:val="24"/>
            <w:lang w:val="sv-SE"/>
          </w:rPr>
          <w:t>https://doi.org/10.1186/2190-4715-24-24</w:t>
        </w:r>
      </w:hyperlink>
      <w:r w:rsidRPr="00451B5B">
        <w:rPr>
          <w:rStyle w:val="Hyperlink"/>
          <w:sz w:val="24"/>
          <w:shd w:val="clear" w:color="auto" w:fill="FFFFFF"/>
          <w:lang w:val="sv-SE"/>
        </w:rPr>
        <w:t>.</w:t>
      </w:r>
    </w:p>
  </w:footnote>
  <w:footnote w:id="6">
    <w:p w14:paraId="51D6B768" w14:textId="22B55FC8" w:rsidR="00EE0743" w:rsidRPr="00451B5B" w:rsidRDefault="00EE0743" w:rsidP="00451831">
      <w:pPr>
        <w:pStyle w:val="FootnoteText"/>
        <w:ind w:left="567" w:hanging="567"/>
        <w:rPr>
          <w:sz w:val="24"/>
          <w:lang w:val="sv-SE"/>
        </w:rPr>
      </w:pPr>
      <w:r w:rsidRPr="00451B5B">
        <w:rPr>
          <w:rStyle w:val="FootnoteReference"/>
          <w:sz w:val="24"/>
          <w:lang w:val="sv-SE"/>
        </w:rPr>
        <w:footnoteRef/>
      </w:r>
      <w:r w:rsidR="00451B5B" w:rsidRPr="00451B5B">
        <w:rPr>
          <w:sz w:val="24"/>
          <w:lang w:val="sv-SE"/>
        </w:rPr>
        <w:t xml:space="preserve"> </w:t>
      </w:r>
      <w:r w:rsidR="00451B5B" w:rsidRPr="00451B5B">
        <w:rPr>
          <w:sz w:val="24"/>
          <w:lang w:val="sv-SE"/>
        </w:rPr>
        <w:tab/>
      </w:r>
      <w:r w:rsidRPr="00451B5B">
        <w:rPr>
          <w:sz w:val="24"/>
          <w:lang w:val="sv-SE"/>
        </w:rPr>
        <w:t xml:space="preserve">Se exempelvis: </w:t>
      </w:r>
      <w:hyperlink r:id="rId16" w:history="1">
        <w:r w:rsidRPr="00451B5B">
          <w:rPr>
            <w:rStyle w:val="Hyperlink"/>
            <w:sz w:val="24"/>
            <w:lang w:val="sv-SE"/>
          </w:rPr>
          <w:t>https://doi.org/10.1002/ps.8105</w:t>
        </w:r>
      </w:hyperlink>
      <w:r w:rsidR="00451831">
        <w:rPr>
          <w:rStyle w:val="Hyperlink"/>
          <w:sz w:val="24"/>
          <w:lang w:val="sv-SE"/>
        </w:rPr>
        <w:t xml:space="preserve">, </w:t>
      </w:r>
      <w:hyperlink r:id="rId17" w:history="1">
        <w:r w:rsidR="00451831" w:rsidRPr="00451831">
          <w:rPr>
            <w:rStyle w:val="Hyperlink"/>
            <w:sz w:val="24"/>
            <w:lang w:val="sv-SE"/>
          </w:rPr>
          <w:t>https://doi.org/10.1016/j.geoforum.2009.03.009</w:t>
        </w:r>
      </w:hyperlink>
      <w:r w:rsidRPr="00451B5B">
        <w:rPr>
          <w:sz w:val="24"/>
          <w:lang w:val="sv-SE"/>
        </w:rPr>
        <w:t>.</w:t>
      </w:r>
    </w:p>
  </w:footnote>
  <w:footnote w:id="7">
    <w:p w14:paraId="3546EFB7" w14:textId="6E28AEB5" w:rsidR="00EE0743" w:rsidRPr="00451B5B" w:rsidRDefault="00EE0743" w:rsidP="00451B5B">
      <w:pPr>
        <w:pStyle w:val="FootnoteText"/>
        <w:ind w:left="567" w:hanging="567"/>
        <w:rPr>
          <w:sz w:val="24"/>
          <w:lang w:val="sv-SE"/>
        </w:rPr>
      </w:pPr>
      <w:r w:rsidRPr="00451B5B">
        <w:rPr>
          <w:rStyle w:val="FootnoteReference"/>
          <w:sz w:val="24"/>
          <w:lang w:val="sv-SE"/>
        </w:rPr>
        <w:footnoteRef/>
      </w:r>
      <w:r w:rsidR="00451B5B" w:rsidRPr="00451B5B">
        <w:rPr>
          <w:sz w:val="24"/>
          <w:lang w:val="sv-SE"/>
        </w:rPr>
        <w:t xml:space="preserve"> </w:t>
      </w:r>
      <w:r w:rsidR="00451B5B" w:rsidRPr="00451B5B">
        <w:rPr>
          <w:sz w:val="24"/>
          <w:lang w:val="sv-SE"/>
        </w:rPr>
        <w:tab/>
      </w:r>
      <w:r w:rsidRPr="00451B5B">
        <w:rPr>
          <w:sz w:val="24"/>
          <w:lang w:val="sv-SE"/>
        </w:rPr>
        <w:t>Se exempelvis:</w:t>
      </w:r>
      <w:r w:rsidRPr="00451B5B">
        <w:rPr>
          <w:sz w:val="24"/>
          <w:lang w:val="sv-SE"/>
        </w:rPr>
        <w:br/>
      </w:r>
      <w:hyperlink r:id="rId18" w:tgtFrame="_blank" w:tooltip="Varaktig länk som använder en DOI" w:history="1">
        <w:r w:rsidRPr="00451B5B">
          <w:rPr>
            <w:rStyle w:val="Hyperlink"/>
            <w:sz w:val="24"/>
            <w:lang w:val="sv-SE"/>
          </w:rPr>
          <w:t>https://doi.org/10.1016/j.mrrev.2019.02.001</w:t>
        </w:r>
      </w:hyperlink>
      <w:r w:rsidRPr="00451B5B">
        <w:rPr>
          <w:sz w:val="24"/>
          <w:lang w:val="sv-SE"/>
        </w:rPr>
        <w:t>,</w:t>
      </w:r>
      <w:r w:rsidRPr="00451B5B">
        <w:rPr>
          <w:sz w:val="24"/>
          <w:lang w:val="sv-SE"/>
        </w:rPr>
        <w:br/>
      </w:r>
      <w:hyperlink r:id="rId19" w:history="1">
        <w:r w:rsidRPr="00451B5B">
          <w:rPr>
            <w:rStyle w:val="Hyperlink"/>
            <w:sz w:val="24"/>
            <w:lang w:val="sv-SE"/>
          </w:rPr>
          <w:t>https://doi.org/10.1093/ije/dyz017</w:t>
        </w:r>
      </w:hyperlink>
      <w:r w:rsidRPr="00451B5B">
        <w:rPr>
          <w:sz w:val="24"/>
          <w:lang w:val="sv-SE"/>
        </w:rPr>
        <w:t>,</w:t>
      </w:r>
      <w:r w:rsidRPr="00451B5B">
        <w:rPr>
          <w:sz w:val="24"/>
          <w:lang w:val="sv-SE"/>
        </w:rPr>
        <w:br/>
      </w:r>
      <w:hyperlink r:id="rId20" w:history="1">
        <w:r w:rsidRPr="00451B5B">
          <w:rPr>
            <w:rStyle w:val="Hyperlink"/>
            <w:sz w:val="24"/>
            <w:lang w:val="sv-SE"/>
          </w:rPr>
          <w:t>https://doi.org/10.1371/journal.pone.0219610</w:t>
        </w:r>
      </w:hyperlink>
      <w:r w:rsidRPr="00451B5B">
        <w:rPr>
          <w:sz w:val="24"/>
          <w:lang w:val="sv-SE"/>
        </w:rPr>
        <w:t xml:space="preserve"> och</w:t>
      </w:r>
      <w:r w:rsidRPr="00451B5B">
        <w:rPr>
          <w:sz w:val="24"/>
          <w:lang w:val="sv-SE"/>
        </w:rPr>
        <w:br/>
      </w:r>
      <w:hyperlink r:id="rId21" w:history="1">
        <w:r w:rsidRPr="00451B5B">
          <w:rPr>
            <w:rStyle w:val="Hyperlink"/>
            <w:sz w:val="24"/>
            <w:lang w:val="sv-SE"/>
          </w:rPr>
          <w:t>https://doi.org/10.1186/s13045-019-0767-9</w:t>
        </w:r>
      </w:hyperlink>
      <w:r w:rsidRPr="00451B5B">
        <w:rPr>
          <w:sz w:val="24"/>
          <w:lang w:val="sv-SE"/>
        </w:rPr>
        <w:t>.</w:t>
      </w:r>
    </w:p>
  </w:footnote>
  <w:footnote w:id="8">
    <w:p w14:paraId="7D671EA3" w14:textId="321DAD9F" w:rsidR="00EE0743" w:rsidRPr="00451B5B" w:rsidRDefault="00EE0743" w:rsidP="00451B5B">
      <w:pPr>
        <w:pStyle w:val="FootnoteText"/>
        <w:ind w:left="567" w:hanging="567"/>
        <w:rPr>
          <w:sz w:val="24"/>
          <w:lang w:val="sv-SE"/>
        </w:rPr>
      </w:pPr>
      <w:r w:rsidRPr="00451B5B">
        <w:rPr>
          <w:rStyle w:val="FootnoteReference"/>
          <w:sz w:val="24"/>
          <w:lang w:val="sv-SE"/>
        </w:rPr>
        <w:footnoteRef/>
      </w:r>
      <w:r w:rsidR="00451B5B" w:rsidRPr="00451B5B">
        <w:rPr>
          <w:sz w:val="24"/>
          <w:lang w:val="sv-SE"/>
        </w:rPr>
        <w:t xml:space="preserve"> </w:t>
      </w:r>
      <w:r w:rsidR="00451B5B" w:rsidRPr="00451B5B">
        <w:rPr>
          <w:sz w:val="24"/>
          <w:lang w:val="sv-SE"/>
        </w:rPr>
        <w:tab/>
      </w:r>
      <w:r w:rsidRPr="00451B5B">
        <w:rPr>
          <w:sz w:val="24"/>
          <w:lang w:val="sv-SE"/>
        </w:rPr>
        <w:t xml:space="preserve">Europaparlamentets och rådets förordning (EG) nr 1107/2009 av den 21 oktober 2009 om utsläppande av växtskyddsmedel på marknaden och om upphävande av rådets direktiv 79/117/EEG och 91/414/EEG (EUT L 309, 24.11.2009, s. 1, ELI: </w:t>
      </w:r>
      <w:hyperlink r:id="rId22" w:tooltip="Ger åtkomst till dokumentet via dess ELI-adress." w:history="1">
        <w:r w:rsidRPr="00451B5B">
          <w:rPr>
            <w:rStyle w:val="Hyperlink"/>
            <w:sz w:val="24"/>
            <w:lang w:val="sv-SE"/>
          </w:rPr>
          <w:t>http://data.europa.eu/eli/reg/2009/1107/oj</w:t>
        </w:r>
      </w:hyperlink>
      <w:r w:rsidRPr="00451B5B">
        <w:rPr>
          <w:sz w:val="24"/>
          <w:lang w:val="sv-SE"/>
        </w:rPr>
        <w:t>).</w:t>
      </w:r>
    </w:p>
  </w:footnote>
  <w:footnote w:id="9">
    <w:p w14:paraId="780F4747" w14:textId="0AC42CB0" w:rsidR="00EE0743" w:rsidRPr="00451B5B" w:rsidRDefault="00EE0743" w:rsidP="00451B5B">
      <w:pPr>
        <w:pStyle w:val="FootnoteText"/>
        <w:ind w:left="567" w:hanging="567"/>
        <w:rPr>
          <w:sz w:val="24"/>
          <w:lang w:val="sv-SE"/>
        </w:rPr>
      </w:pPr>
      <w:r w:rsidRPr="00451B5B">
        <w:rPr>
          <w:rStyle w:val="FootnoteReference"/>
          <w:sz w:val="24"/>
          <w:lang w:val="sv-SE"/>
        </w:rPr>
        <w:footnoteRef/>
      </w:r>
      <w:r w:rsidR="00451B5B" w:rsidRPr="00451B5B">
        <w:rPr>
          <w:color w:val="000000" w:themeColor="text1"/>
          <w:sz w:val="24"/>
          <w:lang w:val="sv-SE"/>
        </w:rPr>
        <w:t xml:space="preserve"> </w:t>
      </w:r>
      <w:r w:rsidR="00451B5B" w:rsidRPr="00451B5B">
        <w:rPr>
          <w:color w:val="000000" w:themeColor="text1"/>
          <w:sz w:val="24"/>
          <w:lang w:val="sv-SE"/>
        </w:rPr>
        <w:tab/>
      </w:r>
      <w:r w:rsidRPr="00451B5B">
        <w:rPr>
          <w:color w:val="000000" w:themeColor="text1"/>
          <w:sz w:val="24"/>
          <w:lang w:val="sv-SE"/>
        </w:rPr>
        <w:t>Vid COP15 i december 2022 enades man om en global ram för biologisk mångfald inom ramen för FN:s konvention om biologisk mångfald, som innehåller ett globalt mål om att minska risken för bekämpningsmedel med minst 50</w:t>
      </w:r>
      <w:r w:rsidRPr="00451B5B">
        <w:rPr>
          <w:sz w:val="24"/>
          <w:lang w:val="sv-SE"/>
        </w:rPr>
        <w:t> </w:t>
      </w:r>
      <w:r w:rsidRPr="00451B5B">
        <w:rPr>
          <w:color w:val="000000" w:themeColor="text1"/>
          <w:sz w:val="24"/>
          <w:lang w:val="sv-SE"/>
        </w:rPr>
        <w:t xml:space="preserve">% fram till 2030 (se: </w:t>
      </w:r>
      <w:hyperlink r:id="rId23" w:history="1">
        <w:r w:rsidRPr="00451B5B">
          <w:rPr>
            <w:rStyle w:val="Hyperlink"/>
            <w:sz w:val="24"/>
            <w:lang w:val="sv-SE"/>
          </w:rPr>
          <w:t>https://ec.europa.eu/commission/presscorner/detail/sv/ip_22_7834</w:t>
        </w:r>
      </w:hyperlink>
      <w:r w:rsidRPr="00451B5B">
        <w:rPr>
          <w:sz w:val="24"/>
          <w:lang w:val="sv-SE"/>
        </w:rPr>
        <w:t xml:space="preserve">). </w:t>
      </w:r>
    </w:p>
  </w:footnote>
  <w:footnote w:id="10">
    <w:p w14:paraId="7D2E5691" w14:textId="56AB5E97" w:rsidR="00EE0743" w:rsidRPr="00451B5B" w:rsidRDefault="00EE0743" w:rsidP="00451B5B">
      <w:pPr>
        <w:pStyle w:val="FootnoteText"/>
        <w:ind w:left="567" w:hanging="567"/>
        <w:rPr>
          <w:sz w:val="24"/>
          <w:lang w:val="sv-SE"/>
        </w:rPr>
      </w:pPr>
      <w:r w:rsidRPr="00451B5B">
        <w:rPr>
          <w:rStyle w:val="FootnoteReference"/>
          <w:sz w:val="24"/>
          <w:lang w:val="sv-SE"/>
        </w:rPr>
        <w:footnoteRef/>
      </w:r>
      <w:r w:rsidR="00451B5B" w:rsidRPr="00451B5B">
        <w:rPr>
          <w:sz w:val="24"/>
          <w:lang w:val="sv-SE"/>
        </w:rPr>
        <w:t xml:space="preserve"> </w:t>
      </w:r>
      <w:r w:rsidR="00451B5B" w:rsidRPr="00451B5B">
        <w:rPr>
          <w:sz w:val="24"/>
          <w:lang w:val="sv-SE"/>
        </w:rPr>
        <w:tab/>
      </w:r>
      <w:hyperlink r:id="rId24" w:history="1">
        <w:r w:rsidRPr="00451B5B">
          <w:rPr>
            <w:rStyle w:val="Hyperlink"/>
            <w:sz w:val="24"/>
            <w:lang w:val="sv-SE"/>
          </w:rPr>
          <w:t>https://commission.europa.eu/strategy-and-policy/priorities-2019-2024/european-green-deal/agriculture-and-green-deal/strategic-dialogue-future-eu-agriculture_sv</w:t>
        </w:r>
      </w:hyperlink>
      <w:r w:rsidRPr="00451B5B">
        <w:rPr>
          <w:rStyle w:val="Hyperlink"/>
          <w:sz w:val="24"/>
          <w:lang w:val="sv-SE"/>
        </w:rPr>
        <w:t>.</w:t>
      </w:r>
      <w:r w:rsidRPr="00451B5B">
        <w:rPr>
          <w:sz w:val="24"/>
          <w:lang w:val="sv-SE"/>
        </w:rPr>
        <w:t xml:space="preserve"> </w:t>
      </w:r>
    </w:p>
  </w:footnote>
  <w:footnote w:id="11">
    <w:p w14:paraId="75BBE88A" w14:textId="50108902" w:rsidR="00EE0743" w:rsidRPr="00451B5B" w:rsidRDefault="00EE0743" w:rsidP="00451B5B">
      <w:pPr>
        <w:pStyle w:val="FootnoteText"/>
        <w:ind w:left="567" w:hanging="567"/>
        <w:rPr>
          <w:sz w:val="24"/>
          <w:lang w:val="sv-SE"/>
        </w:rPr>
      </w:pPr>
      <w:r w:rsidRPr="00451B5B">
        <w:rPr>
          <w:rStyle w:val="FootnoteReference"/>
          <w:sz w:val="24"/>
          <w:lang w:val="sv-SE"/>
        </w:rPr>
        <w:footnoteRef/>
      </w:r>
      <w:r w:rsidR="00451B5B" w:rsidRPr="00451B5B">
        <w:rPr>
          <w:sz w:val="24"/>
          <w:lang w:val="sv-SE"/>
        </w:rPr>
        <w:t xml:space="preserve"> </w:t>
      </w:r>
      <w:r w:rsidR="00451B5B" w:rsidRPr="00451B5B">
        <w:rPr>
          <w:sz w:val="24"/>
          <w:lang w:val="sv-SE"/>
        </w:rPr>
        <w:tab/>
      </w:r>
      <w:r w:rsidRPr="00451B5B">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25" w:tgtFrame="Gives%20access%20to%20this%20document%20through%20its%20ELI%20URI." w:history="1">
        <w:r w:rsidRPr="00451B5B">
          <w:rPr>
            <w:rStyle w:val="Hyperlink"/>
            <w:sz w:val="24"/>
            <w:lang w:val="sv-SE"/>
          </w:rPr>
          <w:t>http://data.europa.eu/eli/reg/2002/178/oj</w:t>
        </w:r>
      </w:hyperlink>
      <w:r w:rsidRPr="00451B5B">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52D4" w14:textId="77777777" w:rsidR="00064002" w:rsidRPr="00451B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B5FBC" w14:textId="77777777" w:rsidR="00064002" w:rsidRPr="00451B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F4F7" w14:textId="77777777" w:rsidR="00064002" w:rsidRPr="00451B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2410605">
    <w:abstractNumId w:val="9"/>
  </w:num>
  <w:num w:numId="2" w16cid:durableId="1252351571">
    <w:abstractNumId w:val="9"/>
  </w:num>
  <w:num w:numId="3" w16cid:durableId="1009140371">
    <w:abstractNumId w:val="7"/>
  </w:num>
  <w:num w:numId="4" w16cid:durableId="957613632">
    <w:abstractNumId w:val="7"/>
  </w:num>
  <w:num w:numId="5" w16cid:durableId="1690329389">
    <w:abstractNumId w:val="6"/>
  </w:num>
  <w:num w:numId="6" w16cid:durableId="2012027789">
    <w:abstractNumId w:val="6"/>
  </w:num>
  <w:num w:numId="7" w16cid:durableId="1868519247">
    <w:abstractNumId w:val="5"/>
  </w:num>
  <w:num w:numId="8" w16cid:durableId="2004042152">
    <w:abstractNumId w:val="5"/>
  </w:num>
  <w:num w:numId="9" w16cid:durableId="167136982">
    <w:abstractNumId w:val="4"/>
  </w:num>
  <w:num w:numId="10" w16cid:durableId="1632051118">
    <w:abstractNumId w:val="4"/>
  </w:num>
  <w:num w:numId="11" w16cid:durableId="83842234">
    <w:abstractNumId w:val="8"/>
  </w:num>
  <w:num w:numId="12" w16cid:durableId="100877814">
    <w:abstractNumId w:val="8"/>
  </w:num>
  <w:num w:numId="13" w16cid:durableId="1456171484">
    <w:abstractNumId w:val="3"/>
  </w:num>
  <w:num w:numId="14" w16cid:durableId="1162282282">
    <w:abstractNumId w:val="3"/>
  </w:num>
  <w:num w:numId="15" w16cid:durableId="843013586">
    <w:abstractNumId w:val="2"/>
  </w:num>
  <w:num w:numId="16" w16cid:durableId="1004167286">
    <w:abstractNumId w:val="2"/>
  </w:num>
  <w:num w:numId="17" w16cid:durableId="2073506623">
    <w:abstractNumId w:val="1"/>
  </w:num>
  <w:num w:numId="18" w16cid:durableId="1852255268">
    <w:abstractNumId w:val="1"/>
  </w:num>
  <w:num w:numId="19" w16cid:durableId="1147671828">
    <w:abstractNumId w:val="0"/>
  </w:num>
  <w:num w:numId="20" w16cid:durableId="1469863629">
    <w:abstractNumId w:val="0"/>
  </w:num>
  <w:num w:numId="21" w16cid:durableId="1537540793">
    <w:abstractNumId w:val="9"/>
  </w:num>
  <w:num w:numId="22" w16cid:durableId="1247617735">
    <w:abstractNumId w:val="7"/>
  </w:num>
  <w:num w:numId="23" w16cid:durableId="834107895">
    <w:abstractNumId w:val="6"/>
  </w:num>
  <w:num w:numId="24" w16cid:durableId="881291292">
    <w:abstractNumId w:val="5"/>
  </w:num>
  <w:num w:numId="25" w16cid:durableId="780346271">
    <w:abstractNumId w:val="4"/>
  </w:num>
  <w:num w:numId="26" w16cid:durableId="1593657699">
    <w:abstractNumId w:val="8"/>
  </w:num>
  <w:num w:numId="27" w16cid:durableId="702902351">
    <w:abstractNumId w:val="3"/>
  </w:num>
  <w:num w:numId="28" w16cid:durableId="669915520">
    <w:abstractNumId w:val="2"/>
  </w:num>
  <w:num w:numId="29" w16cid:durableId="1252743041">
    <w:abstractNumId w:val="1"/>
  </w:num>
  <w:num w:numId="30" w16cid:durableId="1391462123">
    <w:abstractNumId w:val="0"/>
  </w:num>
  <w:num w:numId="31" w16cid:durableId="373895643">
    <w:abstractNumId w:val="9"/>
  </w:num>
  <w:num w:numId="32" w16cid:durableId="1825244779">
    <w:abstractNumId w:val="7"/>
  </w:num>
  <w:num w:numId="33" w16cid:durableId="1576891092">
    <w:abstractNumId w:val="6"/>
  </w:num>
  <w:num w:numId="34" w16cid:durableId="480541941">
    <w:abstractNumId w:val="5"/>
  </w:num>
  <w:num w:numId="35" w16cid:durableId="333461587">
    <w:abstractNumId w:val="4"/>
  </w:num>
  <w:num w:numId="36" w16cid:durableId="1945266045">
    <w:abstractNumId w:val="8"/>
  </w:num>
  <w:num w:numId="37" w16cid:durableId="1701739281">
    <w:abstractNumId w:val="3"/>
  </w:num>
  <w:num w:numId="38" w16cid:durableId="117650145">
    <w:abstractNumId w:val="2"/>
  </w:num>
  <w:num w:numId="39" w16cid:durableId="1479496616">
    <w:abstractNumId w:val="1"/>
  </w:num>
  <w:num w:numId="40" w16cid:durableId="1377048717">
    <w:abstractNumId w:val="0"/>
  </w:num>
  <w:num w:numId="41" w16cid:durableId="420103579">
    <w:abstractNumId w:val="10"/>
  </w:num>
  <w:num w:numId="42" w16cid:durableId="1088817366">
    <w:abstractNumId w:val="10"/>
  </w:num>
  <w:num w:numId="43" w16cid:durableId="1820341778">
    <w:abstractNumId w:val="10"/>
  </w:num>
  <w:num w:numId="44" w16cid:durableId="484080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SV"/>
    <w:docVar w:name="dvnumam" w:val="0"/>
    <w:docVar w:name="dvpe" w:val="779.398"/>
    <w:docVar w:name="dvtitre" w:val="Europaparlamentets resolution av den xx xx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D110122/02 – 2025/2959(RSP))"/>
  </w:docVars>
  <w:rsids>
    <w:rsidRoot w:val="006613D7"/>
    <w:rsid w:val="00002272"/>
    <w:rsid w:val="00064002"/>
    <w:rsid w:val="000677B9"/>
    <w:rsid w:val="000831BA"/>
    <w:rsid w:val="000A42CC"/>
    <w:rsid w:val="000E7DD9"/>
    <w:rsid w:val="0010095E"/>
    <w:rsid w:val="00101B66"/>
    <w:rsid w:val="00125B37"/>
    <w:rsid w:val="00187494"/>
    <w:rsid w:val="001F32AE"/>
    <w:rsid w:val="00243A44"/>
    <w:rsid w:val="002767FF"/>
    <w:rsid w:val="002B18FE"/>
    <w:rsid w:val="002B5493"/>
    <w:rsid w:val="00343214"/>
    <w:rsid w:val="00361C00"/>
    <w:rsid w:val="00395FA1"/>
    <w:rsid w:val="003E15D4"/>
    <w:rsid w:val="00411CCE"/>
    <w:rsid w:val="0041666E"/>
    <w:rsid w:val="00421060"/>
    <w:rsid w:val="00451831"/>
    <w:rsid w:val="00451B5B"/>
    <w:rsid w:val="00471C19"/>
    <w:rsid w:val="004867E3"/>
    <w:rsid w:val="00494A28"/>
    <w:rsid w:val="004C0004"/>
    <w:rsid w:val="004C5D52"/>
    <w:rsid w:val="0050519A"/>
    <w:rsid w:val="005072A1"/>
    <w:rsid w:val="00514517"/>
    <w:rsid w:val="00545827"/>
    <w:rsid w:val="00560270"/>
    <w:rsid w:val="00585DBD"/>
    <w:rsid w:val="005C2568"/>
    <w:rsid w:val="005F1B17"/>
    <w:rsid w:val="006037C0"/>
    <w:rsid w:val="006613D7"/>
    <w:rsid w:val="006631B6"/>
    <w:rsid w:val="00680577"/>
    <w:rsid w:val="006B6BD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62A"/>
    <w:rsid w:val="008C2AC6"/>
    <w:rsid w:val="008E482E"/>
    <w:rsid w:val="00910EEC"/>
    <w:rsid w:val="00930C23"/>
    <w:rsid w:val="0093193B"/>
    <w:rsid w:val="009509D8"/>
    <w:rsid w:val="00950B64"/>
    <w:rsid w:val="00981893"/>
    <w:rsid w:val="009879DB"/>
    <w:rsid w:val="00A1687D"/>
    <w:rsid w:val="00A43E52"/>
    <w:rsid w:val="00A4678D"/>
    <w:rsid w:val="00A778C7"/>
    <w:rsid w:val="00AB441E"/>
    <w:rsid w:val="00AB6293"/>
    <w:rsid w:val="00AE0928"/>
    <w:rsid w:val="00AF3B82"/>
    <w:rsid w:val="00B12E95"/>
    <w:rsid w:val="00B22876"/>
    <w:rsid w:val="00B466D6"/>
    <w:rsid w:val="00B558F0"/>
    <w:rsid w:val="00BD48FE"/>
    <w:rsid w:val="00BD7BD8"/>
    <w:rsid w:val="00BE6ADC"/>
    <w:rsid w:val="00C05BFE"/>
    <w:rsid w:val="00C23CD4"/>
    <w:rsid w:val="00C3049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74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8278D"/>
  <w15:chartTrackingRefBased/>
  <w15:docId w15:val="{64C57F71-597F-4782-897E-5DDEF56B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EE0743"/>
    <w:pPr>
      <w:spacing w:before="480" w:after="240"/>
    </w:pPr>
  </w:style>
  <w:style w:type="paragraph" w:customStyle="1" w:styleId="NormalBold12a">
    <w:name w:val="NormalBold12a"/>
    <w:basedOn w:val="Normal"/>
    <w:rsid w:val="00EE0743"/>
    <w:pPr>
      <w:spacing w:after="240"/>
    </w:pPr>
    <w:rPr>
      <w:b/>
    </w:rPr>
  </w:style>
  <w:style w:type="paragraph" w:customStyle="1" w:styleId="NormalHanging12a">
    <w:name w:val="NormalHanging12a"/>
    <w:basedOn w:val="Normal"/>
    <w:uiPriority w:val="99"/>
    <w:qFormat/>
    <w:rsid w:val="00EE0743"/>
    <w:pPr>
      <w:spacing w:after="240"/>
      <w:ind w:left="567" w:hanging="567"/>
    </w:pPr>
  </w:style>
  <w:style w:type="paragraph" w:customStyle="1" w:styleId="NormalBold">
    <w:name w:val="NormalBold"/>
    <w:basedOn w:val="Normal"/>
    <w:uiPriority w:val="99"/>
    <w:rsid w:val="00EE0743"/>
    <w:rPr>
      <w:b/>
    </w:rPr>
  </w:style>
  <w:style w:type="character" w:styleId="Hyperlink">
    <w:name w:val="Hyperlink"/>
    <w:basedOn w:val="DefaultParagraphFont"/>
    <w:uiPriority w:val="99"/>
    <w:rsid w:val="00EE0743"/>
    <w:rPr>
      <w:color w:val="0563C1" w:themeColor="hyperlink"/>
      <w:u w:val="single"/>
    </w:rPr>
  </w:style>
  <w:style w:type="paragraph" w:styleId="NormalWeb">
    <w:name w:val="Normal (Web)"/>
    <w:basedOn w:val="Normal"/>
    <w:uiPriority w:val="99"/>
    <w:unhideWhenUsed/>
    <w:rsid w:val="00EE0743"/>
    <w:pPr>
      <w:widowControl/>
      <w:spacing w:before="100" w:beforeAutospacing="1" w:after="100" w:afterAutospacing="1"/>
    </w:pPr>
    <w:rPr>
      <w:szCs w:val="24"/>
    </w:rPr>
  </w:style>
  <w:style w:type="paragraph" w:styleId="Revision">
    <w:name w:val="Revision"/>
    <w:hidden/>
    <w:uiPriority w:val="99"/>
    <w:semiHidden/>
    <w:rsid w:val="00451831"/>
    <w:rPr>
      <w:sz w:val="24"/>
      <w:lang w:val="sv-SE"/>
    </w:rPr>
  </w:style>
  <w:style w:type="character" w:styleId="UnresolvedMention">
    <w:name w:val="Unresolved Mention"/>
    <w:basedOn w:val="DefaultParagraphFont"/>
    <w:uiPriority w:val="99"/>
    <w:semiHidden/>
    <w:unhideWhenUsed/>
    <w:rsid w:val="00451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sv"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sv/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2026-01-29T10:34:00Z</dcterms:created>
  <dcterms:modified xsi:type="dcterms:W3CDTF">2026-01-29T10:34:00Z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B10-0559/2025</vt:lpwstr>
  </property>
  <property fmtid="{D5CDD505-2E9C-101B-9397-08002B2CF9AE}" pid="4" name="&lt;Type&gt;">
    <vt:lpwstr>RR</vt:lpwstr>
  </property>
</Properties>
</file>