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0135" w14:paraId="462A98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0398FB" w14:textId="77777777" w:rsidR="00751A4A" w:rsidRPr="00A90135" w:rsidRDefault="00A50FF3" w:rsidP="0010095E">
            <w:pPr>
              <w:pStyle w:val="EPName"/>
            </w:pPr>
            <w:r w:rsidRPr="00A90135">
              <w:t>Evropský parlament</w:t>
            </w:r>
          </w:p>
          <w:p w14:paraId="6A10830A" w14:textId="77777777" w:rsidR="00751A4A" w:rsidRPr="00A901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0135">
              <w:t>2024</w:t>
            </w:r>
            <w:r w:rsidR="00817416" w:rsidRPr="00A90135">
              <w:t>-202</w:t>
            </w:r>
            <w:r w:rsidRPr="00A90135">
              <w:t>9</w:t>
            </w:r>
          </w:p>
        </w:tc>
        <w:tc>
          <w:tcPr>
            <w:tcW w:w="2268" w:type="dxa"/>
            <w:shd w:val="clear" w:color="auto" w:fill="auto"/>
          </w:tcPr>
          <w:p w14:paraId="167FF6C5" w14:textId="77777777" w:rsidR="00751A4A" w:rsidRPr="00A90135" w:rsidRDefault="00187494" w:rsidP="0010095E">
            <w:pPr>
              <w:pStyle w:val="EPLogo"/>
            </w:pPr>
            <w:r w:rsidRPr="00A90135">
              <w:rPr>
                <w:noProof/>
                <w:lang w:eastAsia="ja-JP"/>
              </w:rPr>
              <w:drawing>
                <wp:inline distT="0" distB="0" distL="0" distR="0" wp14:anchorId="3056494E" wp14:editId="794706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336FB1" w14:textId="77777777" w:rsidR="00D058B8" w:rsidRPr="00A90135" w:rsidRDefault="00D058B8" w:rsidP="004C5D52">
      <w:pPr>
        <w:pStyle w:val="LineTop"/>
      </w:pPr>
    </w:p>
    <w:p w14:paraId="2F50C6FF" w14:textId="77777777" w:rsidR="00680577" w:rsidRPr="00A90135" w:rsidRDefault="00A50FF3" w:rsidP="00680577">
      <w:pPr>
        <w:pStyle w:val="EPBodyTA1"/>
      </w:pPr>
      <w:r w:rsidRPr="00A90135">
        <w:t>PŘIJATÉ TEXTY</w:t>
      </w:r>
    </w:p>
    <w:p w14:paraId="48EEFB7A" w14:textId="77777777" w:rsidR="00D058B8" w:rsidRPr="00A90135" w:rsidRDefault="00D058B8" w:rsidP="00D058B8">
      <w:pPr>
        <w:pStyle w:val="LineBottom"/>
      </w:pPr>
    </w:p>
    <w:p w14:paraId="1332652B" w14:textId="59BC1A01" w:rsidR="00A50FF3" w:rsidRPr="00A90135" w:rsidRDefault="00A50FF3" w:rsidP="00A50FF3">
      <w:pPr>
        <w:pStyle w:val="ATHeading1"/>
      </w:pPr>
      <w:bookmarkStart w:id="0" w:name="TANumber"/>
      <w:r w:rsidRPr="00A90135">
        <w:t>P10_</w:t>
      </w:r>
      <w:proofErr w:type="gramStart"/>
      <w:r w:rsidRPr="00A90135">
        <w:t>TA(</w:t>
      </w:r>
      <w:proofErr w:type="gramEnd"/>
      <w:r w:rsidRPr="00A90135">
        <w:t>2025)0</w:t>
      </w:r>
      <w:r w:rsidR="003B7359">
        <w:t>329</w:t>
      </w:r>
      <w:bookmarkEnd w:id="0"/>
    </w:p>
    <w:p w14:paraId="0F5FE10A" w14:textId="7E8DA948" w:rsidR="00A50FF3" w:rsidRPr="00A90135" w:rsidRDefault="00930EF9" w:rsidP="00930EF9">
      <w:pPr>
        <w:pStyle w:val="ATHeading2"/>
      </w:pPr>
      <w:bookmarkStart w:id="1" w:name="_Hlk216858150"/>
      <w:r w:rsidRPr="00930EF9">
        <w:t>Nevyslovení námitky vůči aktu v přenesené pravomoci:</w:t>
      </w:r>
      <w:r>
        <w:t xml:space="preserve"> </w:t>
      </w:r>
      <w:r w:rsidR="00D80583">
        <w:t xml:space="preserve">CBAM: </w:t>
      </w:r>
      <w:r w:rsidR="00D80583" w:rsidRPr="00D80583">
        <w:t>podmín</w:t>
      </w:r>
      <w:r w:rsidR="00D80583">
        <w:t>ky</w:t>
      </w:r>
      <w:r w:rsidR="00D80583" w:rsidRPr="00D80583">
        <w:t xml:space="preserve"> pro udělení akreditace</w:t>
      </w:r>
    </w:p>
    <w:bookmarkEnd w:id="1"/>
    <w:p w14:paraId="6C48FBDF" w14:textId="77777777" w:rsidR="00A50FF3" w:rsidRPr="00A90135" w:rsidRDefault="00A50FF3" w:rsidP="00A50FF3">
      <w:pPr>
        <w:rPr>
          <w:i/>
          <w:vanish/>
        </w:rPr>
      </w:pPr>
      <w:r w:rsidRPr="00A90135">
        <w:rPr>
          <w:i/>
        </w:rPr>
        <w:fldChar w:fldCharType="begin"/>
      </w:r>
      <w:r w:rsidRPr="00A90135">
        <w:rPr>
          <w:i/>
        </w:rPr>
        <w:instrText xml:space="preserve"> TC"(</w:instrText>
      </w:r>
      <w:bookmarkStart w:id="2" w:name="DocNumber"/>
      <w:r w:rsidRPr="00A90135">
        <w:rPr>
          <w:i/>
        </w:rPr>
        <w:instrText>B10-0565/2025</w:instrText>
      </w:r>
      <w:bookmarkEnd w:id="2"/>
      <w:r w:rsidRPr="00A90135">
        <w:rPr>
          <w:i/>
        </w:rPr>
        <w:instrText xml:space="preserve">)"\l3 \n&gt; \* MERGEFORMAT </w:instrText>
      </w:r>
      <w:r w:rsidRPr="00A90135">
        <w:rPr>
          <w:i/>
        </w:rPr>
        <w:fldChar w:fldCharType="end"/>
      </w:r>
    </w:p>
    <w:p w14:paraId="46F37F8A" w14:textId="77777777" w:rsidR="00A50FF3" w:rsidRPr="00A90135" w:rsidRDefault="00A50FF3" w:rsidP="00A50FF3">
      <w:pPr>
        <w:rPr>
          <w:vanish/>
        </w:rPr>
      </w:pPr>
      <w:bookmarkStart w:id="3" w:name="PE"/>
      <w:r w:rsidRPr="00A90135">
        <w:rPr>
          <w:vanish/>
        </w:rPr>
        <w:t>PE779.817</w:t>
      </w:r>
      <w:bookmarkEnd w:id="3"/>
    </w:p>
    <w:p w14:paraId="0670AFC5" w14:textId="74F61846" w:rsidR="00A50FF3" w:rsidRPr="00A90135" w:rsidRDefault="00A50FF3" w:rsidP="00A50FF3">
      <w:pPr>
        <w:pStyle w:val="ATHeading3"/>
      </w:pPr>
      <w:bookmarkStart w:id="4" w:name="Sujet"/>
      <w:r w:rsidRPr="00A90135">
        <w:t>Rozhodnutí Evropského parlamentu nevyslovit námitku vůči nařízení Komise v přenesené pravomoci ze dne 20. listopadu 2025, kterým se doplňuje nařízení Evropského parlamentu a Rady (EU) 2023/956 upřesněním podmínek pro udělení akreditace ověřovatelům, kontrolu a dohled nad akreditovanými ověřovateli, odnětí akreditace a vzájemné uznávání a vzájemné hodnocení akreditačních orgánů</w:t>
      </w:r>
      <w:bookmarkEnd w:id="4"/>
      <w:r w:rsidRPr="00A90135">
        <w:t xml:space="preserve"> </w:t>
      </w:r>
      <w:bookmarkStart w:id="5" w:name="References"/>
      <w:r w:rsidRPr="00A90135">
        <w:t>(</w:t>
      </w:r>
      <w:proofErr w:type="gramStart"/>
      <w:r w:rsidRPr="00A90135">
        <w:t>C(</w:t>
      </w:r>
      <w:proofErr w:type="gramEnd"/>
      <w:r w:rsidRPr="00A90135">
        <w:t>2025)07845 – 2025/2997(DEA))</w:t>
      </w:r>
      <w:bookmarkEnd w:id="5"/>
    </w:p>
    <w:p w14:paraId="2D31D576" w14:textId="77777777" w:rsidR="00C16321" w:rsidRPr="00A90135" w:rsidRDefault="00C16321" w:rsidP="00C16321">
      <w:pPr>
        <w:pStyle w:val="EPComma"/>
      </w:pPr>
      <w:bookmarkStart w:id="6" w:name="TextBodyBegin"/>
      <w:bookmarkEnd w:id="6"/>
      <w:r w:rsidRPr="00A90135">
        <w:rPr>
          <w:i/>
        </w:rPr>
        <w:t>Evropský parlament</w:t>
      </w:r>
      <w:r w:rsidRPr="00A90135">
        <w:t>,</w:t>
      </w:r>
    </w:p>
    <w:p w14:paraId="6BD6CE5B" w14:textId="77777777" w:rsidR="00C16321" w:rsidRPr="00A90135" w:rsidRDefault="00C16321" w:rsidP="00C16321">
      <w:pPr>
        <w:pStyle w:val="NormalHanging12a"/>
      </w:pPr>
      <w:r w:rsidRPr="00A90135">
        <w:t>–</w:t>
      </w:r>
      <w:r w:rsidRPr="00A90135">
        <w:tab/>
        <w:t>s ohledem na nařízení Komise v přenesené pravomoci ze dne 20. listopadu 2025, kterým se doplňuje nařízení Evropského parlamentu a Rady (EU) 2023/956 upřesněním podmínek pro udělení akreditace ověřovatelům, kontrolu a dohled nad akreditovanými ověřovateli, odnětí akreditace a vzájemné uznávání a vzájemné hodnocení akreditačních orgánů (</w:t>
      </w:r>
      <w:proofErr w:type="gramStart"/>
      <w:r w:rsidRPr="00A90135">
        <w:t>C(</w:t>
      </w:r>
      <w:proofErr w:type="gramEnd"/>
      <w:r w:rsidRPr="00A90135">
        <w:t>2025)07845),</w:t>
      </w:r>
    </w:p>
    <w:p w14:paraId="2AB765A2" w14:textId="77777777" w:rsidR="00C16321" w:rsidRPr="00A90135" w:rsidRDefault="00C16321" w:rsidP="00C16321">
      <w:pPr>
        <w:pStyle w:val="NormalHanging12a"/>
      </w:pPr>
      <w:r w:rsidRPr="00A90135">
        <w:t>–</w:t>
      </w:r>
      <w:r w:rsidRPr="00A90135">
        <w:tab/>
        <w:t>s ohledem na dopis Komise ze dne 24. listopadu 2025, kterým Komise žádá Evropský parlament, aby uvedl, že nevysloví námitku k nařízení přenesené pravomoci ze dne 20. listopadu 2025,</w:t>
      </w:r>
    </w:p>
    <w:p w14:paraId="58C2B2F8" w14:textId="77777777" w:rsidR="00C16321" w:rsidRPr="00A90135" w:rsidRDefault="00C16321" w:rsidP="00C16321">
      <w:pPr>
        <w:pStyle w:val="NormalHanging12a"/>
      </w:pPr>
      <w:r w:rsidRPr="00A90135">
        <w:t>–</w:t>
      </w:r>
      <w:r w:rsidRPr="00A90135">
        <w:tab/>
        <w:t>s ohledem na dopis Výboru pro životní prostředí, klima a bezpečnost potravin předsedovi Konference předsedů ze dne 4. prosince 2025,</w:t>
      </w:r>
    </w:p>
    <w:p w14:paraId="4058B9FF" w14:textId="77777777" w:rsidR="00C16321" w:rsidRPr="00A90135" w:rsidRDefault="00C16321" w:rsidP="00C16321">
      <w:pPr>
        <w:pStyle w:val="NormalHanging12a"/>
      </w:pPr>
      <w:r w:rsidRPr="00A90135">
        <w:t>–</w:t>
      </w:r>
      <w:r w:rsidRPr="00A90135">
        <w:tab/>
        <w:t>s ohledem na článek 290 Smlouvy o fungování Evropské unie,</w:t>
      </w:r>
    </w:p>
    <w:p w14:paraId="26E446AD" w14:textId="77777777" w:rsidR="00C16321" w:rsidRPr="00A90135" w:rsidRDefault="00C16321" w:rsidP="00C16321">
      <w:pPr>
        <w:pStyle w:val="NormalHanging12a"/>
      </w:pPr>
      <w:r w:rsidRPr="00A90135">
        <w:t>–</w:t>
      </w:r>
      <w:r w:rsidRPr="00A90135">
        <w:tab/>
        <w:t>s ohledem na nařízení Evropského parlamentu a Rady (EU) 2023/956 ze dne 10. května 2023, kterým se zavádí mechanismus uhlíkového vyrovnání</w:t>
      </w:r>
      <w:r w:rsidRPr="00A90135">
        <w:rPr>
          <w:rStyle w:val="FootnoteReference"/>
        </w:rPr>
        <w:footnoteReference w:id="1"/>
      </w:r>
      <w:r w:rsidRPr="00A90135">
        <w:t xml:space="preserve"> na hranicích, a zejména na čl. 18 odst. 3 a čl. 28 odst. 7 uvedeného nařízení,</w:t>
      </w:r>
    </w:p>
    <w:p w14:paraId="1E7828ED" w14:textId="77777777" w:rsidR="00C16321" w:rsidRPr="00A90135" w:rsidRDefault="00C16321" w:rsidP="00C16321">
      <w:pPr>
        <w:pStyle w:val="NormalHanging12a"/>
      </w:pPr>
      <w:r w:rsidRPr="00A90135">
        <w:t>–</w:t>
      </w:r>
      <w:r w:rsidRPr="00A90135">
        <w:tab/>
        <w:t>s ohledem na čl. 114 odst. 6 jednacího řádu,</w:t>
      </w:r>
    </w:p>
    <w:p w14:paraId="02C6C9EB" w14:textId="77777777" w:rsidR="00C16321" w:rsidRDefault="00C16321" w:rsidP="00C16321">
      <w:pPr>
        <w:pStyle w:val="NormalHanging12a"/>
      </w:pPr>
      <w:r w:rsidRPr="00A90135">
        <w:t>–</w:t>
      </w:r>
      <w:r w:rsidRPr="00A90135">
        <w:tab/>
        <w:t xml:space="preserve">s ohledem na doporučení k rozhodnutí, jež vydal Výbor pro životní prostředí, klima </w:t>
      </w:r>
      <w:r w:rsidRPr="00A90135">
        <w:lastRenderedPageBreak/>
        <w:t>a bezpečnost potravin,</w:t>
      </w:r>
    </w:p>
    <w:p w14:paraId="6FE731D3" w14:textId="7EC72151" w:rsidR="00D80583" w:rsidRPr="00A90135" w:rsidRDefault="00D80583" w:rsidP="00C16321">
      <w:pPr>
        <w:pStyle w:val="NormalHanging12a"/>
      </w:pPr>
      <w:r w:rsidRPr="00D80583">
        <w:t>–</w:t>
      </w:r>
      <w:r w:rsidRPr="00D80583">
        <w:tab/>
        <w:t xml:space="preserve">s ohledem na to, že ve lhůtě stanovené v čl. 114 odst. 6 třetí a čtvrté odrážce jednacího řádu, která uplynula dne </w:t>
      </w:r>
      <w:r>
        <w:t>16</w:t>
      </w:r>
      <w:r w:rsidRPr="00D80583">
        <w:t xml:space="preserve">. </w:t>
      </w:r>
      <w:r>
        <w:t>prosince</w:t>
      </w:r>
      <w:r w:rsidRPr="00D80583">
        <w:t xml:space="preserve"> 2025, nebyly vysloveny žádné námitky,</w:t>
      </w:r>
    </w:p>
    <w:p w14:paraId="1F3CEA3B" w14:textId="77777777" w:rsidR="00C16321" w:rsidRPr="00A90135" w:rsidRDefault="00C16321" w:rsidP="00C16321">
      <w:pPr>
        <w:pStyle w:val="NormalHanging12a"/>
      </w:pPr>
      <w:r w:rsidRPr="00A90135">
        <w:t>A.</w:t>
      </w:r>
      <w:r w:rsidRPr="00A90135">
        <w:tab/>
        <w:t>vzhledem k tomu, že nařízení (EU) 2023/956 zavádí mechanismus uhlíkového vyrovnání na hranicích („CBAM“) s cílem řešit emise skleníkových plynů obsažené v určitém zboží dováženém na celní území Unie, aby se zabránilo riziku úniku uhlíku a vytvořily se pobídky ke snižování celosvětových emisí uhlíku;</w:t>
      </w:r>
    </w:p>
    <w:p w14:paraId="7EF29334" w14:textId="77777777" w:rsidR="00C16321" w:rsidRPr="00A90135" w:rsidRDefault="00C16321" w:rsidP="00C16321">
      <w:pPr>
        <w:pStyle w:val="NormalHanging12a"/>
      </w:pPr>
      <w:r w:rsidRPr="00A90135">
        <w:t>B.</w:t>
      </w:r>
      <w:r w:rsidRPr="00A90135">
        <w:tab/>
        <w:t xml:space="preserve">vzhledem k tomu, že podle nařízení (EU) 2023/956 </w:t>
      </w:r>
      <w:proofErr w:type="gramStart"/>
      <w:r w:rsidRPr="00A90135">
        <w:t>ověří</w:t>
      </w:r>
      <w:proofErr w:type="gramEnd"/>
      <w:r w:rsidRPr="00A90135">
        <w:t xml:space="preserve"> emise ověřovatel, pokud jsou emise obsažené ve zboží dovezeném na celní území Unie od roku 2026 stanoveny na základě skutečných hodnot;</w:t>
      </w:r>
    </w:p>
    <w:p w14:paraId="3B062475" w14:textId="77777777" w:rsidR="00C16321" w:rsidRPr="00A90135" w:rsidRDefault="00C16321" w:rsidP="00C16321">
      <w:pPr>
        <w:pStyle w:val="NormalHanging12a"/>
      </w:pPr>
      <w:r w:rsidRPr="00A90135">
        <w:t>C.</w:t>
      </w:r>
      <w:r w:rsidRPr="00A90135">
        <w:tab/>
        <w:t>vzhledem k tomu, že čl. 18 odst. 3 nařízení (EU) 2023/956 svěřuje Komisi pravomoc přijímat akty v přenesené pravomoci za účelem doplnění tohoto nařízení upřesněním podmínek pro udělení akreditace podle čl. 18 odst. 2 tohoto nařízení, pro kontrolu a dohled nad akreditovanými ověřovateli, pro odnětí akreditace a pro vzájemné uznávání a vzájemné hodnocení akreditačních orgánů;</w:t>
      </w:r>
    </w:p>
    <w:p w14:paraId="75B16C00" w14:textId="77777777" w:rsidR="00C16321" w:rsidRPr="00A90135" w:rsidRDefault="00C16321" w:rsidP="00C16321">
      <w:pPr>
        <w:pStyle w:val="NormalHanging12a"/>
      </w:pPr>
      <w:r w:rsidRPr="00A90135">
        <w:t>D.</w:t>
      </w:r>
      <w:r w:rsidRPr="00A90135">
        <w:tab/>
        <w:t>vzhledem k tomu, že Komise dne 20. listopadu 2025 předložila Parlamentu nařízení Komise v přenesené pravomoci, čímž začala běžet dvouměsíční lhůta pro přezkum, během níž může Parlament vyslovit proti tomuto nařízení námitku;</w:t>
      </w:r>
    </w:p>
    <w:p w14:paraId="3289317D" w14:textId="77777777" w:rsidR="00C16321" w:rsidRPr="00A90135" w:rsidRDefault="00C16321" w:rsidP="00C16321">
      <w:pPr>
        <w:pStyle w:val="NormalHanging12a"/>
      </w:pPr>
      <w:r w:rsidRPr="00A90135">
        <w:t>E.</w:t>
      </w:r>
      <w:r w:rsidRPr="00A90135">
        <w:tab/>
        <w:t>vzhledem k tomu, že nařízení Komise v přenesené pravomoci stanoví podmínky, za nichž vnitrostátní akreditační orgány udělí akreditaci pro účely CBAM na základě podpůrné dokumentace, kterou předložil žadatel, a na základě schopnosti žadatele uplatňovat zásady ověřování; vzhledem k tomu, že nařízení Komise v přenesené pravomoci rovněž stanoví podmínky pro kontrolu akreditovaných ověřovatelů a dohled nad nimi a za tímto účelem upřesňuje požadavky a ověřovací činnosti ověřovatelů, použitelná správní opatření, včetně odnětí akreditace, jakož i výměnu informací mezi vnitrostátními akreditačními orgány, příslušnými vnitrostátními orgány a Evropskou komisí. vzhledem k tomu, že konečně nařízení Komise v přenesené pravomoci stanoví podmínky pro vzájemné uznávání a vzájemné hodnocení vnitrostátních akreditačních orgánů, včetně veškerých nezbytných nápravných opatření členských států;</w:t>
      </w:r>
    </w:p>
    <w:p w14:paraId="543C5B0E" w14:textId="77777777" w:rsidR="00C16321" w:rsidRPr="00A90135" w:rsidRDefault="00C16321" w:rsidP="00C16321">
      <w:pPr>
        <w:pStyle w:val="NormalHanging12a"/>
      </w:pPr>
      <w:r w:rsidRPr="00A90135">
        <w:t>F.</w:t>
      </w:r>
      <w:r w:rsidRPr="00A90135">
        <w:tab/>
        <w:t>vzhledem k tomu, že v souladu s čl. 36 odst. 2 písm. b) nařízení (EU) 2023/956 se ustanovení týkající se fungování mechanismu uhlíkového vyrovnání na hranicích použijí od 1. ledna 2026, po skončení přechodného období; vzhledem k tomu, že tato ustanovení nemohou fungovat, aniž by nařízení Komise v přenesené pravomoci bylo použitelné od 1. ledna 2026;</w:t>
      </w:r>
    </w:p>
    <w:p w14:paraId="2A7E0F57" w14:textId="77777777" w:rsidR="00C16321" w:rsidRPr="00A90135" w:rsidRDefault="00C16321" w:rsidP="00C16321">
      <w:pPr>
        <w:pStyle w:val="NormalHanging12a"/>
      </w:pPr>
      <w:r w:rsidRPr="00A90135">
        <w:t>1.</w:t>
      </w:r>
      <w:r w:rsidRPr="00A90135">
        <w:tab/>
        <w:t>prohlašuje, že nevysloví námitku vůči nařízení Komise v přenesené pravomoci;</w:t>
      </w:r>
    </w:p>
    <w:p w14:paraId="411F3B9F" w14:textId="17B055DE" w:rsidR="005D1B6B" w:rsidRPr="00A90135" w:rsidRDefault="00C16321" w:rsidP="005D1B6B">
      <w:pPr>
        <w:pStyle w:val="NormalHanging12a"/>
      </w:pPr>
      <w:r w:rsidRPr="00A90135">
        <w:t>2.</w:t>
      </w:r>
      <w:r w:rsidRPr="00A90135">
        <w:tab/>
        <w:t>pověřuje svou předsedkyni, aby předala toto usnesení Radě a Komisi.</w:t>
      </w:r>
    </w:p>
    <w:p w14:paraId="66422770" w14:textId="3B794E50" w:rsidR="00E365E1" w:rsidRPr="00A90135" w:rsidRDefault="00E365E1" w:rsidP="00A50FF3"/>
    <w:sectPr w:rsidR="00E365E1" w:rsidRPr="00A90135" w:rsidSect="005D1B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8816A" w14:textId="77777777" w:rsidR="00A50FF3" w:rsidRPr="005D1B6B" w:rsidRDefault="00A50FF3">
      <w:r w:rsidRPr="005D1B6B">
        <w:separator/>
      </w:r>
    </w:p>
  </w:endnote>
  <w:endnote w:type="continuationSeparator" w:id="0">
    <w:p w14:paraId="275C5B95" w14:textId="77777777" w:rsidR="00A50FF3" w:rsidRPr="005D1B6B" w:rsidRDefault="00A50FF3">
      <w:r w:rsidRPr="005D1B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4A981" w14:textId="77777777" w:rsidR="00064002" w:rsidRPr="005D1B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DE382" w14:textId="77777777" w:rsidR="00064002" w:rsidRPr="005D1B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28101" w14:textId="77777777" w:rsidR="00064002" w:rsidRPr="005D1B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1E11B" w14:textId="77777777" w:rsidR="00A50FF3" w:rsidRPr="005D1B6B" w:rsidRDefault="00A50FF3">
      <w:r w:rsidRPr="005D1B6B">
        <w:separator/>
      </w:r>
    </w:p>
  </w:footnote>
  <w:footnote w:type="continuationSeparator" w:id="0">
    <w:p w14:paraId="606F87E5" w14:textId="77777777" w:rsidR="00A50FF3" w:rsidRPr="005D1B6B" w:rsidRDefault="00A50FF3">
      <w:r w:rsidRPr="005D1B6B">
        <w:continuationSeparator/>
      </w:r>
    </w:p>
  </w:footnote>
  <w:footnote w:id="1">
    <w:p w14:paraId="1CD78187" w14:textId="12FEDB9E" w:rsidR="00C16321" w:rsidRPr="005D1B6B" w:rsidRDefault="00C16321" w:rsidP="005D1B6B">
      <w:pPr>
        <w:pStyle w:val="FootnoteText"/>
        <w:ind w:left="567" w:hanging="567"/>
        <w:rPr>
          <w:sz w:val="24"/>
          <w:lang w:val="cs-CZ"/>
        </w:rPr>
      </w:pPr>
      <w:r w:rsidRPr="005D1B6B">
        <w:rPr>
          <w:rStyle w:val="FootnoteReference"/>
          <w:sz w:val="24"/>
          <w:lang w:val="cs-CZ"/>
        </w:rPr>
        <w:footnoteRef/>
      </w:r>
      <w:r w:rsidR="005D1B6B" w:rsidRPr="005D1B6B">
        <w:rPr>
          <w:sz w:val="24"/>
          <w:lang w:val="cs-CZ"/>
        </w:rPr>
        <w:t xml:space="preserve"> </w:t>
      </w:r>
      <w:r w:rsidR="005D1B6B" w:rsidRPr="005D1B6B">
        <w:rPr>
          <w:sz w:val="24"/>
          <w:lang w:val="cs-CZ"/>
        </w:rPr>
        <w:tab/>
      </w:r>
      <w:proofErr w:type="spellStart"/>
      <w:r w:rsidRPr="005D1B6B">
        <w:rPr>
          <w:sz w:val="24"/>
          <w:lang w:val="cs-CZ"/>
        </w:rPr>
        <w:t>Úř</w:t>
      </w:r>
      <w:proofErr w:type="spellEnd"/>
      <w:r w:rsidRPr="005D1B6B">
        <w:rPr>
          <w:sz w:val="24"/>
          <w:lang w:val="cs-CZ"/>
        </w:rPr>
        <w:t xml:space="preserve">. </w:t>
      </w:r>
      <w:proofErr w:type="spellStart"/>
      <w:r w:rsidRPr="005D1B6B">
        <w:rPr>
          <w:sz w:val="24"/>
          <w:lang w:val="cs-CZ"/>
        </w:rPr>
        <w:t>věst</w:t>
      </w:r>
      <w:proofErr w:type="spellEnd"/>
      <w:r w:rsidRPr="005D1B6B">
        <w:rPr>
          <w:sz w:val="24"/>
          <w:lang w:val="cs-CZ"/>
        </w:rPr>
        <w:t>. L 130, 16.5.2023, s. 52, ELI: </w:t>
      </w:r>
      <w:hyperlink r:id="rId1" w:tooltip="Umožňuje přístup k tomuto dokumentu prostřednictvím jeho identifikátoru URI používaného v rámci ELI." w:history="1">
        <w:r w:rsidRPr="005D1B6B">
          <w:rPr>
            <w:rStyle w:val="Hyperlink"/>
            <w:sz w:val="24"/>
            <w:lang w:val="cs-CZ"/>
          </w:rPr>
          <w:t>http://data.europa.eu/eli/reg/2023/956/oj</w:t>
        </w:r>
      </w:hyperlink>
      <w:r w:rsidR="00D80583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1471" w14:textId="77777777" w:rsidR="00064002" w:rsidRPr="005D1B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B7893" w14:textId="77777777" w:rsidR="00064002" w:rsidRPr="005D1B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8A34A" w14:textId="77777777" w:rsidR="00064002" w:rsidRPr="005D1B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09245038">
    <w:abstractNumId w:val="9"/>
  </w:num>
  <w:num w:numId="2" w16cid:durableId="730419244">
    <w:abstractNumId w:val="9"/>
  </w:num>
  <w:num w:numId="3" w16cid:durableId="1767460026">
    <w:abstractNumId w:val="7"/>
  </w:num>
  <w:num w:numId="4" w16cid:durableId="1036348725">
    <w:abstractNumId w:val="7"/>
  </w:num>
  <w:num w:numId="5" w16cid:durableId="76171496">
    <w:abstractNumId w:val="6"/>
  </w:num>
  <w:num w:numId="6" w16cid:durableId="98527854">
    <w:abstractNumId w:val="6"/>
  </w:num>
  <w:num w:numId="7" w16cid:durableId="1597442533">
    <w:abstractNumId w:val="5"/>
  </w:num>
  <w:num w:numId="8" w16cid:durableId="1217862753">
    <w:abstractNumId w:val="5"/>
  </w:num>
  <w:num w:numId="9" w16cid:durableId="928461026">
    <w:abstractNumId w:val="4"/>
  </w:num>
  <w:num w:numId="10" w16cid:durableId="1285697483">
    <w:abstractNumId w:val="4"/>
  </w:num>
  <w:num w:numId="11" w16cid:durableId="1867673198">
    <w:abstractNumId w:val="8"/>
  </w:num>
  <w:num w:numId="12" w16cid:durableId="795174853">
    <w:abstractNumId w:val="8"/>
  </w:num>
  <w:num w:numId="13" w16cid:durableId="955335344">
    <w:abstractNumId w:val="3"/>
  </w:num>
  <w:num w:numId="14" w16cid:durableId="108936487">
    <w:abstractNumId w:val="3"/>
  </w:num>
  <w:num w:numId="15" w16cid:durableId="669866381">
    <w:abstractNumId w:val="2"/>
  </w:num>
  <w:num w:numId="16" w16cid:durableId="1083382035">
    <w:abstractNumId w:val="2"/>
  </w:num>
  <w:num w:numId="17" w16cid:durableId="82722820">
    <w:abstractNumId w:val="1"/>
  </w:num>
  <w:num w:numId="18" w16cid:durableId="1589465010">
    <w:abstractNumId w:val="1"/>
  </w:num>
  <w:num w:numId="19" w16cid:durableId="443885390">
    <w:abstractNumId w:val="0"/>
  </w:num>
  <w:num w:numId="20" w16cid:durableId="1675760434">
    <w:abstractNumId w:val="0"/>
  </w:num>
  <w:num w:numId="21" w16cid:durableId="1542356024">
    <w:abstractNumId w:val="9"/>
  </w:num>
  <w:num w:numId="22" w16cid:durableId="262997382">
    <w:abstractNumId w:val="7"/>
  </w:num>
  <w:num w:numId="23" w16cid:durableId="1784689373">
    <w:abstractNumId w:val="6"/>
  </w:num>
  <w:num w:numId="24" w16cid:durableId="547373711">
    <w:abstractNumId w:val="5"/>
  </w:num>
  <w:num w:numId="25" w16cid:durableId="1430276114">
    <w:abstractNumId w:val="4"/>
  </w:num>
  <w:num w:numId="26" w16cid:durableId="1078870657">
    <w:abstractNumId w:val="8"/>
  </w:num>
  <w:num w:numId="27" w16cid:durableId="2053338039">
    <w:abstractNumId w:val="3"/>
  </w:num>
  <w:num w:numId="28" w16cid:durableId="716858114">
    <w:abstractNumId w:val="2"/>
  </w:num>
  <w:num w:numId="29" w16cid:durableId="1629049309">
    <w:abstractNumId w:val="1"/>
  </w:num>
  <w:num w:numId="30" w16cid:durableId="289282011">
    <w:abstractNumId w:val="0"/>
  </w:num>
  <w:num w:numId="31" w16cid:durableId="1989938736">
    <w:abstractNumId w:val="9"/>
  </w:num>
  <w:num w:numId="32" w16cid:durableId="1358114900">
    <w:abstractNumId w:val="7"/>
  </w:num>
  <w:num w:numId="33" w16cid:durableId="2588575">
    <w:abstractNumId w:val="6"/>
  </w:num>
  <w:num w:numId="34" w16cid:durableId="1482038824">
    <w:abstractNumId w:val="5"/>
  </w:num>
  <w:num w:numId="35" w16cid:durableId="1089623545">
    <w:abstractNumId w:val="4"/>
  </w:num>
  <w:num w:numId="36" w16cid:durableId="2109499326">
    <w:abstractNumId w:val="8"/>
  </w:num>
  <w:num w:numId="37" w16cid:durableId="1098983739">
    <w:abstractNumId w:val="3"/>
  </w:num>
  <w:num w:numId="38" w16cid:durableId="2115317684">
    <w:abstractNumId w:val="2"/>
  </w:num>
  <w:num w:numId="39" w16cid:durableId="853885860">
    <w:abstractNumId w:val="1"/>
  </w:num>
  <w:num w:numId="40" w16cid:durableId="713240114">
    <w:abstractNumId w:val="0"/>
  </w:num>
  <w:num w:numId="41" w16cid:durableId="277418255">
    <w:abstractNumId w:val="10"/>
  </w:num>
  <w:num w:numId="42" w16cid:durableId="610432664">
    <w:abstractNumId w:val="10"/>
  </w:num>
  <w:num w:numId="43" w16cid:durableId="1146434945">
    <w:abstractNumId w:val="10"/>
  </w:num>
  <w:num w:numId="44" w16cid:durableId="619556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5/2025"/>
    <w:docVar w:name="dvlangue" w:val="CS"/>
    <w:docVar w:name="dvnumam" w:val="0"/>
    <w:docVar w:name="dvpe" w:val="779.817"/>
    <w:docVar w:name="dvtitre" w:val="Rozhodnutí Evropského parlamentu ze dne 17. prosince 2025 nevyslovit námitku vůči nařízení Komise v přenesené pravomoci ze dne 20. listopadu 2025, kterým se doplňuje nařízení Evropského parlamentu a Rady (EU) 2023/956 upřesněním podmínek pro udělení akreditace ověřovatelům, kontrolu a dohled nad akreditovanými ověřovateli, odnětí akreditace a vzájemné uznávání a vzájemné hodnocení akreditačních orgánů(C(2025)07845 – 2025/2997(DEA))"/>
  </w:docVars>
  <w:rsids>
    <w:rsidRoot w:val="00A50FF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52F7"/>
    <w:rsid w:val="003B7359"/>
    <w:rsid w:val="003E15D4"/>
    <w:rsid w:val="00411CCE"/>
    <w:rsid w:val="0041666E"/>
    <w:rsid w:val="00421060"/>
    <w:rsid w:val="00471C19"/>
    <w:rsid w:val="00481827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1B6B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4F81"/>
    <w:rsid w:val="00842779"/>
    <w:rsid w:val="00865F67"/>
    <w:rsid w:val="00881A7B"/>
    <w:rsid w:val="008840E5"/>
    <w:rsid w:val="00887B3E"/>
    <w:rsid w:val="008C2AC6"/>
    <w:rsid w:val="009131A5"/>
    <w:rsid w:val="00930C23"/>
    <w:rsid w:val="00930EF9"/>
    <w:rsid w:val="0093193B"/>
    <w:rsid w:val="009509D8"/>
    <w:rsid w:val="00950B64"/>
    <w:rsid w:val="00981893"/>
    <w:rsid w:val="00A1687D"/>
    <w:rsid w:val="00A43E52"/>
    <w:rsid w:val="00A4678D"/>
    <w:rsid w:val="00A50FF3"/>
    <w:rsid w:val="00A778C7"/>
    <w:rsid w:val="00A90135"/>
    <w:rsid w:val="00AB441E"/>
    <w:rsid w:val="00AB6293"/>
    <w:rsid w:val="00AE0928"/>
    <w:rsid w:val="00AF3B82"/>
    <w:rsid w:val="00B12E95"/>
    <w:rsid w:val="00B22876"/>
    <w:rsid w:val="00B44D1B"/>
    <w:rsid w:val="00B558F0"/>
    <w:rsid w:val="00BD48FE"/>
    <w:rsid w:val="00BD7BD8"/>
    <w:rsid w:val="00BE6ADC"/>
    <w:rsid w:val="00C05BFE"/>
    <w:rsid w:val="00C16321"/>
    <w:rsid w:val="00C23CD4"/>
    <w:rsid w:val="00C61C0C"/>
    <w:rsid w:val="00C941CB"/>
    <w:rsid w:val="00CC2357"/>
    <w:rsid w:val="00CF071A"/>
    <w:rsid w:val="00D058B8"/>
    <w:rsid w:val="00D56C11"/>
    <w:rsid w:val="00D8058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03"/>
    <w:rsid w:val="00F149E9"/>
    <w:rsid w:val="00F5134D"/>
    <w:rsid w:val="00F74202"/>
    <w:rsid w:val="00F87713"/>
    <w:rsid w:val="00FA51F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6AC08"/>
  <w15:chartTrackingRefBased/>
  <w15:docId w15:val="{4B103FD4-8B5E-4D67-A10F-CE7CA6A1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16321"/>
    <w:pPr>
      <w:spacing w:before="480" w:after="240"/>
    </w:pPr>
  </w:style>
  <w:style w:type="paragraph" w:customStyle="1" w:styleId="NormalHanging12a">
    <w:name w:val="NormalHanging12a"/>
    <w:basedOn w:val="Normal"/>
    <w:rsid w:val="00C16321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C1632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80583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3/95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2025-12-17T11:52:00Z</dcterms:created>
  <dcterms:modified xsi:type="dcterms:W3CDTF">2025-12-17T11:52:00Z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B10-0565/2025</vt:lpwstr>
  </property>
  <property fmtid="{D5CDD505-2E9C-101B-9397-08002B2CF9AE}" pid="4" name="&lt;Type&gt;">
    <vt:lpwstr>RR</vt:lpwstr>
  </property>
</Properties>
</file>