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5C21" w14:paraId="2C7194CE" w14:textId="77777777" w:rsidTr="0010095E">
        <w:trPr>
          <w:trHeight w:hRule="exact" w:val="1418"/>
        </w:trPr>
        <w:tc>
          <w:tcPr>
            <w:tcW w:w="6804" w:type="dxa"/>
            <w:shd w:val="clear" w:color="auto" w:fill="auto"/>
            <w:vAlign w:val="center"/>
          </w:tcPr>
          <w:p w14:paraId="348DD9E5" w14:textId="77777777" w:rsidR="00751A4A" w:rsidRPr="00095C21" w:rsidRDefault="001E1F95" w:rsidP="0010095E">
            <w:pPr>
              <w:pStyle w:val="EPName"/>
            </w:pPr>
            <w:r w:rsidRPr="00095C21">
              <w:t>Europa-Parlamentet</w:t>
            </w:r>
          </w:p>
          <w:p w14:paraId="40ECF132" w14:textId="77777777" w:rsidR="00751A4A" w:rsidRPr="00095C21" w:rsidRDefault="005F1B17" w:rsidP="005F1B17">
            <w:pPr>
              <w:pStyle w:val="EPTerm"/>
              <w:rPr>
                <w:rStyle w:val="HideTWBExt"/>
                <w:noProof w:val="0"/>
                <w:vanish w:val="0"/>
                <w:color w:val="auto"/>
              </w:rPr>
            </w:pPr>
            <w:r w:rsidRPr="00095C21">
              <w:t>2024</w:t>
            </w:r>
            <w:r w:rsidR="00817416" w:rsidRPr="00095C21">
              <w:t>-202</w:t>
            </w:r>
            <w:r w:rsidRPr="00095C21">
              <w:t>9</w:t>
            </w:r>
          </w:p>
        </w:tc>
        <w:tc>
          <w:tcPr>
            <w:tcW w:w="2268" w:type="dxa"/>
            <w:shd w:val="clear" w:color="auto" w:fill="auto"/>
          </w:tcPr>
          <w:p w14:paraId="5CEDDE2F" w14:textId="77777777" w:rsidR="00751A4A" w:rsidRPr="00095C21" w:rsidRDefault="00187494" w:rsidP="0010095E">
            <w:pPr>
              <w:pStyle w:val="EPLogo"/>
            </w:pPr>
            <w:r w:rsidRPr="00095C21">
              <w:rPr>
                <w:noProof/>
                <w:lang w:eastAsia="ja-JP"/>
              </w:rPr>
              <w:drawing>
                <wp:inline distT="0" distB="0" distL="0" distR="0" wp14:anchorId="711FE419" wp14:editId="6F7E96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66739C" w14:textId="77777777" w:rsidR="00D058B8" w:rsidRPr="00095C21" w:rsidRDefault="00D058B8" w:rsidP="004C5D52">
      <w:pPr>
        <w:pStyle w:val="LineTop"/>
      </w:pPr>
    </w:p>
    <w:p w14:paraId="216DFA2C" w14:textId="77777777" w:rsidR="00680577" w:rsidRPr="00095C21" w:rsidRDefault="001E1F95" w:rsidP="00680577">
      <w:pPr>
        <w:pStyle w:val="EPBodyTA1"/>
      </w:pPr>
      <w:r w:rsidRPr="00095C21">
        <w:t>VEDTAGNE TEKSTER</w:t>
      </w:r>
    </w:p>
    <w:p w14:paraId="13231CF0" w14:textId="77777777" w:rsidR="00D058B8" w:rsidRPr="00095C21" w:rsidRDefault="00D058B8" w:rsidP="00D058B8">
      <w:pPr>
        <w:pStyle w:val="LineBottom"/>
      </w:pPr>
    </w:p>
    <w:p w14:paraId="4519EA72" w14:textId="05B40076" w:rsidR="001E1F95" w:rsidRPr="00095C21" w:rsidRDefault="001E1F95" w:rsidP="001E1F95">
      <w:pPr>
        <w:pStyle w:val="ATHeading1"/>
      </w:pPr>
      <w:bookmarkStart w:id="0" w:name="TANumber"/>
      <w:r w:rsidRPr="00095C21">
        <w:t>P10_TA(2025)0</w:t>
      </w:r>
      <w:r w:rsidR="0012383F" w:rsidRPr="00095C21">
        <w:t>329</w:t>
      </w:r>
      <w:bookmarkEnd w:id="0"/>
    </w:p>
    <w:p w14:paraId="0E43E74A" w14:textId="3E7B9F3A" w:rsidR="001E1F95" w:rsidRPr="00095C21" w:rsidRDefault="00A66179" w:rsidP="001E1F95">
      <w:pPr>
        <w:pStyle w:val="ATHeading2"/>
      </w:pPr>
      <w:bookmarkStart w:id="1" w:name="title"/>
      <w:r w:rsidRPr="00095C21">
        <w:t xml:space="preserve">Afgørelse om ikke at gøre indsigelse mod en delegeret retsakt: </w:t>
      </w:r>
      <w:r w:rsidR="00201CA9" w:rsidRPr="00095C21">
        <w:t>CBAM:</w:t>
      </w:r>
      <w:r w:rsidR="001E1F95" w:rsidRPr="00095C21">
        <w:t xml:space="preserve"> betingelserne for akkreditering</w:t>
      </w:r>
      <w:bookmarkEnd w:id="1"/>
    </w:p>
    <w:p w14:paraId="5E0CCD7C" w14:textId="77777777" w:rsidR="001E1F95" w:rsidRPr="00095C21" w:rsidRDefault="001E1F95" w:rsidP="001E1F95">
      <w:pPr>
        <w:rPr>
          <w:i/>
          <w:vanish/>
        </w:rPr>
      </w:pPr>
      <w:r w:rsidRPr="00095C21">
        <w:rPr>
          <w:i/>
        </w:rPr>
        <w:fldChar w:fldCharType="begin"/>
      </w:r>
      <w:r w:rsidRPr="00095C21">
        <w:rPr>
          <w:i/>
        </w:rPr>
        <w:instrText xml:space="preserve"> TC"(</w:instrText>
      </w:r>
      <w:bookmarkStart w:id="2" w:name="DocNumber"/>
      <w:r w:rsidRPr="00095C21">
        <w:rPr>
          <w:i/>
        </w:rPr>
        <w:instrText>B10-0565/2025</w:instrText>
      </w:r>
      <w:bookmarkEnd w:id="2"/>
      <w:r w:rsidRPr="00095C21">
        <w:rPr>
          <w:i/>
        </w:rPr>
        <w:instrText xml:space="preserve">)"\l3 \n&gt; \* MERGEFORMAT </w:instrText>
      </w:r>
      <w:r w:rsidRPr="00095C21">
        <w:rPr>
          <w:i/>
        </w:rPr>
        <w:fldChar w:fldCharType="end"/>
      </w:r>
    </w:p>
    <w:p w14:paraId="2C33F274" w14:textId="77777777" w:rsidR="001E1F95" w:rsidRPr="00095C21" w:rsidRDefault="001E1F95" w:rsidP="001E1F95">
      <w:pPr>
        <w:rPr>
          <w:vanish/>
        </w:rPr>
      </w:pPr>
      <w:bookmarkStart w:id="3" w:name="PE"/>
      <w:r w:rsidRPr="00095C21">
        <w:rPr>
          <w:vanish/>
        </w:rPr>
        <w:t>PE779.817</w:t>
      </w:r>
      <w:bookmarkEnd w:id="3"/>
    </w:p>
    <w:p w14:paraId="5FE90EE6" w14:textId="56520E40" w:rsidR="001E1F95" w:rsidRPr="00095C21" w:rsidRDefault="001E1F95" w:rsidP="001E1F95">
      <w:pPr>
        <w:pStyle w:val="ATHeading3"/>
      </w:pPr>
      <w:bookmarkStart w:id="4" w:name="Sujet"/>
      <w:r w:rsidRPr="00095C21">
        <w:t xml:space="preserve">Europa-Parlamentets afgørelse om ikke at gøre indsigelse mod Kommissionens delegerede forordning af 20. november 2025 om supplerende regler til Europa-Parlamentets og Rådets forordning (EU) 2023/956 med henblik på præcisering af betingelserne for akkreditering af </w:t>
      </w:r>
      <w:proofErr w:type="spellStart"/>
      <w:r w:rsidRPr="00095C21">
        <w:t>verifikatorer</w:t>
      </w:r>
      <w:proofErr w:type="spellEnd"/>
      <w:r w:rsidRPr="00095C21">
        <w:t xml:space="preserve">, for kontrol af og tilsyn med akkrediterede </w:t>
      </w:r>
      <w:proofErr w:type="spellStart"/>
      <w:r w:rsidRPr="00095C21">
        <w:t>verifikatorer</w:t>
      </w:r>
      <w:proofErr w:type="spellEnd"/>
      <w:r w:rsidRPr="00095C21">
        <w:t>, for inddragelse af akkreditering og for gensidig anerkendelse og peerevaluering af akkrediteringsorganer</w:t>
      </w:r>
      <w:bookmarkEnd w:id="4"/>
      <w:r w:rsidRPr="00095C21">
        <w:t xml:space="preserve"> </w:t>
      </w:r>
      <w:bookmarkStart w:id="5" w:name="References"/>
      <w:r w:rsidRPr="00095C21">
        <w:t>(</w:t>
      </w:r>
      <w:proofErr w:type="gramStart"/>
      <w:r w:rsidRPr="00095C21">
        <w:t>C(</w:t>
      </w:r>
      <w:proofErr w:type="gramEnd"/>
      <w:r w:rsidRPr="00095C21">
        <w:t>2025)07845 – 2025/2997(DEA))</w:t>
      </w:r>
      <w:bookmarkEnd w:id="5"/>
    </w:p>
    <w:p w14:paraId="74A81EE9" w14:textId="77777777" w:rsidR="00D04CDF" w:rsidRPr="00095C21" w:rsidRDefault="00D04CDF" w:rsidP="00D04CDF">
      <w:pPr>
        <w:pStyle w:val="EPComma"/>
      </w:pPr>
      <w:bookmarkStart w:id="6" w:name="TextBodyBegin"/>
      <w:bookmarkEnd w:id="6"/>
      <w:r w:rsidRPr="00095C21">
        <w:rPr>
          <w:i/>
          <w:iCs/>
        </w:rPr>
        <w:t>Europa-Parlamentet,</w:t>
      </w:r>
    </w:p>
    <w:p w14:paraId="70B6B4D2" w14:textId="77777777" w:rsidR="00D04CDF" w:rsidRPr="00095C21" w:rsidRDefault="00D04CDF" w:rsidP="00D04CDF">
      <w:pPr>
        <w:pStyle w:val="NormalHanging12a"/>
      </w:pPr>
      <w:r w:rsidRPr="00095C21">
        <w:t>–</w:t>
      </w:r>
      <w:r w:rsidRPr="00095C21">
        <w:tab/>
        <w:t xml:space="preserve">der henviser til Kommissionens delegerede forordning af 20. november 2025 om supplerende regler til Europa-Parlamentets og Rådets forordning (EU) 2023/956 med henblik på præcisering af betingelserne for akkreditering af </w:t>
      </w:r>
      <w:proofErr w:type="spellStart"/>
      <w:r w:rsidRPr="00095C21">
        <w:t>verifikatorer</w:t>
      </w:r>
      <w:proofErr w:type="spellEnd"/>
      <w:r w:rsidRPr="00095C21">
        <w:t xml:space="preserve">, for kontrol af og tilsyn med akkrediterede </w:t>
      </w:r>
      <w:proofErr w:type="spellStart"/>
      <w:r w:rsidRPr="00095C21">
        <w:t>verifikatorer</w:t>
      </w:r>
      <w:proofErr w:type="spellEnd"/>
      <w:r w:rsidRPr="00095C21">
        <w:t>, for inddragelse af akkreditering og for gensidig anerkendelse og peerevaluering af akkrediteringsorganer (</w:t>
      </w:r>
      <w:proofErr w:type="gramStart"/>
      <w:r w:rsidRPr="00095C21">
        <w:t>C(</w:t>
      </w:r>
      <w:proofErr w:type="gramEnd"/>
      <w:r w:rsidRPr="00095C21">
        <w:t>2025)07845),</w:t>
      </w:r>
    </w:p>
    <w:p w14:paraId="2C43D6F3" w14:textId="77777777" w:rsidR="00D04CDF" w:rsidRPr="00095C21" w:rsidRDefault="00D04CDF" w:rsidP="00D04CDF">
      <w:pPr>
        <w:pStyle w:val="NormalHanging12a"/>
      </w:pPr>
      <w:r w:rsidRPr="00095C21">
        <w:t>–</w:t>
      </w:r>
      <w:r w:rsidRPr="00095C21">
        <w:tab/>
        <w:t>der henviser til Kommissionens skrivelse af 24. november 2025, hvori den anmoder Parlamentet om at erklære, at det ikke vil gøre indsigelse mod Kommissionens delegerede forordning af 20. november 2025,</w:t>
      </w:r>
    </w:p>
    <w:p w14:paraId="4199E917" w14:textId="77777777" w:rsidR="00D04CDF" w:rsidRPr="00095C21" w:rsidRDefault="00D04CDF" w:rsidP="00D04CDF">
      <w:pPr>
        <w:pStyle w:val="NormalHanging12a"/>
      </w:pPr>
      <w:r w:rsidRPr="00095C21">
        <w:t>–</w:t>
      </w:r>
      <w:r w:rsidRPr="00095C21">
        <w:tab/>
        <w:t>der henviser til skrivelse af 4. december 2025 fra Udvalget om Miljø, Klima og Fødevaresikkerhed til Udvalgsformandskonferencens formand,</w:t>
      </w:r>
    </w:p>
    <w:p w14:paraId="488FF5C4" w14:textId="77777777" w:rsidR="00D04CDF" w:rsidRPr="00095C21" w:rsidRDefault="00D04CDF" w:rsidP="00D04CDF">
      <w:pPr>
        <w:pStyle w:val="NormalHanging12a"/>
      </w:pPr>
      <w:r w:rsidRPr="00095C21">
        <w:t>–</w:t>
      </w:r>
      <w:r w:rsidRPr="00095C21">
        <w:tab/>
        <w:t>der henviser til artikel 290 i traktaten om Den Europæiske Unions funktionsmåde,</w:t>
      </w:r>
    </w:p>
    <w:p w14:paraId="55D434F2" w14:textId="77777777" w:rsidR="00D04CDF" w:rsidRPr="00095C21" w:rsidRDefault="00D04CDF" w:rsidP="00D04CDF">
      <w:pPr>
        <w:pStyle w:val="NormalHanging12a"/>
      </w:pPr>
      <w:r w:rsidRPr="00095C21">
        <w:t>–</w:t>
      </w:r>
      <w:r w:rsidRPr="00095C21">
        <w:tab/>
        <w:t>der henviser til Europa-Parlamentets og Rådets forordning (EU) 2023/956 af 10. maj 2023 om indførelse af en kulstofgrænsetilpasningsmekanisme</w:t>
      </w:r>
      <w:r w:rsidRPr="00095C21">
        <w:rPr>
          <w:rStyle w:val="FootnoteReference"/>
        </w:rPr>
        <w:footnoteReference w:id="1"/>
      </w:r>
      <w:r w:rsidRPr="00095C21">
        <w:t>, særlig artikel 18, stk. 3, og artikel 28, stk. 7,</w:t>
      </w:r>
    </w:p>
    <w:p w14:paraId="49001276" w14:textId="77777777" w:rsidR="00D04CDF" w:rsidRPr="00095C21" w:rsidRDefault="00D04CDF" w:rsidP="00D04CDF">
      <w:pPr>
        <w:pStyle w:val="NormalHanging12a"/>
      </w:pPr>
      <w:r w:rsidRPr="00095C21">
        <w:t>–</w:t>
      </w:r>
      <w:r w:rsidRPr="00095C21">
        <w:tab/>
        <w:t>der henviser til forretningsordenens artikel 114, stk. 6,</w:t>
      </w:r>
    </w:p>
    <w:p w14:paraId="22D11DF3" w14:textId="77777777" w:rsidR="00D04CDF" w:rsidRPr="00095C21" w:rsidRDefault="00D04CDF" w:rsidP="00D04CDF">
      <w:pPr>
        <w:pStyle w:val="NormalHanging12a"/>
      </w:pPr>
      <w:r w:rsidRPr="00095C21">
        <w:t>–</w:t>
      </w:r>
      <w:r w:rsidRPr="00095C21">
        <w:tab/>
        <w:t xml:space="preserve">der henviser til henstilling til afgørelse fra Udvalget om Miljø, Klima og </w:t>
      </w:r>
      <w:r w:rsidRPr="00095C21">
        <w:lastRenderedPageBreak/>
        <w:t>Fødevaresikkerhed,</w:t>
      </w:r>
    </w:p>
    <w:p w14:paraId="17B093CA" w14:textId="43195443" w:rsidR="00FD6995" w:rsidRPr="00095C21" w:rsidRDefault="00FD6995" w:rsidP="00D04CDF">
      <w:pPr>
        <w:pStyle w:val="NormalHanging12a"/>
      </w:pPr>
      <w:r w:rsidRPr="00095C21">
        <w:t>–</w:t>
      </w:r>
      <w:r w:rsidRPr="00095C21">
        <w:tab/>
        <w:t>der henviser til, at der ikke er gjort indsigelse inden for den frist, der er fastsat i forretningsordenens artikel 114, stk. 6, tredje og fjerde led, og som udløb den 16. december 2025,</w:t>
      </w:r>
    </w:p>
    <w:p w14:paraId="4B76A807" w14:textId="77777777" w:rsidR="00D04CDF" w:rsidRPr="00095C21" w:rsidRDefault="00D04CDF" w:rsidP="00D04CDF">
      <w:pPr>
        <w:pStyle w:val="NormalHanging12a"/>
      </w:pPr>
      <w:r w:rsidRPr="00095C21">
        <w:t>A.</w:t>
      </w:r>
      <w:r w:rsidRPr="00095C21">
        <w:tab/>
        <w:t>der henviser til, at der ved forordning (EU) 2023/956 oprettes en kulstofgrænsetilpasningsmekanisme (CBAM) til håndtering af de drivhusgasemissioner, der er indlejret i visse varer, der importeres til Unionens toldområde, med henblik på at forebygge risikoen for kulstoflækage og skabe incitamenter til at reducere de globale kulstofemissioner;</w:t>
      </w:r>
    </w:p>
    <w:p w14:paraId="2218E997" w14:textId="77777777" w:rsidR="00D04CDF" w:rsidRPr="00095C21" w:rsidRDefault="00D04CDF" w:rsidP="00D04CDF">
      <w:pPr>
        <w:pStyle w:val="NormalHanging12a"/>
      </w:pPr>
      <w:r w:rsidRPr="00095C21">
        <w:t>B.</w:t>
      </w:r>
      <w:r w:rsidRPr="00095C21">
        <w:tab/>
        <w:t xml:space="preserve">der henviser til, at i henhold til forordning (EU) 2023/956 skal indlejrede emissioner i varer, der importeres til Unionens toldområde fra 2026, verificeres af en </w:t>
      </w:r>
      <w:proofErr w:type="spellStart"/>
      <w:r w:rsidRPr="00095C21">
        <w:t>verifikator</w:t>
      </w:r>
      <w:proofErr w:type="spellEnd"/>
      <w:r w:rsidRPr="00095C21">
        <w:t>, når disse emissioner bestemmes på grundlag af faktiske værdier;</w:t>
      </w:r>
    </w:p>
    <w:p w14:paraId="30C5FF8D" w14:textId="77777777" w:rsidR="00D04CDF" w:rsidRPr="00095C21" w:rsidRDefault="00D04CDF" w:rsidP="00D04CDF">
      <w:pPr>
        <w:pStyle w:val="NormalHanging12a"/>
      </w:pPr>
      <w:r w:rsidRPr="00095C21">
        <w:t>C.</w:t>
      </w:r>
      <w:r w:rsidRPr="00095C21">
        <w:tab/>
        <w:t xml:space="preserve">der henviser til, at Kommissionen ved artikel 18, stk. 3, i forordning (EU) 2023/956 tillægges beføjelser til at vedtage delegerede retsakter med henblik på at supplere denne forordning ved at præcisere betingelserne for tildeling af akkreditering, jf. nævnte forordnings artikel 18, stk. 2, for kontrol af og tilsyn med akkrediterede </w:t>
      </w:r>
      <w:proofErr w:type="spellStart"/>
      <w:r w:rsidRPr="00095C21">
        <w:t>verifikatorer</w:t>
      </w:r>
      <w:proofErr w:type="spellEnd"/>
      <w:r w:rsidRPr="00095C21">
        <w:t>, for inddragelse af akkreditering og for gensidig anerkendelse og peerevaluering af akkrediteringsorganer;</w:t>
      </w:r>
    </w:p>
    <w:p w14:paraId="36E998D1" w14:textId="77777777" w:rsidR="00D04CDF" w:rsidRPr="00095C21" w:rsidRDefault="00D04CDF" w:rsidP="00D04CDF">
      <w:pPr>
        <w:pStyle w:val="NormalHanging12a"/>
      </w:pPr>
      <w:r w:rsidRPr="00095C21">
        <w:t>D.</w:t>
      </w:r>
      <w:r w:rsidRPr="00095C21">
        <w:tab/>
        <w:t>der henviser til, at Kommissionen den 20. november 2025 fremsendte den delegerede forordning til Parlamentet, hvilket åbnede en kontrolperiode på to måneder for Parlamentet til at gøre indsigelse mod denne delegerede forordning;</w:t>
      </w:r>
    </w:p>
    <w:p w14:paraId="3A98668A" w14:textId="77777777" w:rsidR="00D04CDF" w:rsidRPr="00095C21" w:rsidRDefault="00D04CDF" w:rsidP="00D04CDF">
      <w:pPr>
        <w:pStyle w:val="NormalHanging12a"/>
      </w:pPr>
      <w:r w:rsidRPr="00095C21">
        <w:t>E.</w:t>
      </w:r>
      <w:r w:rsidRPr="00095C21">
        <w:tab/>
        <w:t xml:space="preserve">der henviser til, at Kommissionens delegerede forordning præciserer betingelserne for de nationale akkrediteringsorganers tildeling af akkreditering til CBAM-formål på grundlag af dokumentation indsendt af ansøgeren og ansøgerens evne til at anvende verifikationsprincipperne; der henviser til, at Kommissionens delegerede forordning også præciserer betingelserne for kontrol af og tilsyn med akkrediterede </w:t>
      </w:r>
      <w:proofErr w:type="spellStart"/>
      <w:r w:rsidRPr="00095C21">
        <w:t>verifikatorer</w:t>
      </w:r>
      <w:proofErr w:type="spellEnd"/>
      <w:r w:rsidRPr="00095C21">
        <w:t xml:space="preserve"> og præciserer med henblik herpå de krav, der stilles til </w:t>
      </w:r>
      <w:proofErr w:type="spellStart"/>
      <w:r w:rsidRPr="00095C21">
        <w:t>verifikatorer</w:t>
      </w:r>
      <w:proofErr w:type="spellEnd"/>
      <w:r w:rsidRPr="00095C21">
        <w:t>, og de verifikationsaktiviteter, de skal udføre, de gældende administrative foranstaltninger, herunder inddragelse af akkreditering, samt den udveksling af oplysninger, der skal finde sted mellem de nationale akkrediteringsorganer, de nationale kompetente myndigheder og Kommissionen; der henviser til, at Kommissionens delegerede forordning endelig præciserer betingelserne for gensidig anerkendelse og peerevaluering af nationale akkrediteringsorganer, herunder de nødvendige korrigerende foranstaltninger, der skal træffes af medlemsstaterne;</w:t>
      </w:r>
    </w:p>
    <w:p w14:paraId="03A28318" w14:textId="77777777" w:rsidR="00D04CDF" w:rsidRPr="00095C21" w:rsidRDefault="00D04CDF" w:rsidP="00D04CDF">
      <w:pPr>
        <w:pStyle w:val="NormalHanging12a"/>
      </w:pPr>
      <w:r w:rsidRPr="00095C21">
        <w:t>F.</w:t>
      </w:r>
      <w:r w:rsidRPr="00095C21">
        <w:tab/>
        <w:t xml:space="preserve">der henviser til, at bestemmelserne vedrørende </w:t>
      </w:r>
      <w:proofErr w:type="spellStart"/>
      <w:r w:rsidRPr="00095C21">
        <w:t>CBAM's</w:t>
      </w:r>
      <w:proofErr w:type="spellEnd"/>
      <w:r w:rsidRPr="00095C21">
        <w:t xml:space="preserve"> funktion i henhold til artikel 36, stk. 2, litra b), i forordning (EU) 2023/956 finder anvendelse fra den 1. januar 2026 efter overgangsperiodens udløb; der henviser til, at disse bestemmelser ikke kan fungere, uden at Kommissionens delegerede forordning finder anvendelse fra den 1. januar 2026;</w:t>
      </w:r>
    </w:p>
    <w:p w14:paraId="0C8BE3B9" w14:textId="77777777" w:rsidR="00D04CDF" w:rsidRPr="00095C21" w:rsidRDefault="00D04CDF" w:rsidP="00D04CDF">
      <w:pPr>
        <w:pStyle w:val="NormalHanging12a"/>
      </w:pPr>
      <w:r w:rsidRPr="00095C21">
        <w:t>1.</w:t>
      </w:r>
      <w:r w:rsidRPr="00095C21">
        <w:tab/>
        <w:t>erklærer, at det ikke gør indsigelse mod Kommissionens delegerede forordning;</w:t>
      </w:r>
    </w:p>
    <w:p w14:paraId="7577930C" w14:textId="5AA69A69" w:rsidR="00E365E1" w:rsidRPr="00095C21" w:rsidRDefault="00D04CDF" w:rsidP="001F349A">
      <w:pPr>
        <w:ind w:left="567" w:hanging="567"/>
      </w:pPr>
      <w:r w:rsidRPr="00095C21">
        <w:t>2.</w:t>
      </w:r>
      <w:r w:rsidRPr="00095C21">
        <w:tab/>
        <w:t xml:space="preserve">pålægger sin formand at sende denne afgørelse til Rådet </w:t>
      </w:r>
      <w:r w:rsidR="00E776DD" w:rsidRPr="00095C21">
        <w:t>og Kommissionen.</w:t>
      </w:r>
    </w:p>
    <w:sectPr w:rsidR="00E365E1" w:rsidRPr="00095C21" w:rsidSect="00E776D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85775" w14:textId="77777777" w:rsidR="001E1F95" w:rsidRPr="00E776DD" w:rsidRDefault="001E1F95">
      <w:r w:rsidRPr="00E776DD">
        <w:separator/>
      </w:r>
    </w:p>
  </w:endnote>
  <w:endnote w:type="continuationSeparator" w:id="0">
    <w:p w14:paraId="64CDF402" w14:textId="77777777" w:rsidR="001E1F95" w:rsidRPr="00E776DD" w:rsidRDefault="001E1F95">
      <w:r w:rsidRPr="00E776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532A" w14:textId="77777777" w:rsidR="00064002" w:rsidRPr="00E776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0FFF" w14:textId="77777777" w:rsidR="00064002" w:rsidRPr="00E776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8BD3" w14:textId="77777777" w:rsidR="00064002" w:rsidRPr="00E776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76439" w14:textId="77777777" w:rsidR="001E1F95" w:rsidRPr="00E776DD" w:rsidRDefault="001E1F95">
      <w:r w:rsidRPr="00E776DD">
        <w:separator/>
      </w:r>
    </w:p>
  </w:footnote>
  <w:footnote w:type="continuationSeparator" w:id="0">
    <w:p w14:paraId="5D1276D6" w14:textId="77777777" w:rsidR="001E1F95" w:rsidRPr="00E776DD" w:rsidRDefault="001E1F95">
      <w:r w:rsidRPr="00E776DD">
        <w:continuationSeparator/>
      </w:r>
    </w:p>
  </w:footnote>
  <w:footnote w:id="1">
    <w:p w14:paraId="0FB3ED00" w14:textId="4D7E4800" w:rsidR="00D04CDF" w:rsidRPr="00E776DD" w:rsidRDefault="00D04CDF" w:rsidP="00E776DD">
      <w:pPr>
        <w:pStyle w:val="FootnoteText"/>
        <w:ind w:left="567" w:hanging="567"/>
        <w:rPr>
          <w:sz w:val="24"/>
          <w:lang w:val="da-DK"/>
        </w:rPr>
      </w:pPr>
      <w:r w:rsidRPr="00E776DD">
        <w:rPr>
          <w:rStyle w:val="FootnoteReference"/>
          <w:sz w:val="24"/>
          <w:lang w:val="da-DK"/>
        </w:rPr>
        <w:footnoteRef/>
      </w:r>
      <w:r w:rsidR="00E776DD" w:rsidRPr="00E776DD">
        <w:rPr>
          <w:sz w:val="24"/>
          <w:lang w:val="da-DK"/>
        </w:rPr>
        <w:t xml:space="preserve"> </w:t>
      </w:r>
      <w:r w:rsidR="00E776DD" w:rsidRPr="00E776DD">
        <w:rPr>
          <w:sz w:val="24"/>
          <w:lang w:val="da-DK"/>
        </w:rPr>
        <w:tab/>
      </w:r>
      <w:r w:rsidRPr="00E776DD">
        <w:rPr>
          <w:sz w:val="24"/>
          <w:lang w:val="da-DK"/>
        </w:rPr>
        <w:t>EUT L 130</w:t>
      </w:r>
      <w:r w:rsidR="00FD6995">
        <w:rPr>
          <w:sz w:val="24"/>
          <w:lang w:val="da-DK"/>
        </w:rPr>
        <w:t xml:space="preserve"> af</w:t>
      </w:r>
      <w:r w:rsidRPr="00E776DD">
        <w:rPr>
          <w:sz w:val="24"/>
          <w:lang w:val="da-DK"/>
        </w:rPr>
        <w:t xml:space="preserve"> 16.5.2023, s. 52, ELI: </w:t>
      </w:r>
      <w:hyperlink r:id="rId1" w:tooltip="Giver adgang til dokumentet via dets ELI-URI." w:history="1">
        <w:r w:rsidRPr="00E776DD">
          <w:rPr>
            <w:rStyle w:val="Hyperlink"/>
            <w:sz w:val="24"/>
            <w:lang w:val="da-DK"/>
          </w:rPr>
          <w:t>http://data.europa.eu/eli/reg/2023/956/oj</w:t>
        </w:r>
      </w:hyperlink>
      <w:r w:rsidRPr="00E776DD">
        <w:rPr>
          <w:sz w:val="24"/>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CC1CE" w14:textId="77777777" w:rsidR="00064002" w:rsidRPr="00E776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DDC1A" w14:textId="77777777" w:rsidR="00064002" w:rsidRPr="00E776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A360" w14:textId="77777777" w:rsidR="00064002" w:rsidRPr="00E776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3706132">
    <w:abstractNumId w:val="9"/>
  </w:num>
  <w:num w:numId="2" w16cid:durableId="1900169568">
    <w:abstractNumId w:val="9"/>
  </w:num>
  <w:num w:numId="3" w16cid:durableId="1722049913">
    <w:abstractNumId w:val="7"/>
  </w:num>
  <w:num w:numId="4" w16cid:durableId="161967956">
    <w:abstractNumId w:val="7"/>
  </w:num>
  <w:num w:numId="5" w16cid:durableId="1128476685">
    <w:abstractNumId w:val="6"/>
  </w:num>
  <w:num w:numId="6" w16cid:durableId="1349211501">
    <w:abstractNumId w:val="6"/>
  </w:num>
  <w:num w:numId="7" w16cid:durableId="1928347006">
    <w:abstractNumId w:val="5"/>
  </w:num>
  <w:num w:numId="8" w16cid:durableId="1624262321">
    <w:abstractNumId w:val="5"/>
  </w:num>
  <w:num w:numId="9" w16cid:durableId="1501579953">
    <w:abstractNumId w:val="4"/>
  </w:num>
  <w:num w:numId="10" w16cid:durableId="507519778">
    <w:abstractNumId w:val="4"/>
  </w:num>
  <w:num w:numId="11" w16cid:durableId="1197038389">
    <w:abstractNumId w:val="8"/>
  </w:num>
  <w:num w:numId="12" w16cid:durableId="246380895">
    <w:abstractNumId w:val="8"/>
  </w:num>
  <w:num w:numId="13" w16cid:durableId="835418246">
    <w:abstractNumId w:val="3"/>
  </w:num>
  <w:num w:numId="14" w16cid:durableId="502357445">
    <w:abstractNumId w:val="3"/>
  </w:num>
  <w:num w:numId="15" w16cid:durableId="351492320">
    <w:abstractNumId w:val="2"/>
  </w:num>
  <w:num w:numId="16" w16cid:durableId="1400635654">
    <w:abstractNumId w:val="2"/>
  </w:num>
  <w:num w:numId="17" w16cid:durableId="421070989">
    <w:abstractNumId w:val="1"/>
  </w:num>
  <w:num w:numId="18" w16cid:durableId="662245765">
    <w:abstractNumId w:val="1"/>
  </w:num>
  <w:num w:numId="19" w16cid:durableId="1894850836">
    <w:abstractNumId w:val="0"/>
  </w:num>
  <w:num w:numId="20" w16cid:durableId="1411194746">
    <w:abstractNumId w:val="0"/>
  </w:num>
  <w:num w:numId="21" w16cid:durableId="2037466283">
    <w:abstractNumId w:val="9"/>
  </w:num>
  <w:num w:numId="22" w16cid:durableId="68314993">
    <w:abstractNumId w:val="7"/>
  </w:num>
  <w:num w:numId="23" w16cid:durableId="1772969244">
    <w:abstractNumId w:val="6"/>
  </w:num>
  <w:num w:numId="24" w16cid:durableId="1469320675">
    <w:abstractNumId w:val="5"/>
  </w:num>
  <w:num w:numId="25" w16cid:durableId="1885366595">
    <w:abstractNumId w:val="4"/>
  </w:num>
  <w:num w:numId="26" w16cid:durableId="107890812">
    <w:abstractNumId w:val="8"/>
  </w:num>
  <w:num w:numId="27" w16cid:durableId="1499341101">
    <w:abstractNumId w:val="3"/>
  </w:num>
  <w:num w:numId="28" w16cid:durableId="2119450722">
    <w:abstractNumId w:val="2"/>
  </w:num>
  <w:num w:numId="29" w16cid:durableId="854029957">
    <w:abstractNumId w:val="1"/>
  </w:num>
  <w:num w:numId="30" w16cid:durableId="1850289738">
    <w:abstractNumId w:val="0"/>
  </w:num>
  <w:num w:numId="31" w16cid:durableId="1825969423">
    <w:abstractNumId w:val="9"/>
  </w:num>
  <w:num w:numId="32" w16cid:durableId="108739916">
    <w:abstractNumId w:val="7"/>
  </w:num>
  <w:num w:numId="33" w16cid:durableId="642082051">
    <w:abstractNumId w:val="6"/>
  </w:num>
  <w:num w:numId="34" w16cid:durableId="166673111">
    <w:abstractNumId w:val="5"/>
  </w:num>
  <w:num w:numId="35" w16cid:durableId="637608794">
    <w:abstractNumId w:val="4"/>
  </w:num>
  <w:num w:numId="36" w16cid:durableId="759914471">
    <w:abstractNumId w:val="8"/>
  </w:num>
  <w:num w:numId="37" w16cid:durableId="1060133912">
    <w:abstractNumId w:val="3"/>
  </w:num>
  <w:num w:numId="38" w16cid:durableId="335545723">
    <w:abstractNumId w:val="2"/>
  </w:num>
  <w:num w:numId="39" w16cid:durableId="697316035">
    <w:abstractNumId w:val="1"/>
  </w:num>
  <w:num w:numId="40" w16cid:durableId="496925191">
    <w:abstractNumId w:val="0"/>
  </w:num>
  <w:num w:numId="41" w16cid:durableId="913390335">
    <w:abstractNumId w:val="10"/>
  </w:num>
  <w:num w:numId="42" w16cid:durableId="1200317049">
    <w:abstractNumId w:val="10"/>
  </w:num>
  <w:num w:numId="43" w16cid:durableId="1144617899">
    <w:abstractNumId w:val="10"/>
  </w:num>
  <w:num w:numId="44" w16cid:durableId="101389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5/2025"/>
    <w:docVar w:name="dvlangue" w:val="DA"/>
    <w:docVar w:name="dvnumam" w:val="0"/>
    <w:docVar w:name="dvpe" w:val="779.817"/>
    <w:docVar w:name="dvtitre" w:val="Europa-Parlamentets afgørelse af xx. december 2025 om ikke at gøre indsigelse mod Kommissionens delegerede forordning af 20. november 2025 om supplerende regler til Europa-Parlamentets og Rådets forordning (EU) 2023/956 med henblik på præcisering af betingelserne for akkreditering af verifikatorer, for kontrol af og tilsyn med akkrediterede verifikatorer, for inddragelse af akkreditering og for gensidig anerkendelse og peerevaluering af akkrediteringsorganer(C(2025)07845 – 2025/2997(DEA))"/>
  </w:docVars>
  <w:rsids>
    <w:rsidRoot w:val="001E1F95"/>
    <w:rsid w:val="00002272"/>
    <w:rsid w:val="00064002"/>
    <w:rsid w:val="000677B9"/>
    <w:rsid w:val="000831BA"/>
    <w:rsid w:val="00095C21"/>
    <w:rsid w:val="000A42CC"/>
    <w:rsid w:val="000E7DD9"/>
    <w:rsid w:val="0010095E"/>
    <w:rsid w:val="0012383F"/>
    <w:rsid w:val="00125B37"/>
    <w:rsid w:val="00187494"/>
    <w:rsid w:val="001E1F95"/>
    <w:rsid w:val="001F32AE"/>
    <w:rsid w:val="001F349A"/>
    <w:rsid w:val="00201CA9"/>
    <w:rsid w:val="002767FF"/>
    <w:rsid w:val="002B18FE"/>
    <w:rsid w:val="002B5493"/>
    <w:rsid w:val="00343214"/>
    <w:rsid w:val="00361C00"/>
    <w:rsid w:val="0039397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6179"/>
    <w:rsid w:val="00A778C7"/>
    <w:rsid w:val="00AB441E"/>
    <w:rsid w:val="00AB6293"/>
    <w:rsid w:val="00AE0928"/>
    <w:rsid w:val="00AF3B82"/>
    <w:rsid w:val="00B12E95"/>
    <w:rsid w:val="00B22876"/>
    <w:rsid w:val="00B558F0"/>
    <w:rsid w:val="00BD48FE"/>
    <w:rsid w:val="00BD7BD8"/>
    <w:rsid w:val="00BE6ADC"/>
    <w:rsid w:val="00C05BFE"/>
    <w:rsid w:val="00C23CD4"/>
    <w:rsid w:val="00C32486"/>
    <w:rsid w:val="00C61C0C"/>
    <w:rsid w:val="00C941CB"/>
    <w:rsid w:val="00CB0145"/>
    <w:rsid w:val="00CC2357"/>
    <w:rsid w:val="00CF071A"/>
    <w:rsid w:val="00D04CDF"/>
    <w:rsid w:val="00D058B8"/>
    <w:rsid w:val="00D56C11"/>
    <w:rsid w:val="00D834A0"/>
    <w:rsid w:val="00D872DF"/>
    <w:rsid w:val="00D91E21"/>
    <w:rsid w:val="00DA7FCD"/>
    <w:rsid w:val="00E365E1"/>
    <w:rsid w:val="00E776DD"/>
    <w:rsid w:val="00E820A4"/>
    <w:rsid w:val="00EB006A"/>
    <w:rsid w:val="00EB4772"/>
    <w:rsid w:val="00ED169E"/>
    <w:rsid w:val="00ED4235"/>
    <w:rsid w:val="00F04346"/>
    <w:rsid w:val="00F075DC"/>
    <w:rsid w:val="00F149E9"/>
    <w:rsid w:val="00F5134D"/>
    <w:rsid w:val="00F74202"/>
    <w:rsid w:val="00F87713"/>
    <w:rsid w:val="00FB4360"/>
    <w:rsid w:val="00FD0C70"/>
    <w:rsid w:val="00FD69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EC52F"/>
  <w15:chartTrackingRefBased/>
  <w15:docId w15:val="{498AD768-A249-4179-9E38-0A15F00B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4CDF"/>
    <w:pPr>
      <w:spacing w:before="480" w:after="240"/>
    </w:pPr>
  </w:style>
  <w:style w:type="paragraph" w:customStyle="1" w:styleId="NormalHanging12a">
    <w:name w:val="NormalHanging12a"/>
    <w:basedOn w:val="Normal"/>
    <w:rsid w:val="00D04CDF"/>
    <w:pPr>
      <w:spacing w:after="240"/>
      <w:ind w:left="567" w:hanging="567"/>
    </w:pPr>
  </w:style>
  <w:style w:type="character" w:styleId="Hyperlink">
    <w:name w:val="Hyperlink"/>
    <w:basedOn w:val="DefaultParagraphFont"/>
    <w:unhideWhenUsed/>
    <w:rsid w:val="00D04CDF"/>
    <w:rPr>
      <w:color w:val="0563C1" w:themeColor="hyperlink"/>
      <w:u w:val="single"/>
    </w:rPr>
  </w:style>
  <w:style w:type="paragraph" w:styleId="Revision">
    <w:name w:val="Revision"/>
    <w:hidden/>
    <w:uiPriority w:val="99"/>
    <w:semiHidden/>
    <w:rsid w:val="00201CA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4287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2025-12-17T10:38:00Z</dcterms:created>
  <dcterms:modified xsi:type="dcterms:W3CDTF">2025-12-17T10:38:00Z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P10_TA-PROV(2025)0000_B10-0565_2025_</vt:lpwstr>
  </property>
  <property fmtid="{D5CDD505-2E9C-101B-9397-08002B2CF9AE}" pid="4" name="&lt;Type&gt;">
    <vt:lpwstr>RR</vt:lpwstr>
  </property>
</Properties>
</file>