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1E2E" w14:paraId="62DF3E85" w14:textId="77777777" w:rsidTr="0010095E">
        <w:trPr>
          <w:trHeight w:hRule="exact" w:val="1418"/>
        </w:trPr>
        <w:tc>
          <w:tcPr>
            <w:tcW w:w="6804" w:type="dxa"/>
            <w:shd w:val="clear" w:color="auto" w:fill="auto"/>
            <w:vAlign w:val="center"/>
          </w:tcPr>
          <w:p w14:paraId="0E44DF23" w14:textId="77777777" w:rsidR="00751A4A" w:rsidRPr="00821E2E" w:rsidRDefault="006E4D8E" w:rsidP="0010095E">
            <w:pPr>
              <w:pStyle w:val="EPName"/>
            </w:pPr>
            <w:r w:rsidRPr="00821E2E">
              <w:t>Eiropas Parlaments</w:t>
            </w:r>
          </w:p>
          <w:p w14:paraId="0330F306" w14:textId="77777777" w:rsidR="00751A4A" w:rsidRPr="00821E2E" w:rsidRDefault="005F1B17" w:rsidP="005F1B17">
            <w:pPr>
              <w:pStyle w:val="EPTerm"/>
              <w:rPr>
                <w:rStyle w:val="HideTWBExt"/>
                <w:noProof w:val="0"/>
                <w:vanish w:val="0"/>
                <w:color w:val="auto"/>
              </w:rPr>
            </w:pPr>
            <w:r w:rsidRPr="00821E2E">
              <w:t>2024</w:t>
            </w:r>
            <w:r w:rsidR="00817416" w:rsidRPr="00821E2E">
              <w:t>-202</w:t>
            </w:r>
            <w:r w:rsidRPr="00821E2E">
              <w:t>9</w:t>
            </w:r>
          </w:p>
        </w:tc>
        <w:tc>
          <w:tcPr>
            <w:tcW w:w="2268" w:type="dxa"/>
            <w:shd w:val="clear" w:color="auto" w:fill="auto"/>
          </w:tcPr>
          <w:p w14:paraId="07E7CE3A" w14:textId="77777777" w:rsidR="00751A4A" w:rsidRPr="00821E2E" w:rsidRDefault="00187494" w:rsidP="0010095E">
            <w:pPr>
              <w:pStyle w:val="EPLogo"/>
            </w:pPr>
            <w:r w:rsidRPr="00821E2E">
              <w:rPr>
                <w:noProof/>
                <w:lang w:eastAsia="ja-JP"/>
              </w:rPr>
              <w:drawing>
                <wp:inline distT="0" distB="0" distL="0" distR="0" wp14:anchorId="658E0589" wp14:editId="14774C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6E4EAC" w14:textId="77777777" w:rsidR="00D058B8" w:rsidRPr="00821E2E" w:rsidRDefault="00D058B8" w:rsidP="004C5D52">
      <w:pPr>
        <w:pStyle w:val="LineTop"/>
      </w:pPr>
    </w:p>
    <w:p w14:paraId="07CCE94A" w14:textId="77777777" w:rsidR="00680577" w:rsidRPr="00821E2E" w:rsidRDefault="006E4D8E" w:rsidP="00680577">
      <w:pPr>
        <w:pStyle w:val="EPBodyTA1"/>
      </w:pPr>
      <w:r w:rsidRPr="00821E2E">
        <w:t>PIEŅEMTIE TEKSTI</w:t>
      </w:r>
    </w:p>
    <w:p w14:paraId="5B1E7653" w14:textId="77777777" w:rsidR="00D058B8" w:rsidRPr="00821E2E" w:rsidRDefault="00D058B8" w:rsidP="00D058B8">
      <w:pPr>
        <w:pStyle w:val="LineBottom"/>
      </w:pPr>
    </w:p>
    <w:p w14:paraId="3AAE4211" w14:textId="6DEB685F" w:rsidR="006E4D8E" w:rsidRPr="00821E2E" w:rsidRDefault="006E4D8E" w:rsidP="006E4D8E">
      <w:pPr>
        <w:pStyle w:val="ATHeading1"/>
      </w:pPr>
      <w:bookmarkStart w:id="0" w:name="TANumber"/>
      <w:r w:rsidRPr="00821E2E">
        <w:t>P10_TA(2025)0</w:t>
      </w:r>
      <w:bookmarkEnd w:id="0"/>
      <w:r w:rsidR="00821E2E" w:rsidRPr="00821E2E">
        <w:t>329</w:t>
      </w:r>
    </w:p>
    <w:p w14:paraId="4A295FF1" w14:textId="124EF7CD" w:rsidR="006E4D8E" w:rsidRPr="00821E2E" w:rsidRDefault="00672B53" w:rsidP="006E4D8E">
      <w:pPr>
        <w:pStyle w:val="ATHeading2"/>
      </w:pPr>
      <w:r w:rsidRPr="00821E2E">
        <w:t>Iebildumu neizteikšana pret deleģēto aktu: nosacījumi verificētāju akreditācijas piešķiršanai</w:t>
      </w:r>
    </w:p>
    <w:p w14:paraId="30526B41" w14:textId="77777777" w:rsidR="006E4D8E" w:rsidRPr="00821E2E" w:rsidRDefault="006E4D8E" w:rsidP="006E4D8E">
      <w:pPr>
        <w:rPr>
          <w:i/>
          <w:vanish/>
        </w:rPr>
      </w:pPr>
      <w:r w:rsidRPr="00821E2E">
        <w:rPr>
          <w:i/>
        </w:rPr>
        <w:fldChar w:fldCharType="begin"/>
      </w:r>
      <w:r w:rsidRPr="00821E2E">
        <w:rPr>
          <w:i/>
        </w:rPr>
        <w:instrText xml:space="preserve"> TC"(</w:instrText>
      </w:r>
      <w:bookmarkStart w:id="1" w:name="DocNumber"/>
      <w:r w:rsidRPr="00821E2E">
        <w:rPr>
          <w:i/>
        </w:rPr>
        <w:instrText>B10-0565/2025</w:instrText>
      </w:r>
      <w:bookmarkEnd w:id="1"/>
      <w:r w:rsidRPr="00821E2E">
        <w:rPr>
          <w:i/>
        </w:rPr>
        <w:instrText xml:space="preserve">)"\l3 \n&gt; \* MERGEFORMAT </w:instrText>
      </w:r>
      <w:r w:rsidRPr="00821E2E">
        <w:rPr>
          <w:i/>
        </w:rPr>
        <w:fldChar w:fldCharType="end"/>
      </w:r>
    </w:p>
    <w:p w14:paraId="64E97A1F" w14:textId="77777777" w:rsidR="006E4D8E" w:rsidRPr="00821E2E" w:rsidRDefault="006E4D8E" w:rsidP="006E4D8E">
      <w:pPr>
        <w:rPr>
          <w:vanish/>
        </w:rPr>
      </w:pPr>
      <w:bookmarkStart w:id="2" w:name="PE"/>
      <w:r w:rsidRPr="00821E2E">
        <w:rPr>
          <w:vanish/>
        </w:rPr>
        <w:t>PE779.817</w:t>
      </w:r>
      <w:bookmarkEnd w:id="2"/>
    </w:p>
    <w:p w14:paraId="6BFEEB79" w14:textId="65B9CF25" w:rsidR="006E4D8E" w:rsidRPr="00821E2E" w:rsidRDefault="006E4D8E" w:rsidP="006E4D8E">
      <w:pPr>
        <w:pStyle w:val="ATHeading3"/>
      </w:pPr>
      <w:bookmarkStart w:id="3" w:name="Sujet"/>
      <w:r w:rsidRPr="00821E2E">
        <w:t xml:space="preserve">Eiropas Parlamenta </w:t>
      </w:r>
      <w:r w:rsidR="009C2A7D" w:rsidRPr="00821E2E">
        <w:t>lēmums</w:t>
      </w:r>
      <w:r w:rsidRPr="00821E2E">
        <w:t xml:space="preserve"> par iebildumu neizteikšanu pret Komisijas 2025. gada 20. novembra deleģēto regulu, ar ko papildina Eiropas Parlamenta un Padomes Regulu (ES) 2023/956, precizējot nosacījumus verificētāju akreditācijas piešķiršanai, akreditēto verificētāju kontrolei un pārraudzībai, akreditācijas atsaukšanai un akreditācijas struktūru savstarpējai atzīšanai un salīdzinošai izvērtēšanai</w:t>
      </w:r>
      <w:bookmarkEnd w:id="3"/>
      <w:r w:rsidRPr="00821E2E">
        <w:t xml:space="preserve"> </w:t>
      </w:r>
      <w:bookmarkStart w:id="4" w:name="References"/>
      <w:r w:rsidRPr="00821E2E">
        <w:t>(C(2025)07845 – 2025/2997(DEA))</w:t>
      </w:r>
      <w:bookmarkEnd w:id="4"/>
    </w:p>
    <w:p w14:paraId="4AAE2A8B" w14:textId="77777777" w:rsidR="00401957" w:rsidRPr="00821E2E" w:rsidRDefault="00401957" w:rsidP="00401957">
      <w:pPr>
        <w:pStyle w:val="EPComma"/>
      </w:pPr>
      <w:bookmarkStart w:id="5" w:name="TextBodyBegin"/>
      <w:bookmarkEnd w:id="5"/>
      <w:r w:rsidRPr="00821E2E">
        <w:rPr>
          <w:i/>
        </w:rPr>
        <w:t>Eiropas Parlaments</w:t>
      </w:r>
      <w:r w:rsidRPr="00821E2E">
        <w:t>,</w:t>
      </w:r>
    </w:p>
    <w:p w14:paraId="16A2E686" w14:textId="77777777" w:rsidR="00401957" w:rsidRPr="00821E2E" w:rsidRDefault="00401957" w:rsidP="00401957">
      <w:pPr>
        <w:pStyle w:val="NormalHanging12a"/>
      </w:pPr>
      <w:r w:rsidRPr="00821E2E">
        <w:t>–</w:t>
      </w:r>
      <w:r w:rsidRPr="00821E2E">
        <w:tab/>
        <w:t>ņemot vērā Komisijas 2025. gada 20. novembra deleģēto regulu, ar ko papildina Eiropas Parlamenta un Padomes Regulu (ES) 2023/956, precizējot nosacījumus verificētāju akreditācijas piešķiršanai, akreditēto verificētāju kontrolei un pārraudzībai, akreditācijas atsaukšanai un akreditācijas struktūru savstarpējai atzīšanai un salīdzinošai izvērtēšanai (C(2025)07845),</w:t>
      </w:r>
    </w:p>
    <w:p w14:paraId="027255DC" w14:textId="77777777" w:rsidR="00401957" w:rsidRPr="00821E2E" w:rsidRDefault="00401957" w:rsidP="00401957">
      <w:pPr>
        <w:pStyle w:val="NormalHanging12a"/>
      </w:pPr>
      <w:r w:rsidRPr="00821E2E">
        <w:t>–</w:t>
      </w:r>
      <w:r w:rsidRPr="00821E2E">
        <w:tab/>
        <w:t>ņemot vērā Komisijas 2025. gada 24. novembra vēstuli, kurā tā lūdz paziņot, ka Parlaments neizteiks iebildumus pret Komisijas 2025. gada 20. novembra deleģēto regulu,</w:t>
      </w:r>
    </w:p>
    <w:p w14:paraId="77548EB8" w14:textId="77777777" w:rsidR="00401957" w:rsidRPr="00821E2E" w:rsidRDefault="00401957" w:rsidP="00401957">
      <w:pPr>
        <w:pStyle w:val="NormalHanging12a"/>
      </w:pPr>
      <w:r w:rsidRPr="00821E2E">
        <w:t>–</w:t>
      </w:r>
      <w:r w:rsidRPr="00821E2E">
        <w:tab/>
        <w:t>ņemot vērā Vides, klimata un pārtikas nekaitīguma komitejas 2025. gada 4. decembra vēstuli Komiteju priekšsēdētāju konferences priekšsēdētājam,</w:t>
      </w:r>
    </w:p>
    <w:p w14:paraId="01F412B9" w14:textId="77777777" w:rsidR="00401957" w:rsidRPr="00821E2E" w:rsidRDefault="00401957" w:rsidP="00401957">
      <w:pPr>
        <w:pStyle w:val="NormalHanging12a"/>
      </w:pPr>
      <w:r w:rsidRPr="00821E2E">
        <w:t>–</w:t>
      </w:r>
      <w:r w:rsidRPr="00821E2E">
        <w:tab/>
        <w:t>ņemot vērā Līguma par Eiropas Savienības darbību 290. pantu,</w:t>
      </w:r>
    </w:p>
    <w:p w14:paraId="0B7F0094" w14:textId="77777777" w:rsidR="00401957" w:rsidRPr="00821E2E" w:rsidRDefault="00401957" w:rsidP="00401957">
      <w:pPr>
        <w:pStyle w:val="NormalHanging12a"/>
      </w:pPr>
      <w:r w:rsidRPr="00821E2E">
        <w:t>–</w:t>
      </w:r>
      <w:r w:rsidRPr="00821E2E">
        <w:tab/>
        <w:t>ņemot vērā Eiropas Parlamenta un Padomes 2023. gada 10. maija Regulu (ES) 2023/956, ar ko izveido oglekļa ievedkorekcijas mehānismu</w:t>
      </w:r>
      <w:r w:rsidRPr="00821E2E">
        <w:rPr>
          <w:rStyle w:val="FootnoteReference"/>
        </w:rPr>
        <w:footnoteReference w:id="1"/>
      </w:r>
      <w:r w:rsidRPr="00821E2E">
        <w:t>, un jo īpaši tās 18. panta 3. punktu un 28. panta 7. punktu,</w:t>
      </w:r>
    </w:p>
    <w:p w14:paraId="2245D82E" w14:textId="77777777" w:rsidR="00401957" w:rsidRPr="00821E2E" w:rsidRDefault="00401957" w:rsidP="00401957">
      <w:pPr>
        <w:pStyle w:val="NormalHanging12a"/>
      </w:pPr>
      <w:r w:rsidRPr="00821E2E">
        <w:t>–</w:t>
      </w:r>
      <w:r w:rsidRPr="00821E2E">
        <w:tab/>
        <w:t>ņemot vērā Reglamenta 114. panta 6. punktu,</w:t>
      </w:r>
    </w:p>
    <w:p w14:paraId="6C831FD6" w14:textId="77777777" w:rsidR="00401957" w:rsidRPr="00821E2E" w:rsidRDefault="00401957" w:rsidP="00401957">
      <w:pPr>
        <w:pStyle w:val="NormalHanging12a"/>
      </w:pPr>
      <w:r w:rsidRPr="00821E2E">
        <w:t>–</w:t>
      </w:r>
      <w:r w:rsidRPr="00821E2E">
        <w:tab/>
        <w:t>ņemot vērā Vides, klimata un pārtikas nekaitīguma komitejas ieteikumu lēmumam,</w:t>
      </w:r>
    </w:p>
    <w:p w14:paraId="318F00C3" w14:textId="024519D5" w:rsidR="00672B53" w:rsidRPr="00821E2E" w:rsidRDefault="00672B53" w:rsidP="00401957">
      <w:pPr>
        <w:pStyle w:val="NormalHanging12a"/>
      </w:pPr>
      <w:r w:rsidRPr="00821E2E">
        <w:lastRenderedPageBreak/>
        <w:t>–</w:t>
      </w:r>
      <w:r w:rsidRPr="00821E2E">
        <w:tab/>
        <w:t>ņemot vērā to, ka netika izteikti iebildumi Reglamenta 114. panta 6. punkta trešajā un ceturtajā ievilkumā noteiktajā termiņā, kurš beidzās 2025. gada 16. decembrī,</w:t>
      </w:r>
    </w:p>
    <w:p w14:paraId="02797640" w14:textId="77777777" w:rsidR="0023104F" w:rsidRDefault="00401957" w:rsidP="00401957">
      <w:pPr>
        <w:pStyle w:val="NormalHanging12a"/>
      </w:pPr>
      <w:r w:rsidRPr="00821E2E">
        <w:t>A.</w:t>
      </w:r>
      <w:r w:rsidRPr="00821E2E">
        <w:tab/>
        <w:t>tā kā ar Regulu (ES) 2023/956 ir izveidots oglekļa ievedkorekcijas mehānismu (OIM), kas paredzēts, lai nolūkā novērst oglekļa emisiju pārvirzes risku mazinātu Savienības muitas teritorijā ievestās konkrētās precēs iegultās siltumnīcefekta gāzu emisijas un radītu stimulus globālo oglekļa emisiju samazināšanai;</w:t>
      </w:r>
    </w:p>
    <w:p w14:paraId="7D693C1A" w14:textId="391F57D6" w:rsidR="00401957" w:rsidRPr="00821E2E" w:rsidRDefault="00401957" w:rsidP="00401957">
      <w:pPr>
        <w:pStyle w:val="NormalHanging12a"/>
      </w:pPr>
      <w:r w:rsidRPr="00821E2E">
        <w:t>B.</w:t>
      </w:r>
      <w:r w:rsidRPr="00821E2E">
        <w:tab/>
        <w:t>tā kā saskaņā ar Regulu (ES) 2023/956, ja Savienības muitas teritorijā no 2026. gada importētajās precēs iegultās emisijas nosaka, pamatojoties uz faktiskajām vērtībām, tās verificē verificētājs;</w:t>
      </w:r>
    </w:p>
    <w:p w14:paraId="4933B47F" w14:textId="77777777" w:rsidR="00401957" w:rsidRPr="00821E2E" w:rsidRDefault="00401957" w:rsidP="00401957">
      <w:pPr>
        <w:pStyle w:val="NormalHanging12a"/>
      </w:pPr>
      <w:r w:rsidRPr="00821E2E">
        <w:t>C.</w:t>
      </w:r>
      <w:r w:rsidRPr="00821E2E">
        <w:tab/>
        <w:t>tā kā Regulas (ES) 2023/956 18. panta 3. punkts pilnvaro Komisiju pieņemt deleģētos aktus, lai minēto regulu papildinātu ar precizējošiem nosacījumiem par tās 18. panta 2. punktā minētās akreditācijas piešķiršanu, akreditēto verificētāju kontroli un pārraudzību, akreditācijas atsaukšanu un akreditācijas struktūru savstarpēju atzīšanu un salīdzinošu izvērtēšanu;</w:t>
      </w:r>
    </w:p>
    <w:p w14:paraId="5FA03A23" w14:textId="77777777" w:rsidR="00401957" w:rsidRPr="00821E2E" w:rsidRDefault="00401957" w:rsidP="00401957">
      <w:pPr>
        <w:pStyle w:val="NormalHanging12a"/>
      </w:pPr>
      <w:r w:rsidRPr="00821E2E">
        <w:t>D.</w:t>
      </w:r>
      <w:r w:rsidRPr="00821E2E">
        <w:tab/>
        <w:t>tā kā Komisija šo deleģēto regulu Parlamentam nosūtīja 2025. gada 20. novembrī, kad aizsākās divu mēnešu rūpīgo pārbaužu periods, kura laikā Parlaments var izteikt iebildumus pret minēto deleģēto regulu;</w:t>
      </w:r>
    </w:p>
    <w:p w14:paraId="20E32DEE" w14:textId="77777777" w:rsidR="00401957" w:rsidRPr="00821E2E" w:rsidRDefault="00401957" w:rsidP="00401957">
      <w:pPr>
        <w:pStyle w:val="NormalHanging12a"/>
      </w:pPr>
      <w:r w:rsidRPr="00821E2E">
        <w:t>E.</w:t>
      </w:r>
      <w:r w:rsidRPr="00821E2E">
        <w:tab/>
        <w:t>tā kā Komisijas deleģētajā regulā ir precizēti nosacījumi, saskaņā ar kuriem valsts akreditācijas struktūras piešķir akreditāciju OIM vajadzībām, pamatojoties uz pieteikuma iesniedzēja iesniegtajiem apliecinošajiem dokumentiem un pieteikuma iesniedzēja spēju piemērot verifikācijas principus; tā kā Komisijas deleģētajā regulā ir precizēti arī akreditēto verificētāju kontroles un pārraudzības nosacījumi un šajā nolūkā noteiktas prasības verificētājiem un to verifikācijas darbības, piemērojamie administratīvie pasākumi, tostarp akreditācijas atsaukšana, kā arī informācijas apmaiņa starp valsts akreditācijas struktūrām, valstu kompetentajām iestādēm un Komisiju; tā kā, visbeidzot, Komisijas deleģētajā regulā ir precizēti nosacījumi valsts akreditācijas struktūru savstarpējai atzīšanai un salīdzinošai izvērtēšanai, tostarp visi nepieciešamie dalībvalstu veiktie korektīvie pasākumi;</w:t>
      </w:r>
    </w:p>
    <w:p w14:paraId="4665B570" w14:textId="77777777" w:rsidR="00401957" w:rsidRPr="00821E2E" w:rsidRDefault="00401957" w:rsidP="00401957">
      <w:pPr>
        <w:pStyle w:val="NormalHanging12a"/>
      </w:pPr>
      <w:r w:rsidRPr="00821E2E">
        <w:t>F.</w:t>
      </w:r>
      <w:r w:rsidRPr="00821E2E">
        <w:tab/>
        <w:t>tā kā saskaņā ar Regulas (ES) 2023/956 36. panta 2. punkta b) apakšpunktu noteikumus par OIM darbību piemēros, sākot no 2026. gada 1. janvāra, pēc pārejas perioda beigām; tā kā minētos noteikumus nevar piemērot, ja Komisijas deleģētā regula nav piemērojama no 2026. gada 1. janvāra,</w:t>
      </w:r>
    </w:p>
    <w:p w14:paraId="46EE6972" w14:textId="77777777" w:rsidR="00401957" w:rsidRPr="00821E2E" w:rsidRDefault="00401957" w:rsidP="00401957">
      <w:pPr>
        <w:pStyle w:val="NormalHanging12a"/>
      </w:pPr>
      <w:r w:rsidRPr="00821E2E">
        <w:t>1.</w:t>
      </w:r>
      <w:r w:rsidRPr="00821E2E">
        <w:tab/>
        <w:t>paziņo, ka tas neizsaka iebildumus pret Komisijas deleģēto regulu;</w:t>
      </w:r>
    </w:p>
    <w:p w14:paraId="43501980" w14:textId="64E8B157" w:rsidR="003E7107" w:rsidRPr="00821E2E" w:rsidRDefault="00401957" w:rsidP="003E7107">
      <w:pPr>
        <w:pStyle w:val="NormalHanging12a"/>
      </w:pPr>
      <w:r w:rsidRPr="00821E2E">
        <w:t>2.</w:t>
      </w:r>
      <w:r w:rsidRPr="00821E2E">
        <w:tab/>
        <w:t>uzdod priekšsēdētājai šo lēmumu nosūtīt Padomei un Komisijai.</w:t>
      </w:r>
    </w:p>
    <w:p w14:paraId="1EE5A83A" w14:textId="4A713115" w:rsidR="00E365E1" w:rsidRPr="00821E2E" w:rsidRDefault="00E365E1" w:rsidP="006E4D8E"/>
    <w:sectPr w:rsidR="00E365E1" w:rsidRPr="00821E2E" w:rsidSect="003E71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A6E4F" w14:textId="77777777" w:rsidR="006E4D8E" w:rsidRPr="003E7107" w:rsidRDefault="006E4D8E">
      <w:r w:rsidRPr="003E7107">
        <w:separator/>
      </w:r>
    </w:p>
  </w:endnote>
  <w:endnote w:type="continuationSeparator" w:id="0">
    <w:p w14:paraId="680C3764" w14:textId="77777777" w:rsidR="006E4D8E" w:rsidRPr="003E7107" w:rsidRDefault="006E4D8E">
      <w:r w:rsidRPr="003E71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9137B" w14:textId="77777777" w:rsidR="00064002" w:rsidRPr="003E71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6FB6C" w14:textId="77777777" w:rsidR="00064002" w:rsidRPr="003E71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72D8F" w14:textId="77777777" w:rsidR="00064002" w:rsidRPr="003E71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DEBF8" w14:textId="77777777" w:rsidR="006E4D8E" w:rsidRPr="003E7107" w:rsidRDefault="006E4D8E">
      <w:r w:rsidRPr="003E7107">
        <w:separator/>
      </w:r>
    </w:p>
  </w:footnote>
  <w:footnote w:type="continuationSeparator" w:id="0">
    <w:p w14:paraId="67611C40" w14:textId="77777777" w:rsidR="006E4D8E" w:rsidRPr="003E7107" w:rsidRDefault="006E4D8E">
      <w:r w:rsidRPr="003E7107">
        <w:continuationSeparator/>
      </w:r>
    </w:p>
  </w:footnote>
  <w:footnote w:id="1">
    <w:p w14:paraId="5B015723" w14:textId="268EA95F" w:rsidR="00401957" w:rsidRPr="003E7107" w:rsidRDefault="00401957" w:rsidP="003E7107">
      <w:pPr>
        <w:pStyle w:val="FootnoteText"/>
        <w:ind w:left="567" w:hanging="567"/>
        <w:rPr>
          <w:sz w:val="24"/>
          <w:lang w:val="lv-LV"/>
        </w:rPr>
      </w:pPr>
      <w:r w:rsidRPr="003E7107">
        <w:rPr>
          <w:rStyle w:val="FootnoteReference"/>
          <w:sz w:val="24"/>
          <w:lang w:val="lv-LV"/>
        </w:rPr>
        <w:footnoteRef/>
      </w:r>
      <w:r w:rsidR="003E7107" w:rsidRPr="003E7107">
        <w:rPr>
          <w:sz w:val="24"/>
          <w:lang w:val="lv-LV"/>
        </w:rPr>
        <w:t xml:space="preserve"> </w:t>
      </w:r>
      <w:r w:rsidR="003E7107" w:rsidRPr="003E7107">
        <w:rPr>
          <w:sz w:val="24"/>
          <w:lang w:val="lv-LV"/>
        </w:rPr>
        <w:tab/>
      </w:r>
      <w:r w:rsidRPr="003E7107">
        <w:rPr>
          <w:sz w:val="24"/>
          <w:lang w:val="lv-LV"/>
        </w:rPr>
        <w:t>OV L 130, 16.5.2023., 52. lpp., ELI: </w:t>
      </w:r>
      <w:hyperlink r:id="rId1" w:tooltip="Nodrošina piekļuvi šim dokumentam pēc tā ELI URI." w:history="1">
        <w:r w:rsidRPr="003E7107">
          <w:rPr>
            <w:rStyle w:val="Hyperlink"/>
            <w:sz w:val="24"/>
            <w:lang w:val="lv-LV"/>
          </w:rPr>
          <w:t>http://data.europa.eu/eli/reg/2023/956/oj</w:t>
        </w:r>
      </w:hyperlink>
      <w:r w:rsidRPr="003E7107">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A08EC" w14:textId="77777777" w:rsidR="00064002" w:rsidRPr="003E71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2C500" w14:textId="77777777" w:rsidR="00064002" w:rsidRPr="003E71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D5F9" w14:textId="77777777" w:rsidR="00064002" w:rsidRPr="003E71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4511302">
    <w:abstractNumId w:val="9"/>
  </w:num>
  <w:num w:numId="2" w16cid:durableId="2052924447">
    <w:abstractNumId w:val="9"/>
  </w:num>
  <w:num w:numId="3" w16cid:durableId="1455320269">
    <w:abstractNumId w:val="7"/>
  </w:num>
  <w:num w:numId="4" w16cid:durableId="564416327">
    <w:abstractNumId w:val="7"/>
  </w:num>
  <w:num w:numId="5" w16cid:durableId="1090392343">
    <w:abstractNumId w:val="6"/>
  </w:num>
  <w:num w:numId="6" w16cid:durableId="1079910154">
    <w:abstractNumId w:val="6"/>
  </w:num>
  <w:num w:numId="7" w16cid:durableId="1391533022">
    <w:abstractNumId w:val="5"/>
  </w:num>
  <w:num w:numId="8" w16cid:durableId="830365375">
    <w:abstractNumId w:val="5"/>
  </w:num>
  <w:num w:numId="9" w16cid:durableId="147334256">
    <w:abstractNumId w:val="4"/>
  </w:num>
  <w:num w:numId="10" w16cid:durableId="1007636684">
    <w:abstractNumId w:val="4"/>
  </w:num>
  <w:num w:numId="11" w16cid:durableId="1130712473">
    <w:abstractNumId w:val="8"/>
  </w:num>
  <w:num w:numId="12" w16cid:durableId="668754604">
    <w:abstractNumId w:val="8"/>
  </w:num>
  <w:num w:numId="13" w16cid:durableId="2094006577">
    <w:abstractNumId w:val="3"/>
  </w:num>
  <w:num w:numId="14" w16cid:durableId="1581908774">
    <w:abstractNumId w:val="3"/>
  </w:num>
  <w:num w:numId="15" w16cid:durableId="1480882124">
    <w:abstractNumId w:val="2"/>
  </w:num>
  <w:num w:numId="16" w16cid:durableId="98448916">
    <w:abstractNumId w:val="2"/>
  </w:num>
  <w:num w:numId="17" w16cid:durableId="281612460">
    <w:abstractNumId w:val="1"/>
  </w:num>
  <w:num w:numId="18" w16cid:durableId="2088766694">
    <w:abstractNumId w:val="1"/>
  </w:num>
  <w:num w:numId="19" w16cid:durableId="1489789495">
    <w:abstractNumId w:val="0"/>
  </w:num>
  <w:num w:numId="20" w16cid:durableId="325519976">
    <w:abstractNumId w:val="0"/>
  </w:num>
  <w:num w:numId="21" w16cid:durableId="1125387333">
    <w:abstractNumId w:val="9"/>
  </w:num>
  <w:num w:numId="22" w16cid:durableId="1645772438">
    <w:abstractNumId w:val="7"/>
  </w:num>
  <w:num w:numId="23" w16cid:durableId="940796174">
    <w:abstractNumId w:val="6"/>
  </w:num>
  <w:num w:numId="24" w16cid:durableId="581842295">
    <w:abstractNumId w:val="5"/>
  </w:num>
  <w:num w:numId="25" w16cid:durableId="1092161657">
    <w:abstractNumId w:val="4"/>
  </w:num>
  <w:num w:numId="26" w16cid:durableId="774251794">
    <w:abstractNumId w:val="8"/>
  </w:num>
  <w:num w:numId="27" w16cid:durableId="94402091">
    <w:abstractNumId w:val="3"/>
  </w:num>
  <w:num w:numId="28" w16cid:durableId="1533304401">
    <w:abstractNumId w:val="2"/>
  </w:num>
  <w:num w:numId="29" w16cid:durableId="165900903">
    <w:abstractNumId w:val="1"/>
  </w:num>
  <w:num w:numId="30" w16cid:durableId="2017924826">
    <w:abstractNumId w:val="0"/>
  </w:num>
  <w:num w:numId="31" w16cid:durableId="616185200">
    <w:abstractNumId w:val="9"/>
  </w:num>
  <w:num w:numId="32" w16cid:durableId="2057700892">
    <w:abstractNumId w:val="7"/>
  </w:num>
  <w:num w:numId="33" w16cid:durableId="1007901636">
    <w:abstractNumId w:val="6"/>
  </w:num>
  <w:num w:numId="34" w16cid:durableId="1745951303">
    <w:abstractNumId w:val="5"/>
  </w:num>
  <w:num w:numId="35" w16cid:durableId="1249584772">
    <w:abstractNumId w:val="4"/>
  </w:num>
  <w:num w:numId="36" w16cid:durableId="318576905">
    <w:abstractNumId w:val="8"/>
  </w:num>
  <w:num w:numId="37" w16cid:durableId="1435132094">
    <w:abstractNumId w:val="3"/>
  </w:num>
  <w:num w:numId="38" w16cid:durableId="593050121">
    <w:abstractNumId w:val="2"/>
  </w:num>
  <w:num w:numId="39" w16cid:durableId="577061785">
    <w:abstractNumId w:val="1"/>
  </w:num>
  <w:num w:numId="40" w16cid:durableId="991641424">
    <w:abstractNumId w:val="0"/>
  </w:num>
  <w:num w:numId="41" w16cid:durableId="1553883566">
    <w:abstractNumId w:val="10"/>
  </w:num>
  <w:num w:numId="42" w16cid:durableId="1455169992">
    <w:abstractNumId w:val="10"/>
  </w:num>
  <w:num w:numId="43" w16cid:durableId="24722185">
    <w:abstractNumId w:val="10"/>
  </w:num>
  <w:num w:numId="44" w16cid:durableId="444493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LV"/>
    <w:docVar w:name="dvnumam" w:val="0"/>
    <w:docVar w:name="dvpe" w:val="779.817"/>
    <w:docVar w:name="dvtitre" w:val="Eiropas Parlamenta 2025. gada XX. XXX  rezolūcija par iebildumu neizteikšanu pret Komisijas 2025. gada 20. novembra deleģēto regulu, ar ko papildina Eiropas Parlamenta un Padomes Regulu (ES) 2023/956, precizējot nosacījumus verificētāju akreditācijas piešķiršanai, akreditēto verificētāju kontrolei un pārraudzībai, akreditācijas atsaukšanai un akreditācijas struktūru savstarpējai atzīšanai un salīdzinošai izvērtēšanai(C(2025)07845 – 2025/2997(DEA))"/>
  </w:docVars>
  <w:rsids>
    <w:rsidRoot w:val="006E4D8E"/>
    <w:rsid w:val="00002272"/>
    <w:rsid w:val="00064002"/>
    <w:rsid w:val="000677B9"/>
    <w:rsid w:val="000831BA"/>
    <w:rsid w:val="000A42CC"/>
    <w:rsid w:val="000E7DD9"/>
    <w:rsid w:val="0010095E"/>
    <w:rsid w:val="00125B37"/>
    <w:rsid w:val="00187494"/>
    <w:rsid w:val="001F32AE"/>
    <w:rsid w:val="0023104F"/>
    <w:rsid w:val="002767FF"/>
    <w:rsid w:val="002B18FE"/>
    <w:rsid w:val="002B5493"/>
    <w:rsid w:val="00343214"/>
    <w:rsid w:val="00361C00"/>
    <w:rsid w:val="00395FA1"/>
    <w:rsid w:val="003E15D4"/>
    <w:rsid w:val="003E7107"/>
    <w:rsid w:val="00401957"/>
    <w:rsid w:val="00411CCE"/>
    <w:rsid w:val="0041666E"/>
    <w:rsid w:val="00421060"/>
    <w:rsid w:val="00471C19"/>
    <w:rsid w:val="004867E3"/>
    <w:rsid w:val="00494A28"/>
    <w:rsid w:val="004A5F82"/>
    <w:rsid w:val="004C0004"/>
    <w:rsid w:val="004C5D52"/>
    <w:rsid w:val="0050519A"/>
    <w:rsid w:val="005072A1"/>
    <w:rsid w:val="00514517"/>
    <w:rsid w:val="00545827"/>
    <w:rsid w:val="00560270"/>
    <w:rsid w:val="005C2568"/>
    <w:rsid w:val="005F1B17"/>
    <w:rsid w:val="006037C0"/>
    <w:rsid w:val="006631B6"/>
    <w:rsid w:val="00672B53"/>
    <w:rsid w:val="00680577"/>
    <w:rsid w:val="006E4D8E"/>
    <w:rsid w:val="006F74FA"/>
    <w:rsid w:val="00731ADD"/>
    <w:rsid w:val="00734777"/>
    <w:rsid w:val="00747932"/>
    <w:rsid w:val="00751A4A"/>
    <w:rsid w:val="00756632"/>
    <w:rsid w:val="00762C74"/>
    <w:rsid w:val="00786EC0"/>
    <w:rsid w:val="007D1690"/>
    <w:rsid w:val="007E22AD"/>
    <w:rsid w:val="00817416"/>
    <w:rsid w:val="00821E2E"/>
    <w:rsid w:val="00842779"/>
    <w:rsid w:val="00865F67"/>
    <w:rsid w:val="00881A7B"/>
    <w:rsid w:val="008840E5"/>
    <w:rsid w:val="00887B3E"/>
    <w:rsid w:val="008C2AC6"/>
    <w:rsid w:val="00930C23"/>
    <w:rsid w:val="0093193B"/>
    <w:rsid w:val="009509D8"/>
    <w:rsid w:val="00950B64"/>
    <w:rsid w:val="00981893"/>
    <w:rsid w:val="009C2A7D"/>
    <w:rsid w:val="00A1687D"/>
    <w:rsid w:val="00A43E52"/>
    <w:rsid w:val="00A4678D"/>
    <w:rsid w:val="00A778C7"/>
    <w:rsid w:val="00A84261"/>
    <w:rsid w:val="00AB441E"/>
    <w:rsid w:val="00AB6293"/>
    <w:rsid w:val="00AE0928"/>
    <w:rsid w:val="00AF3B82"/>
    <w:rsid w:val="00B12E95"/>
    <w:rsid w:val="00B22876"/>
    <w:rsid w:val="00B558F0"/>
    <w:rsid w:val="00BA2A7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5A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B4196F"/>
  <w15:chartTrackingRefBased/>
  <w15:docId w15:val="{EA24F662-3CE4-4A36-ADA3-370097857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1957"/>
    <w:pPr>
      <w:spacing w:before="480" w:after="240"/>
    </w:pPr>
  </w:style>
  <w:style w:type="paragraph" w:customStyle="1" w:styleId="NormalHanging12a">
    <w:name w:val="NormalHanging12a"/>
    <w:basedOn w:val="Normal"/>
    <w:rsid w:val="00401957"/>
    <w:pPr>
      <w:spacing w:after="240"/>
      <w:ind w:left="567" w:hanging="567"/>
    </w:pPr>
  </w:style>
  <w:style w:type="character" w:styleId="Hyperlink">
    <w:name w:val="Hyperlink"/>
    <w:basedOn w:val="DefaultParagraphFont"/>
    <w:unhideWhenUsed/>
    <w:rsid w:val="00401957"/>
    <w:rPr>
      <w:color w:val="0563C1" w:themeColor="hyperlink"/>
      <w:u w:val="single"/>
    </w:rPr>
  </w:style>
  <w:style w:type="paragraph" w:styleId="Revision">
    <w:name w:val="Revision"/>
    <w:hidden/>
    <w:uiPriority w:val="99"/>
    <w:semiHidden/>
    <w:rsid w:val="00672B53"/>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535</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2026-01-28T10:23:00Z</dcterms:created>
  <dcterms:modified xsi:type="dcterms:W3CDTF">2026-01-28T10:23:00Z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B10-0565/2025</vt:lpwstr>
  </property>
  <property fmtid="{D5CDD505-2E9C-101B-9397-08002B2CF9AE}" pid="4" name="&lt;Type&gt;">
    <vt:lpwstr>RR</vt:lpwstr>
  </property>
</Properties>
</file>