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5EBA" w14:paraId="16EF842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90592F" w14:textId="77777777" w:rsidR="00751A4A" w:rsidRPr="00555EBA" w:rsidRDefault="0095608F" w:rsidP="0010095E">
            <w:pPr>
              <w:pStyle w:val="EPName"/>
            </w:pPr>
            <w:r w:rsidRPr="00555EBA">
              <w:t xml:space="preserve">Parlamento </w:t>
            </w:r>
            <w:proofErr w:type="gramStart"/>
            <w:r w:rsidRPr="00555EBA">
              <w:t>Europeu</w:t>
            </w:r>
            <w:proofErr w:type="gramEnd"/>
          </w:p>
          <w:p w14:paraId="64BA3411" w14:textId="77777777" w:rsidR="00751A4A" w:rsidRPr="00555EB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5EBA">
              <w:t>2024</w:t>
            </w:r>
            <w:r w:rsidR="00817416" w:rsidRPr="00555EBA">
              <w:t>-202</w:t>
            </w:r>
            <w:r w:rsidRPr="00555EBA">
              <w:t>9</w:t>
            </w:r>
          </w:p>
        </w:tc>
        <w:tc>
          <w:tcPr>
            <w:tcW w:w="2268" w:type="dxa"/>
            <w:shd w:val="clear" w:color="auto" w:fill="auto"/>
          </w:tcPr>
          <w:p w14:paraId="566C61C4" w14:textId="77777777" w:rsidR="00751A4A" w:rsidRPr="00555EBA" w:rsidRDefault="00187494" w:rsidP="0010095E">
            <w:pPr>
              <w:pStyle w:val="EPLogo"/>
            </w:pPr>
            <w:r w:rsidRPr="00555EBA">
              <w:rPr>
                <w:noProof/>
                <w:lang w:eastAsia="ja-JP"/>
              </w:rPr>
              <w:drawing>
                <wp:inline distT="0" distB="0" distL="0" distR="0" wp14:anchorId="22BB0B26" wp14:editId="7CA775E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ACBD5A" w14:textId="77777777" w:rsidR="00D058B8" w:rsidRPr="00555EBA" w:rsidRDefault="00D058B8" w:rsidP="004C5D52">
      <w:pPr>
        <w:pStyle w:val="LineTop"/>
      </w:pPr>
    </w:p>
    <w:p w14:paraId="66E91DF4" w14:textId="77777777" w:rsidR="00680577" w:rsidRPr="00555EBA" w:rsidRDefault="0095608F" w:rsidP="00680577">
      <w:pPr>
        <w:pStyle w:val="EPBodyTA1"/>
      </w:pPr>
      <w:r w:rsidRPr="00555EBA">
        <w:t>TEXTOS APROVADOS</w:t>
      </w:r>
    </w:p>
    <w:p w14:paraId="182F0803" w14:textId="77777777" w:rsidR="00D058B8" w:rsidRPr="00555EBA" w:rsidRDefault="00D058B8" w:rsidP="00D058B8">
      <w:pPr>
        <w:pStyle w:val="LineBottom"/>
      </w:pPr>
    </w:p>
    <w:p w14:paraId="5F5323EB" w14:textId="5DAA8567" w:rsidR="0095608F" w:rsidRPr="00555EBA" w:rsidRDefault="0095608F" w:rsidP="0095608F">
      <w:pPr>
        <w:pStyle w:val="ATHeading1"/>
      </w:pPr>
      <w:bookmarkStart w:id="0" w:name="TANumber"/>
      <w:r w:rsidRPr="00555EBA">
        <w:t>P10_</w:t>
      </w:r>
      <w:proofErr w:type="gramStart"/>
      <w:r w:rsidRPr="00555EBA">
        <w:t>TA(</w:t>
      </w:r>
      <w:proofErr w:type="gramEnd"/>
      <w:r w:rsidRPr="00555EBA">
        <w:t>2025)</w:t>
      </w:r>
      <w:bookmarkEnd w:id="0"/>
      <w:r w:rsidR="00555EBA" w:rsidRPr="00555EBA">
        <w:t>0</w:t>
      </w:r>
      <w:r w:rsidR="00555EBA" w:rsidRPr="00555EBA">
        <w:t>329</w:t>
      </w:r>
    </w:p>
    <w:p w14:paraId="1395DD7E" w14:textId="557C9726" w:rsidR="0095608F" w:rsidRPr="00555EBA" w:rsidRDefault="00B64A6D" w:rsidP="0095608F">
      <w:pPr>
        <w:pStyle w:val="ATHeading2"/>
      </w:pPr>
      <w:bookmarkStart w:id="1" w:name="title"/>
      <w:r w:rsidRPr="00555EBA">
        <w:t xml:space="preserve">Não objeção a um ato delegado: CBAM: </w:t>
      </w:r>
      <w:r w:rsidR="0095608F" w:rsidRPr="00555EBA">
        <w:t>condições para a concessão da acreditação</w:t>
      </w:r>
      <w:bookmarkEnd w:id="1"/>
    </w:p>
    <w:p w14:paraId="775EEC8F" w14:textId="77777777" w:rsidR="0095608F" w:rsidRPr="00555EBA" w:rsidRDefault="0095608F" w:rsidP="0095608F">
      <w:pPr>
        <w:rPr>
          <w:i/>
          <w:vanish/>
        </w:rPr>
      </w:pPr>
      <w:r w:rsidRPr="00555EBA">
        <w:rPr>
          <w:i/>
        </w:rPr>
        <w:fldChar w:fldCharType="begin"/>
      </w:r>
      <w:r w:rsidRPr="00555EBA">
        <w:rPr>
          <w:i/>
        </w:rPr>
        <w:instrText xml:space="preserve"> TC"(</w:instrText>
      </w:r>
      <w:bookmarkStart w:id="2" w:name="DocNumber"/>
      <w:r w:rsidRPr="00555EBA">
        <w:rPr>
          <w:i/>
        </w:rPr>
        <w:instrText>B10-0565/2025</w:instrText>
      </w:r>
      <w:bookmarkEnd w:id="2"/>
      <w:r w:rsidRPr="00555EBA">
        <w:rPr>
          <w:i/>
        </w:rPr>
        <w:instrText xml:space="preserve">)"\l3 \n&gt; \* MERGEFORMAT </w:instrText>
      </w:r>
      <w:r w:rsidRPr="00555EBA">
        <w:rPr>
          <w:i/>
        </w:rPr>
        <w:fldChar w:fldCharType="end"/>
      </w:r>
    </w:p>
    <w:p w14:paraId="0FA61639" w14:textId="77777777" w:rsidR="0095608F" w:rsidRPr="00555EBA" w:rsidRDefault="0095608F" w:rsidP="0095608F">
      <w:pPr>
        <w:rPr>
          <w:vanish/>
        </w:rPr>
      </w:pPr>
      <w:bookmarkStart w:id="3" w:name="PE"/>
      <w:r w:rsidRPr="00555EBA">
        <w:rPr>
          <w:vanish/>
        </w:rPr>
        <w:t>PE779.817</w:t>
      </w:r>
      <w:bookmarkEnd w:id="3"/>
    </w:p>
    <w:p w14:paraId="6D5C4972" w14:textId="1476E9DB" w:rsidR="0095608F" w:rsidRPr="00555EBA" w:rsidRDefault="0095608F" w:rsidP="0095608F">
      <w:pPr>
        <w:pStyle w:val="ATHeading3"/>
      </w:pPr>
      <w:bookmarkStart w:id="4" w:name="Sujet"/>
      <w:r w:rsidRPr="00555EBA">
        <w:t>Decisão do Parlamento Europeu referente à não formulação de objeções ao Regulamento Delegado da Comissão, de 20 de novembro de 2025, que completa o Regulamento (UE) 2023/956 do Parlamento Europeu e do Conselho ao especificar as condições para a concessão da acreditação aos verificadores, para o controlo e a supervisão dos verificadores acreditados, para a revogação da acreditação e para o reconhecimento mútuo e a avaliação pelos pares dos organismos de acreditação</w:t>
      </w:r>
      <w:bookmarkEnd w:id="4"/>
      <w:r w:rsidRPr="00555EBA">
        <w:t xml:space="preserve"> </w:t>
      </w:r>
      <w:bookmarkStart w:id="5" w:name="References"/>
      <w:r w:rsidRPr="00555EBA">
        <w:t>(C(2025)07845 – 2025/2997(DEA))</w:t>
      </w:r>
      <w:bookmarkEnd w:id="5"/>
    </w:p>
    <w:p w14:paraId="0025170C" w14:textId="77777777" w:rsidR="00EB59AD" w:rsidRPr="00555EBA" w:rsidRDefault="00EB59AD" w:rsidP="00EB59AD">
      <w:pPr>
        <w:pStyle w:val="EPComma"/>
      </w:pPr>
      <w:bookmarkStart w:id="6" w:name="TextBodyBegin"/>
      <w:bookmarkEnd w:id="6"/>
      <w:r w:rsidRPr="00555EBA">
        <w:rPr>
          <w:i/>
          <w:iCs/>
        </w:rPr>
        <w:t>O Parlamento Europeu,</w:t>
      </w:r>
    </w:p>
    <w:p w14:paraId="29F1DFDC" w14:textId="77777777" w:rsidR="00EB59AD" w:rsidRPr="00555EBA" w:rsidRDefault="00EB59AD" w:rsidP="00EB59AD">
      <w:pPr>
        <w:pStyle w:val="NormalHanging12a"/>
      </w:pPr>
      <w:r w:rsidRPr="00555EBA">
        <w:t>–</w:t>
      </w:r>
      <w:r w:rsidRPr="00555EBA">
        <w:tab/>
        <w:t>Tendo em conta o Regulamento Delegado da Comissão, de 20 de novembro de 2025, que completa o Regulamento (UE) 2023/956 do Parlamento Europeu e do Conselho ao especificar as condições para a concessão da acreditação aos verificadores, para o controlo e a supervisão dos verificadores acreditados, para a revogação da acreditação e para o reconhecimento mútuo e a avaliação pelos pares dos organismos de acreditação (</w:t>
      </w:r>
      <w:proofErr w:type="gramStart"/>
      <w:r w:rsidRPr="00555EBA">
        <w:t>C(</w:t>
      </w:r>
      <w:proofErr w:type="gramEnd"/>
      <w:r w:rsidRPr="00555EBA">
        <w:t>2025)07845),</w:t>
      </w:r>
    </w:p>
    <w:p w14:paraId="3F25B840" w14:textId="77777777" w:rsidR="00EB59AD" w:rsidRPr="00555EBA" w:rsidRDefault="00EB59AD" w:rsidP="00EB59AD">
      <w:pPr>
        <w:pStyle w:val="NormalHanging12a"/>
      </w:pPr>
      <w:r w:rsidRPr="00555EBA">
        <w:t>–</w:t>
      </w:r>
      <w:r w:rsidRPr="00555EBA">
        <w:tab/>
        <w:t>Tendo em conta a carta da Comissão, de 24 de novembro de 2025, em que a Comissão solicita ao Parlamento que declare que não formulará objeções ao Regulamento Delegado de 20 de novembro de 2025,</w:t>
      </w:r>
    </w:p>
    <w:p w14:paraId="251A3B9B" w14:textId="5225BFFD" w:rsidR="00EB59AD" w:rsidRPr="00555EBA" w:rsidRDefault="00EB59AD" w:rsidP="00EB59AD">
      <w:pPr>
        <w:pStyle w:val="NormalHanging12a"/>
      </w:pPr>
      <w:r w:rsidRPr="00555EBA">
        <w:t>–</w:t>
      </w:r>
      <w:r w:rsidRPr="00555EBA">
        <w:tab/>
        <w:t xml:space="preserve">Tendo em conta a carta da Comissão do Ambiente, do Clima e da Segurança Alimentar ao presidente da Conferência dos Presidentes das Comissões, de 4 de dezembro </w:t>
      </w:r>
      <w:r w:rsidR="00B64A6D" w:rsidRPr="00555EBA">
        <w:t>de </w:t>
      </w:r>
      <w:r w:rsidRPr="00555EBA">
        <w:t>2025,</w:t>
      </w:r>
    </w:p>
    <w:p w14:paraId="7A6D604D" w14:textId="77777777" w:rsidR="00EB59AD" w:rsidRPr="00555EBA" w:rsidRDefault="00EB59AD" w:rsidP="00EB59AD">
      <w:pPr>
        <w:pStyle w:val="NormalHanging12a"/>
      </w:pPr>
      <w:r w:rsidRPr="00555EBA">
        <w:t>–</w:t>
      </w:r>
      <w:r w:rsidRPr="00555EBA">
        <w:tab/>
        <w:t>Tendo em conta o artigo 290.º do Tratado sobre o Funcionamento da União Europeia,</w:t>
      </w:r>
    </w:p>
    <w:p w14:paraId="5114769D" w14:textId="77777777" w:rsidR="00EB59AD" w:rsidRPr="00555EBA" w:rsidRDefault="00EB59AD" w:rsidP="00EB59AD">
      <w:pPr>
        <w:pStyle w:val="NormalHanging12a"/>
      </w:pPr>
      <w:r w:rsidRPr="00555EBA">
        <w:t>–</w:t>
      </w:r>
      <w:r w:rsidRPr="00555EBA">
        <w:tab/>
        <w:t>Tendo em conta o Regulamento (UE) 2023/956 do Parlamento Europeu e do Conselho, de 10 de maio de 2023, que cria um mecanismo de ajustamento carbónico fronteiriço</w:t>
      </w:r>
      <w:r w:rsidRPr="00555EBA">
        <w:rPr>
          <w:rStyle w:val="FootnoteReference"/>
        </w:rPr>
        <w:footnoteReference w:id="1"/>
      </w:r>
      <w:r w:rsidRPr="00555EBA">
        <w:t>, nomeadamente o artigo 18.º, n.º 3, e o artigo 28.º, n.º 7,</w:t>
      </w:r>
    </w:p>
    <w:p w14:paraId="19173CA1" w14:textId="77777777" w:rsidR="00EB59AD" w:rsidRPr="00555EBA" w:rsidRDefault="00EB59AD" w:rsidP="00EB59AD">
      <w:pPr>
        <w:pStyle w:val="NormalHanging12a"/>
      </w:pPr>
      <w:r w:rsidRPr="00555EBA">
        <w:lastRenderedPageBreak/>
        <w:t>–</w:t>
      </w:r>
      <w:r w:rsidRPr="00555EBA">
        <w:tab/>
        <w:t>Tendo em conta o artigo 114.º, n.º 6, do seu Regimento,</w:t>
      </w:r>
    </w:p>
    <w:p w14:paraId="2B7DACEE" w14:textId="77777777" w:rsidR="00EB59AD" w:rsidRPr="00555EBA" w:rsidRDefault="00EB59AD" w:rsidP="00EB59AD">
      <w:pPr>
        <w:pStyle w:val="NormalHanging12a"/>
      </w:pPr>
      <w:r w:rsidRPr="00555EBA">
        <w:t>–</w:t>
      </w:r>
      <w:r w:rsidRPr="00555EBA">
        <w:tab/>
        <w:t>Tendo em conta a recomendação de decisão da Comissão do Ambiente, do Clima e da Segurança Alimentar,</w:t>
      </w:r>
    </w:p>
    <w:p w14:paraId="5527BEB7" w14:textId="72C64320" w:rsidR="00B64A6D" w:rsidRPr="00555EBA" w:rsidRDefault="00B64A6D" w:rsidP="00EB59AD">
      <w:pPr>
        <w:pStyle w:val="NormalHanging12a"/>
      </w:pPr>
      <w:r w:rsidRPr="00555EBA">
        <w:t>–</w:t>
      </w:r>
      <w:r w:rsidRPr="00555EBA">
        <w:tab/>
        <w:t>Tendo em conta que não foram formuladas objeções no prazo fixado no artigo 114.º, n.º 6, do seu Regimento, que expirou em 16 de dezembro de 2025,</w:t>
      </w:r>
    </w:p>
    <w:p w14:paraId="0F5FE208" w14:textId="77777777" w:rsidR="00EB59AD" w:rsidRPr="00555EBA" w:rsidRDefault="00EB59AD" w:rsidP="00EB59AD">
      <w:pPr>
        <w:pStyle w:val="NormalHanging12a"/>
      </w:pPr>
      <w:r w:rsidRPr="00555EBA">
        <w:t>A.</w:t>
      </w:r>
      <w:r w:rsidRPr="00555EBA">
        <w:tab/>
        <w:t>Considerando que o Regulamento (UE) 2023/956 estabelece um mecanismo de ajustamento carbónico fronteiriço (o «CBAM») para dar resposta às emissões de gases com efeito de estufa incorporadas em determinadas mercadorias importadas para o território aduaneiro da União, a fim de evitar o risco de fuga de carbono e criar incentivos à redução das emissões de carbono a nível mundial;</w:t>
      </w:r>
    </w:p>
    <w:p w14:paraId="6C6F0FE4" w14:textId="77777777" w:rsidR="00EB59AD" w:rsidRPr="00555EBA" w:rsidRDefault="00EB59AD" w:rsidP="00EB59AD">
      <w:pPr>
        <w:pStyle w:val="NormalHanging12a"/>
      </w:pPr>
      <w:r w:rsidRPr="00555EBA">
        <w:t>B.</w:t>
      </w:r>
      <w:r w:rsidRPr="00555EBA">
        <w:tab/>
        <w:t>Considerando que, nos termos do Regulamento (UE) 2023/956, se as emissões incorporadas nas mercadorias importadas para o território aduaneiro da União a partir de 2026 forem determinadas com base em valores reais, devem ser verificadas por um verificador;</w:t>
      </w:r>
    </w:p>
    <w:p w14:paraId="7BC18680" w14:textId="77777777" w:rsidR="00EB59AD" w:rsidRPr="00555EBA" w:rsidRDefault="00EB59AD" w:rsidP="00EB59AD">
      <w:pPr>
        <w:pStyle w:val="NormalHanging12a"/>
      </w:pPr>
      <w:r w:rsidRPr="00555EBA">
        <w:t>C.</w:t>
      </w:r>
      <w:r w:rsidRPr="00555EBA">
        <w:tab/>
        <w:t>Considerando que o artigo 18.º, n.º 3, do Regulamento (UE) 2023/956 habilita a Comissão a adotar atos delegados, a fim de completar o referido regulamento especificando as condições para a concessão da acreditação a que se refere o artigo 18.º, n.º 2, desse regulamento, para o controlo e a supervisão dos verificadores acreditados, para a retirada da acreditação e para o reconhecimento mútuo e a avaliação pelos pares dos organismos de acreditação;</w:t>
      </w:r>
    </w:p>
    <w:p w14:paraId="4A51D343" w14:textId="77777777" w:rsidR="00EB59AD" w:rsidRPr="00555EBA" w:rsidRDefault="00EB59AD" w:rsidP="00EB59AD">
      <w:pPr>
        <w:pStyle w:val="NormalHanging12a"/>
      </w:pPr>
      <w:r w:rsidRPr="00555EBA">
        <w:t>D.</w:t>
      </w:r>
      <w:r w:rsidRPr="00555EBA">
        <w:tab/>
        <w:t>Considerando que, em 20 de novembro de 2025, a Comissão transmitiu ao Parlamento o regulamento delegado, o que deu início ao período de controlo de dois meses de que o Parlamento dispõe para formular objeções a esse regulamento delegado;</w:t>
      </w:r>
    </w:p>
    <w:p w14:paraId="4022876F" w14:textId="77777777" w:rsidR="00EB59AD" w:rsidRPr="00555EBA" w:rsidRDefault="00EB59AD" w:rsidP="00EB59AD">
      <w:pPr>
        <w:pStyle w:val="NormalHanging12a"/>
      </w:pPr>
      <w:r w:rsidRPr="00555EBA">
        <w:t>E.</w:t>
      </w:r>
      <w:r w:rsidRPr="00555EBA">
        <w:tab/>
        <w:t>Considerando que o regulamento delegado da Comissão especifica as condições em que os organismos nacionais de acreditação devem conceder a acreditação para efeitos do CBAM com base nos documentos comprovativos apresentados pelo requerente e na capacidade do requerente para aplicar os princípios de verificação; que o regulamento delegado da Comissão especifica igualmente as condições para o controlo e a supervisão dos verificadores acreditados e, para o efeito, especifica os requisitos e as atividades de verificação dos verificadores, as medidas administrativas aplicáveis, incluindo a revogação da acreditação, bem como o intercâmbio de informações entre os organismos nacionais de acreditação, as autoridades nacionais competentes e a Comissão; que, por último, o regulamento delegado da Comissão especifica as condições para o reconhecimento mútuo e a avaliação pelos pares dos organismos nacionais de acreditação, incluindo quaisquer medidas corretivas necessárias por parte dos Estados</w:t>
      </w:r>
      <w:r w:rsidRPr="00555EBA">
        <w:noBreakHyphen/>
        <w:t>Membros;</w:t>
      </w:r>
    </w:p>
    <w:p w14:paraId="07B27BDA" w14:textId="77777777" w:rsidR="00EB59AD" w:rsidRPr="00555EBA" w:rsidRDefault="00EB59AD" w:rsidP="00EB59AD">
      <w:pPr>
        <w:pStyle w:val="NormalHanging12a"/>
      </w:pPr>
      <w:r w:rsidRPr="00555EBA">
        <w:t>F.</w:t>
      </w:r>
      <w:r w:rsidRPr="00555EBA">
        <w:tab/>
        <w:t>Considerando que, nos termos do artigo 36.º, n.º 2, alínea b), do Regulamento (UE) 2023/956, as disposições relativas ao funcionamento do CBAM são aplicáveis a partir de 1 de janeiro de 2026, após o termo do período transitório; que essas disposições não podem funcionar se o regulamento delegado da Comissão não for aplicável a partir de 1 de janeiro de 2026;</w:t>
      </w:r>
    </w:p>
    <w:p w14:paraId="65461B75" w14:textId="77777777" w:rsidR="00EB59AD" w:rsidRPr="00555EBA" w:rsidRDefault="00EB59AD" w:rsidP="00EB59AD">
      <w:pPr>
        <w:pStyle w:val="NormalHanging12a"/>
      </w:pPr>
      <w:r w:rsidRPr="00555EBA">
        <w:t>1.</w:t>
      </w:r>
      <w:r w:rsidRPr="00555EBA">
        <w:tab/>
        <w:t>Declara não formular objeções ao regulamento delegado da Comissão;</w:t>
      </w:r>
    </w:p>
    <w:p w14:paraId="63DD60CD" w14:textId="101A20CE" w:rsidR="00D026CC" w:rsidRPr="00555EBA" w:rsidRDefault="00EB59AD" w:rsidP="00D026CC">
      <w:pPr>
        <w:pStyle w:val="NormalHanging12a"/>
      </w:pPr>
      <w:r w:rsidRPr="00555EBA">
        <w:lastRenderedPageBreak/>
        <w:t>2.</w:t>
      </w:r>
      <w:r w:rsidRPr="00555EBA">
        <w:tab/>
        <w:t xml:space="preserve">Encarrega a sua Presidente de transmitir a presente decisão </w:t>
      </w:r>
      <w:r w:rsidR="00D026CC" w:rsidRPr="00555EBA">
        <w:t>ao Conselho e à Comissão.</w:t>
      </w:r>
    </w:p>
    <w:p w14:paraId="3B09D13D" w14:textId="36EE8365" w:rsidR="00E365E1" w:rsidRPr="00555EBA" w:rsidRDefault="00E365E1" w:rsidP="0095608F"/>
    <w:sectPr w:rsidR="00E365E1" w:rsidRPr="00555EBA" w:rsidSect="00D026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B8EF1" w14:textId="77777777" w:rsidR="0095608F" w:rsidRPr="00D026CC" w:rsidRDefault="0095608F">
      <w:r w:rsidRPr="00D026CC">
        <w:separator/>
      </w:r>
    </w:p>
  </w:endnote>
  <w:endnote w:type="continuationSeparator" w:id="0">
    <w:p w14:paraId="7D514859" w14:textId="77777777" w:rsidR="0095608F" w:rsidRPr="00D026CC" w:rsidRDefault="0095608F">
      <w:r w:rsidRPr="00D026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23C0D" w14:textId="77777777" w:rsidR="00064002" w:rsidRPr="00D026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20E02" w14:textId="77777777" w:rsidR="00064002" w:rsidRPr="00D026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038E2" w14:textId="77777777" w:rsidR="00064002" w:rsidRPr="00D026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6A5C9" w14:textId="77777777" w:rsidR="0095608F" w:rsidRPr="00D026CC" w:rsidRDefault="0095608F">
      <w:r w:rsidRPr="00D026CC">
        <w:separator/>
      </w:r>
    </w:p>
  </w:footnote>
  <w:footnote w:type="continuationSeparator" w:id="0">
    <w:p w14:paraId="2F424316" w14:textId="77777777" w:rsidR="0095608F" w:rsidRPr="00D026CC" w:rsidRDefault="0095608F">
      <w:r w:rsidRPr="00D026CC">
        <w:continuationSeparator/>
      </w:r>
    </w:p>
  </w:footnote>
  <w:footnote w:id="1">
    <w:p w14:paraId="6D207803" w14:textId="0ACA61D6" w:rsidR="00EB59AD" w:rsidRPr="00555EBA" w:rsidRDefault="00EB59AD" w:rsidP="00D026CC">
      <w:pPr>
        <w:pStyle w:val="FootnoteText"/>
        <w:ind w:left="567" w:hanging="567"/>
        <w:rPr>
          <w:sz w:val="24"/>
          <w:lang w:val="da-DK"/>
        </w:rPr>
      </w:pPr>
      <w:r w:rsidRPr="00D026CC">
        <w:rPr>
          <w:rStyle w:val="FootnoteReference"/>
          <w:sz w:val="24"/>
          <w:lang w:val="pt-PT"/>
        </w:rPr>
        <w:footnoteRef/>
      </w:r>
      <w:r w:rsidR="00D026CC" w:rsidRPr="00555EBA">
        <w:rPr>
          <w:sz w:val="24"/>
          <w:lang w:val="da-DK"/>
        </w:rPr>
        <w:t xml:space="preserve"> </w:t>
      </w:r>
      <w:r w:rsidR="00D026CC" w:rsidRPr="00555EBA">
        <w:rPr>
          <w:sz w:val="24"/>
          <w:lang w:val="da-DK"/>
        </w:rPr>
        <w:tab/>
      </w:r>
      <w:r w:rsidRPr="00555EBA">
        <w:rPr>
          <w:sz w:val="24"/>
          <w:lang w:val="da-DK"/>
        </w:rPr>
        <w:t>JO L 130 de 16.5.2023, p. 52, ELI: </w:t>
      </w:r>
      <w:hyperlink r:id="rId1" w:tooltip="Permite aceder ao documento através do seu identificador ELI." w:history="1">
        <w:r w:rsidRPr="00555EBA">
          <w:rPr>
            <w:rStyle w:val="Hyperlink"/>
            <w:sz w:val="24"/>
            <w:lang w:val="da-DK"/>
          </w:rPr>
          <w:t>http://data.europa.eu/eli/reg/2023/956/oj</w:t>
        </w:r>
      </w:hyperlink>
      <w:r w:rsidRPr="00555EBA">
        <w:rPr>
          <w:sz w:val="24"/>
          <w:lang w:val="da-DK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B5EC1" w14:textId="77777777" w:rsidR="00064002" w:rsidRPr="00D026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00F56" w14:textId="77777777" w:rsidR="00064002" w:rsidRPr="00D026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9D182" w14:textId="77777777" w:rsidR="00064002" w:rsidRPr="00D026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2087051">
    <w:abstractNumId w:val="9"/>
  </w:num>
  <w:num w:numId="2" w16cid:durableId="175730009">
    <w:abstractNumId w:val="9"/>
  </w:num>
  <w:num w:numId="3" w16cid:durableId="1954899187">
    <w:abstractNumId w:val="7"/>
  </w:num>
  <w:num w:numId="4" w16cid:durableId="1975210538">
    <w:abstractNumId w:val="7"/>
  </w:num>
  <w:num w:numId="5" w16cid:durableId="755978341">
    <w:abstractNumId w:val="6"/>
  </w:num>
  <w:num w:numId="6" w16cid:durableId="718478733">
    <w:abstractNumId w:val="6"/>
  </w:num>
  <w:num w:numId="7" w16cid:durableId="545023263">
    <w:abstractNumId w:val="5"/>
  </w:num>
  <w:num w:numId="8" w16cid:durableId="742604992">
    <w:abstractNumId w:val="5"/>
  </w:num>
  <w:num w:numId="9" w16cid:durableId="910968254">
    <w:abstractNumId w:val="4"/>
  </w:num>
  <w:num w:numId="10" w16cid:durableId="902906659">
    <w:abstractNumId w:val="4"/>
  </w:num>
  <w:num w:numId="11" w16cid:durableId="736055411">
    <w:abstractNumId w:val="8"/>
  </w:num>
  <w:num w:numId="12" w16cid:durableId="2133858052">
    <w:abstractNumId w:val="8"/>
  </w:num>
  <w:num w:numId="13" w16cid:durableId="987129361">
    <w:abstractNumId w:val="3"/>
  </w:num>
  <w:num w:numId="14" w16cid:durableId="264462314">
    <w:abstractNumId w:val="3"/>
  </w:num>
  <w:num w:numId="15" w16cid:durableId="1707025672">
    <w:abstractNumId w:val="2"/>
  </w:num>
  <w:num w:numId="16" w16cid:durableId="265311220">
    <w:abstractNumId w:val="2"/>
  </w:num>
  <w:num w:numId="17" w16cid:durableId="1572277324">
    <w:abstractNumId w:val="1"/>
  </w:num>
  <w:num w:numId="18" w16cid:durableId="2080013073">
    <w:abstractNumId w:val="1"/>
  </w:num>
  <w:num w:numId="19" w16cid:durableId="534465667">
    <w:abstractNumId w:val="0"/>
  </w:num>
  <w:num w:numId="20" w16cid:durableId="758600692">
    <w:abstractNumId w:val="0"/>
  </w:num>
  <w:num w:numId="21" w16cid:durableId="1627159729">
    <w:abstractNumId w:val="9"/>
  </w:num>
  <w:num w:numId="22" w16cid:durableId="851799072">
    <w:abstractNumId w:val="7"/>
  </w:num>
  <w:num w:numId="23" w16cid:durableId="1319311143">
    <w:abstractNumId w:val="6"/>
  </w:num>
  <w:num w:numId="24" w16cid:durableId="1591429807">
    <w:abstractNumId w:val="5"/>
  </w:num>
  <w:num w:numId="25" w16cid:durableId="280888871">
    <w:abstractNumId w:val="4"/>
  </w:num>
  <w:num w:numId="26" w16cid:durableId="868836266">
    <w:abstractNumId w:val="8"/>
  </w:num>
  <w:num w:numId="27" w16cid:durableId="1670215495">
    <w:abstractNumId w:val="3"/>
  </w:num>
  <w:num w:numId="28" w16cid:durableId="230967860">
    <w:abstractNumId w:val="2"/>
  </w:num>
  <w:num w:numId="29" w16cid:durableId="868302358">
    <w:abstractNumId w:val="1"/>
  </w:num>
  <w:num w:numId="30" w16cid:durableId="1378822246">
    <w:abstractNumId w:val="0"/>
  </w:num>
  <w:num w:numId="31" w16cid:durableId="374698774">
    <w:abstractNumId w:val="9"/>
  </w:num>
  <w:num w:numId="32" w16cid:durableId="1678582956">
    <w:abstractNumId w:val="7"/>
  </w:num>
  <w:num w:numId="33" w16cid:durableId="335887845">
    <w:abstractNumId w:val="6"/>
  </w:num>
  <w:num w:numId="34" w16cid:durableId="90205327">
    <w:abstractNumId w:val="5"/>
  </w:num>
  <w:num w:numId="35" w16cid:durableId="792407072">
    <w:abstractNumId w:val="4"/>
  </w:num>
  <w:num w:numId="36" w16cid:durableId="123817606">
    <w:abstractNumId w:val="8"/>
  </w:num>
  <w:num w:numId="37" w16cid:durableId="1960186452">
    <w:abstractNumId w:val="3"/>
  </w:num>
  <w:num w:numId="38" w16cid:durableId="562719977">
    <w:abstractNumId w:val="2"/>
  </w:num>
  <w:num w:numId="39" w16cid:durableId="203950740">
    <w:abstractNumId w:val="1"/>
  </w:num>
  <w:num w:numId="40" w16cid:durableId="1603998979">
    <w:abstractNumId w:val="0"/>
  </w:num>
  <w:num w:numId="41" w16cid:durableId="965434321">
    <w:abstractNumId w:val="10"/>
  </w:num>
  <w:num w:numId="42" w16cid:durableId="123547651">
    <w:abstractNumId w:val="10"/>
  </w:num>
  <w:num w:numId="43" w16cid:durableId="1400401256">
    <w:abstractNumId w:val="10"/>
  </w:num>
  <w:num w:numId="44" w16cid:durableId="1431326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5/2025"/>
    <w:docVar w:name="dvlangue" w:val="PT"/>
    <w:docVar w:name="dvnumam" w:val="0"/>
    <w:docVar w:name="dvpe" w:val="779.817"/>
    <w:docVar w:name="dvtitre" w:val="Decisão do Parlamento Europeu, de ... de ... de 2025,_x000d__x000a_ referente à não formulação de objeções ao Regulamento Delegado da Comissão, de 20 de novembro de 2025, que completa o Regulamento (UE) 2023/956 do Parlamento Europeu e do Conselho ao especificar as condições para a concessão da acreditação aos verificadores, para o controlo e a supervisão dos verificadores acreditados, para a revogação da acreditação e para o reconhecimento mútuo e a avaliação pelos pares dos organismos de acreditação(C(2025)07845 – 2025/2997(DEA))"/>
  </w:docVars>
  <w:rsids>
    <w:rsidRoot w:val="0095608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58F2"/>
    <w:rsid w:val="00545827"/>
    <w:rsid w:val="00555EBA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608F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4A6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6CC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59A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75B3E2"/>
  <w15:chartTrackingRefBased/>
  <w15:docId w15:val="{562F10E9-4C61-4A2B-B44F-9150C6DA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B59AD"/>
    <w:pPr>
      <w:spacing w:before="480" w:after="240"/>
    </w:pPr>
  </w:style>
  <w:style w:type="paragraph" w:customStyle="1" w:styleId="NormalHanging12a">
    <w:name w:val="NormalHanging12a"/>
    <w:basedOn w:val="Normal"/>
    <w:rsid w:val="00EB59AD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EB59A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64A6D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3/95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774</Words>
  <Characters>4237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2025-12-17T11:38:00Z</dcterms:created>
  <dcterms:modified xsi:type="dcterms:W3CDTF">2025-12-17T11:38:00Z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B10-0565/2025</vt:lpwstr>
  </property>
  <property fmtid="{D5CDD505-2E9C-101B-9397-08002B2CF9AE}" pid="4" name="&lt;Type&gt;">
    <vt:lpwstr>RR</vt:lpwstr>
  </property>
</Properties>
</file>