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6C69" w14:paraId="14E62E19" w14:textId="77777777" w:rsidTr="0010095E">
        <w:trPr>
          <w:trHeight w:hRule="exact" w:val="1418"/>
        </w:trPr>
        <w:tc>
          <w:tcPr>
            <w:tcW w:w="6804" w:type="dxa"/>
            <w:shd w:val="clear" w:color="auto" w:fill="auto"/>
            <w:vAlign w:val="center"/>
          </w:tcPr>
          <w:p w14:paraId="1522B860" w14:textId="77777777" w:rsidR="00751A4A" w:rsidRPr="00C56C69" w:rsidRDefault="006F5D5D" w:rsidP="0010095E">
            <w:pPr>
              <w:pStyle w:val="EPName"/>
            </w:pPr>
            <w:r w:rsidRPr="00C56C69">
              <w:t>Parlamentul European</w:t>
            </w:r>
          </w:p>
          <w:p w14:paraId="7007EB47" w14:textId="77777777" w:rsidR="00751A4A" w:rsidRPr="00C56C69" w:rsidRDefault="005F1B17" w:rsidP="005F1B17">
            <w:pPr>
              <w:pStyle w:val="EPTerm"/>
              <w:rPr>
                <w:rStyle w:val="HideTWBExt"/>
                <w:noProof w:val="0"/>
                <w:vanish w:val="0"/>
                <w:color w:val="auto"/>
              </w:rPr>
            </w:pPr>
            <w:r w:rsidRPr="00C56C69">
              <w:t>2024</w:t>
            </w:r>
            <w:r w:rsidR="00817416" w:rsidRPr="00C56C69">
              <w:t>-202</w:t>
            </w:r>
            <w:r w:rsidRPr="00C56C69">
              <w:t>9</w:t>
            </w:r>
          </w:p>
        </w:tc>
        <w:tc>
          <w:tcPr>
            <w:tcW w:w="2268" w:type="dxa"/>
            <w:shd w:val="clear" w:color="auto" w:fill="auto"/>
          </w:tcPr>
          <w:p w14:paraId="7AD9E9AB" w14:textId="77777777" w:rsidR="00751A4A" w:rsidRPr="00C56C69" w:rsidRDefault="00187494" w:rsidP="0010095E">
            <w:pPr>
              <w:pStyle w:val="EPLogo"/>
            </w:pPr>
            <w:r w:rsidRPr="00C56C69">
              <w:rPr>
                <w:noProof/>
                <w:lang w:eastAsia="ja-JP"/>
              </w:rPr>
              <w:drawing>
                <wp:inline distT="0" distB="0" distL="0" distR="0" wp14:anchorId="212F3869" wp14:editId="2B93DA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833AFD" w14:textId="77777777" w:rsidR="00D058B8" w:rsidRPr="00C56C69" w:rsidRDefault="00D058B8" w:rsidP="004C5D52">
      <w:pPr>
        <w:pStyle w:val="LineTop"/>
      </w:pPr>
    </w:p>
    <w:p w14:paraId="0E7AE7CF" w14:textId="77777777" w:rsidR="00680577" w:rsidRPr="00C56C69" w:rsidRDefault="006F5D5D" w:rsidP="00680577">
      <w:pPr>
        <w:pStyle w:val="EPBodyTA1"/>
      </w:pPr>
      <w:r w:rsidRPr="00C56C69">
        <w:t>TEXTE ADOPTATE</w:t>
      </w:r>
    </w:p>
    <w:p w14:paraId="1C1BB942" w14:textId="77777777" w:rsidR="00D058B8" w:rsidRPr="00C56C69" w:rsidRDefault="00D058B8" w:rsidP="00D058B8">
      <w:pPr>
        <w:pStyle w:val="LineBottom"/>
      </w:pPr>
    </w:p>
    <w:p w14:paraId="6E9ED045" w14:textId="13C93815" w:rsidR="006F5D5D" w:rsidRPr="00C56C69" w:rsidRDefault="006F5D5D" w:rsidP="006F5D5D">
      <w:pPr>
        <w:pStyle w:val="ATHeading1"/>
      </w:pPr>
      <w:bookmarkStart w:id="0" w:name="TANumber"/>
      <w:r w:rsidRPr="00C56C69">
        <w:t>P10_TA(2025)0</w:t>
      </w:r>
      <w:bookmarkEnd w:id="0"/>
      <w:r w:rsidR="0066723F" w:rsidRPr="00C56C69">
        <w:t>329</w:t>
      </w:r>
    </w:p>
    <w:p w14:paraId="5DA8E937" w14:textId="29792EDC" w:rsidR="006F5D5D" w:rsidRPr="00C56C69" w:rsidRDefault="002B5981" w:rsidP="006F5D5D">
      <w:pPr>
        <w:pStyle w:val="ATHeading2"/>
      </w:pPr>
      <w:r w:rsidRPr="00C56C69">
        <w:t>Decizia de a nu formula obiecții la un act delegat:</w:t>
      </w:r>
      <w:r w:rsidR="002201FD" w:rsidRPr="00C56C69">
        <w:t xml:space="preserve"> CBAM:</w:t>
      </w:r>
      <w:r w:rsidRPr="00C56C69">
        <w:t xml:space="preserve"> condiții pentru acordarea acreditării</w:t>
      </w:r>
    </w:p>
    <w:p w14:paraId="3407D074" w14:textId="77777777" w:rsidR="006F5D5D" w:rsidRPr="00C56C69" w:rsidRDefault="006F5D5D" w:rsidP="006F5D5D">
      <w:pPr>
        <w:rPr>
          <w:i/>
          <w:vanish/>
        </w:rPr>
      </w:pPr>
      <w:r w:rsidRPr="00C56C69">
        <w:rPr>
          <w:i/>
        </w:rPr>
        <w:fldChar w:fldCharType="begin"/>
      </w:r>
      <w:r w:rsidRPr="00C56C69">
        <w:rPr>
          <w:i/>
        </w:rPr>
        <w:instrText xml:space="preserve"> TC"(</w:instrText>
      </w:r>
      <w:bookmarkStart w:id="1" w:name="DocNumber"/>
      <w:r w:rsidRPr="00C56C69">
        <w:rPr>
          <w:i/>
        </w:rPr>
        <w:instrText>B10-0565/2025</w:instrText>
      </w:r>
      <w:bookmarkEnd w:id="1"/>
      <w:r w:rsidRPr="00C56C69">
        <w:rPr>
          <w:i/>
        </w:rPr>
        <w:instrText xml:space="preserve">)"\l3 \n&gt; \* MERGEFORMAT </w:instrText>
      </w:r>
      <w:r w:rsidRPr="00C56C69">
        <w:rPr>
          <w:i/>
        </w:rPr>
        <w:fldChar w:fldCharType="end"/>
      </w:r>
    </w:p>
    <w:p w14:paraId="2AD4B414" w14:textId="77777777" w:rsidR="006F5D5D" w:rsidRPr="00C56C69" w:rsidRDefault="006F5D5D" w:rsidP="006F5D5D">
      <w:pPr>
        <w:rPr>
          <w:vanish/>
        </w:rPr>
      </w:pPr>
      <w:bookmarkStart w:id="2" w:name="PE"/>
      <w:r w:rsidRPr="00C56C69">
        <w:rPr>
          <w:vanish/>
        </w:rPr>
        <w:t>PE779.817</w:t>
      </w:r>
      <w:bookmarkEnd w:id="2"/>
    </w:p>
    <w:p w14:paraId="3D0D371C" w14:textId="4B273F40" w:rsidR="006F5D5D" w:rsidRPr="00C56C69" w:rsidRDefault="002B5981" w:rsidP="006F5D5D">
      <w:pPr>
        <w:pStyle w:val="ATHeading3"/>
      </w:pPr>
      <w:bookmarkStart w:id="3" w:name="Sujet"/>
      <w:r w:rsidRPr="00C56C69">
        <w:t>Decizia</w:t>
      </w:r>
      <w:r w:rsidR="006F5D5D" w:rsidRPr="00C56C69">
        <w:t xml:space="preserve"> Parlamentului European de a nu formula obiecții la Regulamentul delegat al Comisiei din 20 noiembrie 2025 de completare a Regulamentului (UE) 2023/956 al Parlamentului European și al Consiliului prin specificarea condițiilor pentru acordarea acreditării verificatorilor, pentru controlul și monitorizarea verificatorilor acreditați, pentru retragerea acreditării și pentru recunoașterea reciprocă și evaluarea colegială a organismelor de acreditare</w:t>
      </w:r>
      <w:bookmarkEnd w:id="3"/>
      <w:r w:rsidR="006F5D5D" w:rsidRPr="00C56C69">
        <w:t xml:space="preserve"> </w:t>
      </w:r>
      <w:bookmarkStart w:id="4" w:name="References"/>
      <w:r w:rsidR="006F5D5D" w:rsidRPr="00C56C69">
        <w:t>(C(2025)07845 – 2025/2997(DEA))</w:t>
      </w:r>
      <w:bookmarkEnd w:id="4"/>
    </w:p>
    <w:p w14:paraId="25F693C3" w14:textId="77777777" w:rsidR="00E2582A" w:rsidRPr="00C56C69" w:rsidRDefault="00E2582A" w:rsidP="00E2582A">
      <w:pPr>
        <w:pStyle w:val="EPComma"/>
      </w:pPr>
      <w:bookmarkStart w:id="5" w:name="TextBodyBegin"/>
      <w:bookmarkEnd w:id="5"/>
      <w:r w:rsidRPr="00C56C69">
        <w:rPr>
          <w:i/>
          <w:iCs/>
        </w:rPr>
        <w:t>Parlamentul European</w:t>
      </w:r>
      <w:r w:rsidRPr="00C56C69">
        <w:t>,</w:t>
      </w:r>
    </w:p>
    <w:p w14:paraId="7F8F61A0" w14:textId="605EA255" w:rsidR="00E2582A" w:rsidRPr="00C56C69" w:rsidRDefault="00E2582A" w:rsidP="00E2582A">
      <w:pPr>
        <w:pStyle w:val="NormalHanging12a"/>
      </w:pPr>
      <w:r w:rsidRPr="00C56C69">
        <w:t>–</w:t>
      </w:r>
      <w:r w:rsidRPr="00C56C69">
        <w:tab/>
        <w:t>având în vedere Regulamentul delegat al Comisiei din 20 noiembrie 2025 de completare a Regulamentului (UE) 2023/956 al Parlamentului European și al Consiliului prin specificarea condițiilor pentru acordarea acreditării verificatorilor, pentru controlul și monitorizarea verificatorilor acreditați, pentru retragerea acreditării și pentru recunoașterea reciprocă și evaluarea colegială a organismelor de acreditare (C(2025)07845),</w:t>
      </w:r>
    </w:p>
    <w:p w14:paraId="3AA12366" w14:textId="77777777" w:rsidR="00E2582A" w:rsidRPr="00C56C69" w:rsidRDefault="00E2582A" w:rsidP="00E2582A">
      <w:pPr>
        <w:pStyle w:val="NormalHanging12a"/>
      </w:pPr>
      <w:r w:rsidRPr="00C56C69">
        <w:t>–</w:t>
      </w:r>
      <w:r w:rsidRPr="00C56C69">
        <w:tab/>
        <w:t>având în vedere scrisoarea Comisiei din 24 noiembrie 2025 prin care aceasta îi solicită să declare că nu va formula obiecții la regulamentul delegat al Comisiei din 20 noiembrie 2025,</w:t>
      </w:r>
    </w:p>
    <w:p w14:paraId="52D7C5AA" w14:textId="77777777" w:rsidR="00E2582A" w:rsidRPr="00C56C69" w:rsidRDefault="00E2582A" w:rsidP="00E2582A">
      <w:pPr>
        <w:pStyle w:val="NormalHanging12a"/>
      </w:pPr>
      <w:r w:rsidRPr="00C56C69">
        <w:t>–</w:t>
      </w:r>
      <w:r w:rsidRPr="00C56C69">
        <w:tab/>
        <w:t>având în vedere scrisoarea Comisiei pentru mediu, climă și siguranță alimentară trimisă președintelui Conferinței președinților de comisie la 4 decembrie 2025,</w:t>
      </w:r>
    </w:p>
    <w:p w14:paraId="3AC6DAC8" w14:textId="77777777" w:rsidR="00E2582A" w:rsidRPr="00C56C69" w:rsidRDefault="00E2582A" w:rsidP="00E2582A">
      <w:pPr>
        <w:pStyle w:val="NormalHanging12a"/>
      </w:pPr>
      <w:r w:rsidRPr="00C56C69">
        <w:t>–</w:t>
      </w:r>
      <w:r w:rsidRPr="00C56C69">
        <w:tab/>
        <w:t>având în vedere articolul 290 din Tratatul privind funcționarea Uniunii Europene,</w:t>
      </w:r>
    </w:p>
    <w:p w14:paraId="79C40431" w14:textId="77777777" w:rsidR="00E2582A" w:rsidRPr="00C56C69" w:rsidRDefault="00E2582A" w:rsidP="00E2582A">
      <w:pPr>
        <w:pStyle w:val="NormalHanging12a"/>
      </w:pPr>
      <w:r w:rsidRPr="00C56C69">
        <w:t>–</w:t>
      </w:r>
      <w:r w:rsidRPr="00C56C69">
        <w:tab/>
        <w:t>având în vedere Regulamentul (UE) 2023/956 al Parlamentului European și al Consiliului din 10 mai 2023 privind instituirea unui mecanism de ajustare a carbonului la frontieră</w:t>
      </w:r>
      <w:r w:rsidRPr="00C56C69">
        <w:rPr>
          <w:rStyle w:val="FootnoteReference"/>
        </w:rPr>
        <w:footnoteReference w:id="1"/>
      </w:r>
      <w:r w:rsidRPr="00C56C69">
        <w:t>, în special articolul 18 alineatul (3) și articolul 28 alineatul (7),</w:t>
      </w:r>
    </w:p>
    <w:p w14:paraId="6FE1CE53" w14:textId="77777777" w:rsidR="00E2582A" w:rsidRPr="00C56C69" w:rsidRDefault="00E2582A" w:rsidP="00E2582A">
      <w:pPr>
        <w:pStyle w:val="NormalHanging12a"/>
      </w:pPr>
      <w:r w:rsidRPr="00C56C69">
        <w:t>–</w:t>
      </w:r>
      <w:r w:rsidRPr="00C56C69">
        <w:tab/>
        <w:t>având în vedere articolul 114 alineatul (6) din Regulamentul său de procedură,</w:t>
      </w:r>
    </w:p>
    <w:p w14:paraId="44B5302D" w14:textId="77777777" w:rsidR="00E2582A" w:rsidRPr="00C56C69" w:rsidRDefault="00E2582A" w:rsidP="00E2582A">
      <w:pPr>
        <w:pStyle w:val="NormalHanging12a"/>
      </w:pPr>
      <w:r w:rsidRPr="00C56C69">
        <w:t>–</w:t>
      </w:r>
      <w:r w:rsidRPr="00C56C69">
        <w:tab/>
        <w:t>având în vedere recomandarea de decizie a Comisiei pentru mediu, climă și siguranță alimentară,</w:t>
      </w:r>
    </w:p>
    <w:p w14:paraId="35C7EE1C" w14:textId="4E28C593" w:rsidR="002B5981" w:rsidRPr="00C56C69" w:rsidRDefault="002B5981" w:rsidP="00E2582A">
      <w:pPr>
        <w:pStyle w:val="NormalHanging12a"/>
      </w:pPr>
      <w:r w:rsidRPr="00C56C69">
        <w:t>–</w:t>
      </w:r>
      <w:r w:rsidRPr="00C56C69">
        <w:tab/>
        <w:t xml:space="preserve">având în vedere că nu a fost formulată nicio obiecție în termenul prevăzut la articolul </w:t>
      </w:r>
      <w:r w:rsidRPr="00C56C69">
        <w:lastRenderedPageBreak/>
        <w:t>114 alineatul (6) a treia și a patra</w:t>
      </w:r>
      <w:r w:rsidR="004873F1" w:rsidRPr="00C56C69">
        <w:t xml:space="preserve"> liniuță</w:t>
      </w:r>
      <w:r w:rsidRPr="00C56C69">
        <w:t xml:space="preserve"> din Regulamentul său de procedură, termen care a expirat la 16 decembrie 2025,</w:t>
      </w:r>
    </w:p>
    <w:p w14:paraId="76060915" w14:textId="77777777" w:rsidR="00E2582A" w:rsidRPr="00C56C69" w:rsidRDefault="00E2582A" w:rsidP="00E2582A">
      <w:pPr>
        <w:pStyle w:val="NormalHanging12a"/>
      </w:pPr>
      <w:r w:rsidRPr="00C56C69">
        <w:t>A.</w:t>
      </w:r>
      <w:r w:rsidRPr="00C56C69">
        <w:tab/>
        <w:t>întrucât Regulamentul (UE) 2023/956 instituie un mecanism de ajustare a carbonului la frontieră (CBAM) pentru a trata problema emisiilor de gaze cu efect de seră încorporate în anumite mărfuri importate pe teritoriul vamal al Uniunii, cu scopul de a preveni riscul de relocare a emisiilor de carbon și a crea stimulente ale reducerii emisiilor mondiale de dioxid de carbon;</w:t>
      </w:r>
    </w:p>
    <w:p w14:paraId="6097698E" w14:textId="77777777" w:rsidR="00E2582A" w:rsidRPr="00C56C69" w:rsidRDefault="00E2582A" w:rsidP="00E2582A">
      <w:pPr>
        <w:pStyle w:val="NormalHanging12a"/>
      </w:pPr>
      <w:r w:rsidRPr="00C56C69">
        <w:t>B.</w:t>
      </w:r>
      <w:r w:rsidRPr="00C56C69">
        <w:tab/>
        <w:t>întrucât în temeiul Regulamentului (UE) 2023/956, atunci când emisiile încorporate în mărfurile importate pe teritoriul vamal al Uniunii începând cu 2026 se stabilesc pe baza valorilor reale, ele trebuie verificate de un verificator;</w:t>
      </w:r>
    </w:p>
    <w:p w14:paraId="2BB96167" w14:textId="45A457E1" w:rsidR="00E2582A" w:rsidRPr="00C56C69" w:rsidRDefault="00E2582A" w:rsidP="00E2582A">
      <w:pPr>
        <w:pStyle w:val="NormalHanging12a"/>
      </w:pPr>
      <w:r w:rsidRPr="00C56C69">
        <w:t>C.</w:t>
      </w:r>
      <w:r w:rsidRPr="00C56C69">
        <w:tab/>
        <w:t>întrucât</w:t>
      </w:r>
      <w:r w:rsidR="00230F75" w:rsidRPr="00C56C69">
        <w:t>,</w:t>
      </w:r>
      <w:r w:rsidRPr="00C56C69">
        <w:t xml:space="preserve"> prin articolul 18 alineatul (3) din Regulamentul (UE) 2023/956</w:t>
      </w:r>
      <w:r w:rsidR="00230F75" w:rsidRPr="00C56C69">
        <w:t>,</w:t>
      </w:r>
      <w:r w:rsidRPr="00C56C69">
        <w:t xml:space="preserve"> Comisia este împuternicită să adopte acte delegate pentru a completa regulamentul respectiv prin specificarea condițiilor pentru acordarea acreditării, menționate la articolul 18 alineatul (2) din regulamentul respectiv, pentru controlul și supravegherea verificatorilor acreditați, pentru retragerea acreditării și pentru recunoașterea reciprocă și evaluarea colegială a organismelor de acreditare;</w:t>
      </w:r>
    </w:p>
    <w:p w14:paraId="01DA66B7" w14:textId="77777777" w:rsidR="00E2582A" w:rsidRPr="00C56C69" w:rsidRDefault="00E2582A" w:rsidP="00E2582A">
      <w:pPr>
        <w:pStyle w:val="NormalHanging12a"/>
      </w:pPr>
      <w:r w:rsidRPr="00C56C69">
        <w:t>D.</w:t>
      </w:r>
      <w:r w:rsidRPr="00C56C69">
        <w:tab/>
        <w:t>întrucât la 20 noiembrie 2025 Comisia a transmis Parlamentului regulamentul delegat, inițiind perioada de verificare de două luni în cursul căreia Parlamentul poate formula obiecții;</w:t>
      </w:r>
    </w:p>
    <w:p w14:paraId="32A33A19" w14:textId="1919A97D" w:rsidR="00E2582A" w:rsidRPr="00C56C69" w:rsidRDefault="00E2582A" w:rsidP="00E2582A">
      <w:pPr>
        <w:pStyle w:val="NormalHanging12a"/>
      </w:pPr>
      <w:r w:rsidRPr="00C56C69">
        <w:t>E.</w:t>
      </w:r>
      <w:r w:rsidRPr="00C56C69">
        <w:tab/>
        <w:t xml:space="preserve">întrucât </w:t>
      </w:r>
      <w:r w:rsidR="00335FBC" w:rsidRPr="00C56C69">
        <w:t>r</w:t>
      </w:r>
      <w:r w:rsidRPr="00C56C69">
        <w:t xml:space="preserve">egulamentul delegat al Comisiei specifică condițiile în care organismele naționale de acreditare trebuie să acorde acreditarea în scopul CBAM pe baza documentelor justificative prezentate de solicitant și a capacității solicitantului de a aplica principiile de verificare; întrucât </w:t>
      </w:r>
      <w:r w:rsidR="00335FBC" w:rsidRPr="00C56C69">
        <w:t>r</w:t>
      </w:r>
      <w:r w:rsidRPr="00C56C69">
        <w:t>egulamentul delegat al Comisiei specifică și condițiile pentru controlul și monitorizarea verificatorilor acreditați și, în acest scop, specifică cerințele și activitățile de verificare ale verificatorilor, măsurile administrative aplicabile, inclusiv retragerea acreditării, precum și schimbul de informații între organismele naționale de acreditare, autoritățile naționale competente și Comisie; întrucât, în fine, regulamentul delegat al Comisiei specifică condițiile pentru recunoașterea reciprocă și evaluarea colegială a organismelor naționale de acreditare, inclusiv orice măsuri corective necesare din partea statelor membre;</w:t>
      </w:r>
    </w:p>
    <w:p w14:paraId="3AF88CBA" w14:textId="77777777" w:rsidR="00E2582A" w:rsidRPr="00C56C69" w:rsidRDefault="00E2582A" w:rsidP="00E2582A">
      <w:pPr>
        <w:pStyle w:val="NormalHanging12a"/>
      </w:pPr>
      <w:r w:rsidRPr="00C56C69">
        <w:t>F.</w:t>
      </w:r>
      <w:r w:rsidRPr="00C56C69">
        <w:tab/>
        <w:t>întrucât, în conformitate cu articolul 36 alineatul (2) litera (b) din Regulamentul (UE) 2023/956, dispozițiile referitoare la funcționarea CBAM se aplică de la 1 ianuarie 2026, după încheierea perioadei de tranziție; întrucât aceste dispoziții nu se pot aplica dacă regulamentul delegat al Comisiei nu se aplică de la 1 ianuarie 2026,</w:t>
      </w:r>
    </w:p>
    <w:p w14:paraId="6C3B9C86" w14:textId="77777777" w:rsidR="00E2582A" w:rsidRPr="00C56C69" w:rsidRDefault="00E2582A" w:rsidP="00E2582A">
      <w:pPr>
        <w:pStyle w:val="NormalHanging12a"/>
      </w:pPr>
      <w:r w:rsidRPr="00C56C69">
        <w:t>1.</w:t>
      </w:r>
      <w:r w:rsidRPr="00C56C69">
        <w:tab/>
        <w:t>declară că nu formulează obiecții la regulamentul delegat al Comisiei;</w:t>
      </w:r>
    </w:p>
    <w:p w14:paraId="45F0C288" w14:textId="7BAF9486" w:rsidR="00E91FB0" w:rsidRPr="00C56C69" w:rsidRDefault="00E2582A" w:rsidP="00E91FB0">
      <w:pPr>
        <w:pStyle w:val="NormalHanging12a"/>
      </w:pPr>
      <w:r w:rsidRPr="00C56C69">
        <w:t>2.</w:t>
      </w:r>
      <w:r w:rsidRPr="00C56C69">
        <w:tab/>
        <w:t>încredințează Președintei sarcina de a transmite prezenta decizie Consiliului și Comisiei.</w:t>
      </w:r>
    </w:p>
    <w:p w14:paraId="789474E7" w14:textId="726ED587" w:rsidR="00E365E1" w:rsidRPr="00C56C69" w:rsidRDefault="00E365E1" w:rsidP="006F5D5D"/>
    <w:sectPr w:rsidR="00E365E1" w:rsidRPr="00C56C69" w:rsidSect="00E91F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A3E7E" w14:textId="77777777" w:rsidR="006F5D5D" w:rsidRPr="00E91FB0" w:rsidRDefault="006F5D5D">
      <w:r w:rsidRPr="00E91FB0">
        <w:separator/>
      </w:r>
    </w:p>
  </w:endnote>
  <w:endnote w:type="continuationSeparator" w:id="0">
    <w:p w14:paraId="420ED7E9" w14:textId="77777777" w:rsidR="006F5D5D" w:rsidRPr="00E91FB0" w:rsidRDefault="006F5D5D">
      <w:r w:rsidRPr="00E91F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F10C2" w14:textId="77777777" w:rsidR="00064002" w:rsidRPr="00E91F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F9A8" w14:textId="77777777" w:rsidR="00064002" w:rsidRPr="00E91F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7E75" w14:textId="77777777" w:rsidR="00064002" w:rsidRPr="00E91F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46381" w14:textId="77777777" w:rsidR="006F5D5D" w:rsidRPr="00E91FB0" w:rsidRDefault="006F5D5D">
      <w:r w:rsidRPr="00E91FB0">
        <w:separator/>
      </w:r>
    </w:p>
  </w:footnote>
  <w:footnote w:type="continuationSeparator" w:id="0">
    <w:p w14:paraId="02C44DB6" w14:textId="77777777" w:rsidR="006F5D5D" w:rsidRPr="00E91FB0" w:rsidRDefault="006F5D5D">
      <w:r w:rsidRPr="00E91FB0">
        <w:continuationSeparator/>
      </w:r>
    </w:p>
  </w:footnote>
  <w:footnote w:id="1">
    <w:p w14:paraId="13ACDE5E" w14:textId="4FD4DA0D" w:rsidR="00E2582A" w:rsidRPr="00E91FB0" w:rsidRDefault="00E2582A" w:rsidP="00E91FB0">
      <w:pPr>
        <w:pStyle w:val="FootnoteText"/>
        <w:ind w:left="567" w:hanging="567"/>
        <w:rPr>
          <w:sz w:val="24"/>
          <w:lang w:val="ro-RO"/>
        </w:rPr>
      </w:pPr>
      <w:r w:rsidRPr="00E91FB0">
        <w:rPr>
          <w:rStyle w:val="FootnoteReference"/>
          <w:sz w:val="24"/>
          <w:lang w:val="ro-RO"/>
        </w:rPr>
        <w:footnoteRef/>
      </w:r>
      <w:r w:rsidR="00E91FB0" w:rsidRPr="00E91FB0">
        <w:rPr>
          <w:sz w:val="24"/>
          <w:lang w:val="ro-RO"/>
        </w:rPr>
        <w:t xml:space="preserve"> </w:t>
      </w:r>
      <w:r w:rsidR="00E91FB0" w:rsidRPr="00E91FB0">
        <w:rPr>
          <w:sz w:val="24"/>
          <w:lang w:val="ro-RO"/>
        </w:rPr>
        <w:tab/>
      </w:r>
      <w:r w:rsidRPr="00E91FB0">
        <w:rPr>
          <w:sz w:val="24"/>
          <w:lang w:val="ro-RO"/>
        </w:rPr>
        <w:t>JO L 130, 16.5.2023, p. 52, ELI: </w:t>
      </w:r>
      <w:hyperlink r:id="rId1" w:tooltip="Oferă acces la acest document prin identificatorul său uniform de resurse ELI." w:history="1">
        <w:r w:rsidRPr="00E91FB0">
          <w:rPr>
            <w:rStyle w:val="Hyperlink"/>
            <w:sz w:val="24"/>
            <w:lang w:val="ro-RO"/>
          </w:rPr>
          <w:t>http://data.europa.eu/eli/reg/2023/956/oj</w:t>
        </w:r>
      </w:hyperlink>
      <w:r w:rsidRPr="00E91FB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B1093" w14:textId="77777777" w:rsidR="00064002" w:rsidRPr="00E91F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DE47" w14:textId="77777777" w:rsidR="00064002" w:rsidRPr="00E91F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BF07" w14:textId="77777777" w:rsidR="00064002" w:rsidRPr="00E91F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EAAA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9710264">
    <w:abstractNumId w:val="9"/>
  </w:num>
  <w:num w:numId="2" w16cid:durableId="1466698692">
    <w:abstractNumId w:val="9"/>
  </w:num>
  <w:num w:numId="3" w16cid:durableId="451943426">
    <w:abstractNumId w:val="7"/>
  </w:num>
  <w:num w:numId="4" w16cid:durableId="2029212928">
    <w:abstractNumId w:val="7"/>
  </w:num>
  <w:num w:numId="5" w16cid:durableId="139735856">
    <w:abstractNumId w:val="6"/>
  </w:num>
  <w:num w:numId="6" w16cid:durableId="173305995">
    <w:abstractNumId w:val="6"/>
  </w:num>
  <w:num w:numId="7" w16cid:durableId="680863281">
    <w:abstractNumId w:val="5"/>
  </w:num>
  <w:num w:numId="8" w16cid:durableId="1626694105">
    <w:abstractNumId w:val="5"/>
  </w:num>
  <w:num w:numId="9" w16cid:durableId="2107531504">
    <w:abstractNumId w:val="4"/>
  </w:num>
  <w:num w:numId="10" w16cid:durableId="937716919">
    <w:abstractNumId w:val="4"/>
  </w:num>
  <w:num w:numId="11" w16cid:durableId="82067768">
    <w:abstractNumId w:val="8"/>
  </w:num>
  <w:num w:numId="12" w16cid:durableId="1856000407">
    <w:abstractNumId w:val="8"/>
  </w:num>
  <w:num w:numId="13" w16cid:durableId="1965694579">
    <w:abstractNumId w:val="3"/>
  </w:num>
  <w:num w:numId="14" w16cid:durableId="1249778090">
    <w:abstractNumId w:val="3"/>
  </w:num>
  <w:num w:numId="15" w16cid:durableId="793402449">
    <w:abstractNumId w:val="2"/>
  </w:num>
  <w:num w:numId="16" w16cid:durableId="1814908750">
    <w:abstractNumId w:val="2"/>
  </w:num>
  <w:num w:numId="17" w16cid:durableId="981231288">
    <w:abstractNumId w:val="1"/>
  </w:num>
  <w:num w:numId="18" w16cid:durableId="1573153410">
    <w:abstractNumId w:val="1"/>
  </w:num>
  <w:num w:numId="19" w16cid:durableId="1631328090">
    <w:abstractNumId w:val="0"/>
  </w:num>
  <w:num w:numId="20" w16cid:durableId="2007708755">
    <w:abstractNumId w:val="0"/>
  </w:num>
  <w:num w:numId="21" w16cid:durableId="772286985">
    <w:abstractNumId w:val="9"/>
  </w:num>
  <w:num w:numId="22" w16cid:durableId="852961507">
    <w:abstractNumId w:val="7"/>
  </w:num>
  <w:num w:numId="23" w16cid:durableId="1241210447">
    <w:abstractNumId w:val="6"/>
  </w:num>
  <w:num w:numId="24" w16cid:durableId="813107957">
    <w:abstractNumId w:val="5"/>
  </w:num>
  <w:num w:numId="25" w16cid:durableId="972054675">
    <w:abstractNumId w:val="4"/>
  </w:num>
  <w:num w:numId="26" w16cid:durableId="742529622">
    <w:abstractNumId w:val="8"/>
  </w:num>
  <w:num w:numId="27" w16cid:durableId="1850674940">
    <w:abstractNumId w:val="3"/>
  </w:num>
  <w:num w:numId="28" w16cid:durableId="2096783655">
    <w:abstractNumId w:val="2"/>
  </w:num>
  <w:num w:numId="29" w16cid:durableId="1371344365">
    <w:abstractNumId w:val="1"/>
  </w:num>
  <w:num w:numId="30" w16cid:durableId="985007548">
    <w:abstractNumId w:val="0"/>
  </w:num>
  <w:num w:numId="31" w16cid:durableId="1738014850">
    <w:abstractNumId w:val="9"/>
  </w:num>
  <w:num w:numId="32" w16cid:durableId="1376353564">
    <w:abstractNumId w:val="7"/>
  </w:num>
  <w:num w:numId="33" w16cid:durableId="747459841">
    <w:abstractNumId w:val="6"/>
  </w:num>
  <w:num w:numId="34" w16cid:durableId="799373121">
    <w:abstractNumId w:val="5"/>
  </w:num>
  <w:num w:numId="35" w16cid:durableId="861360663">
    <w:abstractNumId w:val="4"/>
  </w:num>
  <w:num w:numId="36" w16cid:durableId="1439329229">
    <w:abstractNumId w:val="8"/>
  </w:num>
  <w:num w:numId="37" w16cid:durableId="2110856700">
    <w:abstractNumId w:val="3"/>
  </w:num>
  <w:num w:numId="38" w16cid:durableId="266929284">
    <w:abstractNumId w:val="2"/>
  </w:num>
  <w:num w:numId="39" w16cid:durableId="1115441017">
    <w:abstractNumId w:val="1"/>
  </w:num>
  <w:num w:numId="40" w16cid:durableId="987905751">
    <w:abstractNumId w:val="0"/>
  </w:num>
  <w:num w:numId="41" w16cid:durableId="1229997964">
    <w:abstractNumId w:val="10"/>
  </w:num>
  <w:num w:numId="42" w16cid:durableId="1759519685">
    <w:abstractNumId w:val="10"/>
  </w:num>
  <w:num w:numId="43" w16cid:durableId="218177926">
    <w:abstractNumId w:val="10"/>
  </w:num>
  <w:num w:numId="44" w16cid:durableId="191312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RO"/>
    <w:docVar w:name="dvnumam" w:val="0"/>
    <w:docVar w:name="dvpe" w:val="779.817"/>
    <w:docVar w:name="dvtitre" w:val="Rezoluția Parlamentului European din 17 decembrie 2025 de a nu formula obiecții la Regulamentul delegat al Comisiei din 20 noiembrie 2025 de completare a Regulamentului (UE) 2023/956 al Parlamentului European și al Consiliului prin specificarea condițiilor pentru acordarea acreditării verificatorilor, pentru controlul și monitorizarea verificatorilor acreditați, pentru retragerea acreditării și pentru recunoașterea reciprocă și evaluarea colegială a organismelor de acreditare(C(2025)07845 – 2025/2997(DEA))"/>
  </w:docVars>
  <w:rsids>
    <w:rsidRoot w:val="006F5D5D"/>
    <w:rsid w:val="00002272"/>
    <w:rsid w:val="00064002"/>
    <w:rsid w:val="000677B9"/>
    <w:rsid w:val="000831BA"/>
    <w:rsid w:val="000A42CC"/>
    <w:rsid w:val="000E7DD9"/>
    <w:rsid w:val="0010095E"/>
    <w:rsid w:val="00125B37"/>
    <w:rsid w:val="00143476"/>
    <w:rsid w:val="00187494"/>
    <w:rsid w:val="001F32AE"/>
    <w:rsid w:val="002201FD"/>
    <w:rsid w:val="00230F75"/>
    <w:rsid w:val="002767FF"/>
    <w:rsid w:val="002B18FE"/>
    <w:rsid w:val="002B5493"/>
    <w:rsid w:val="002B5981"/>
    <w:rsid w:val="00312720"/>
    <w:rsid w:val="00335FBC"/>
    <w:rsid w:val="00343214"/>
    <w:rsid w:val="00361C00"/>
    <w:rsid w:val="00395FA1"/>
    <w:rsid w:val="003E15D4"/>
    <w:rsid w:val="00411CCE"/>
    <w:rsid w:val="0041666E"/>
    <w:rsid w:val="00421060"/>
    <w:rsid w:val="00471C19"/>
    <w:rsid w:val="004867E3"/>
    <w:rsid w:val="004873F1"/>
    <w:rsid w:val="00494A28"/>
    <w:rsid w:val="004C0004"/>
    <w:rsid w:val="004C5D52"/>
    <w:rsid w:val="0050519A"/>
    <w:rsid w:val="005072A1"/>
    <w:rsid w:val="00514517"/>
    <w:rsid w:val="00545827"/>
    <w:rsid w:val="00560270"/>
    <w:rsid w:val="005C2568"/>
    <w:rsid w:val="005F1B17"/>
    <w:rsid w:val="006037C0"/>
    <w:rsid w:val="006631B6"/>
    <w:rsid w:val="0066723F"/>
    <w:rsid w:val="00680577"/>
    <w:rsid w:val="006E12B4"/>
    <w:rsid w:val="006F5D5D"/>
    <w:rsid w:val="006F74FA"/>
    <w:rsid w:val="00730C9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07C"/>
    <w:rsid w:val="00BD48FE"/>
    <w:rsid w:val="00BD7BD8"/>
    <w:rsid w:val="00BE6ADC"/>
    <w:rsid w:val="00C05BFE"/>
    <w:rsid w:val="00C23CD4"/>
    <w:rsid w:val="00C56C69"/>
    <w:rsid w:val="00C61C0C"/>
    <w:rsid w:val="00C941CB"/>
    <w:rsid w:val="00CC2357"/>
    <w:rsid w:val="00CF071A"/>
    <w:rsid w:val="00D058B8"/>
    <w:rsid w:val="00D56C11"/>
    <w:rsid w:val="00D834A0"/>
    <w:rsid w:val="00D872DF"/>
    <w:rsid w:val="00D91E21"/>
    <w:rsid w:val="00DA7FCD"/>
    <w:rsid w:val="00E2582A"/>
    <w:rsid w:val="00E365E1"/>
    <w:rsid w:val="00E44530"/>
    <w:rsid w:val="00E53FC7"/>
    <w:rsid w:val="00E820A4"/>
    <w:rsid w:val="00E91FB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87602"/>
  <w15:chartTrackingRefBased/>
  <w15:docId w15:val="{6B3B5C23-3EBE-443F-AEFC-6C7C31BF0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582A"/>
    <w:pPr>
      <w:spacing w:before="480" w:after="240"/>
    </w:pPr>
  </w:style>
  <w:style w:type="paragraph" w:customStyle="1" w:styleId="NormalHanging12a">
    <w:name w:val="NormalHanging12a"/>
    <w:basedOn w:val="Normal"/>
    <w:rsid w:val="00E2582A"/>
    <w:pPr>
      <w:spacing w:after="240"/>
      <w:ind w:left="567" w:hanging="567"/>
    </w:pPr>
  </w:style>
  <w:style w:type="character" w:styleId="Hyperlink">
    <w:name w:val="Hyperlink"/>
    <w:basedOn w:val="DefaultParagraphFont"/>
    <w:unhideWhenUsed/>
    <w:rsid w:val="00E2582A"/>
    <w:rPr>
      <w:color w:val="0563C1" w:themeColor="hyperlink"/>
      <w:u w:val="single"/>
    </w:rPr>
  </w:style>
  <w:style w:type="paragraph" w:styleId="Revision">
    <w:name w:val="Revision"/>
    <w:hidden/>
    <w:uiPriority w:val="99"/>
    <w:semiHidden/>
    <w:rsid w:val="002B5981"/>
    <w:rPr>
      <w:sz w:val="24"/>
      <w:lang w:val="ro-RO"/>
    </w:rPr>
  </w:style>
  <w:style w:type="character" w:styleId="CommentReference">
    <w:name w:val="annotation reference"/>
    <w:basedOn w:val="DefaultParagraphFont"/>
    <w:rsid w:val="002B5981"/>
    <w:rPr>
      <w:sz w:val="16"/>
      <w:szCs w:val="16"/>
    </w:rPr>
  </w:style>
  <w:style w:type="paragraph" w:styleId="CommentText">
    <w:name w:val="annotation text"/>
    <w:basedOn w:val="Normal"/>
    <w:link w:val="CommentTextChar"/>
    <w:rsid w:val="002B5981"/>
    <w:rPr>
      <w:sz w:val="20"/>
    </w:rPr>
  </w:style>
  <w:style w:type="character" w:customStyle="1" w:styleId="CommentTextChar">
    <w:name w:val="Comment Text Char"/>
    <w:basedOn w:val="DefaultParagraphFont"/>
    <w:link w:val="CommentText"/>
    <w:rsid w:val="002B5981"/>
    <w:rPr>
      <w:lang w:val="ro-RO"/>
    </w:rPr>
  </w:style>
  <w:style w:type="paragraph" w:styleId="CommentSubject">
    <w:name w:val="annotation subject"/>
    <w:basedOn w:val="CommentText"/>
    <w:next w:val="CommentText"/>
    <w:link w:val="CommentSubjectChar"/>
    <w:rsid w:val="002B5981"/>
    <w:rPr>
      <w:b/>
      <w:bCs/>
    </w:rPr>
  </w:style>
  <w:style w:type="character" w:customStyle="1" w:styleId="CommentSubjectChar">
    <w:name w:val="Comment Subject Char"/>
    <w:basedOn w:val="CommentTextChar"/>
    <w:link w:val="CommentSubject"/>
    <w:rsid w:val="002B5981"/>
    <w:rPr>
      <w:b/>
      <w:bCs/>
      <w:lang w:val="ro-RO"/>
    </w:rPr>
  </w:style>
  <w:style w:type="paragraph" w:customStyle="1" w:styleId="Normal12Hanging">
    <w:name w:val="Normal12Hanging"/>
    <w:basedOn w:val="Normal"/>
    <w:rsid w:val="002B5981"/>
    <w:pPr>
      <w:spacing w:after="240"/>
      <w:ind w:left="567" w:hanging="567"/>
    </w:pPr>
  </w:style>
  <w:style w:type="paragraph" w:styleId="ListBullet">
    <w:name w:val="List Bullet"/>
    <w:basedOn w:val="Normal"/>
    <w:rsid w:val="00E4453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4289</Characters>
  <Application>Microsoft Office Word</Application>
  <DocSecurity>0</DocSecurity>
  <Lines>194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2026-02-03T10:47:00Z</dcterms:created>
  <dcterms:modified xsi:type="dcterms:W3CDTF">2026-02-03T10:47:00Z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B10-0565/2025</vt:lpwstr>
  </property>
  <property fmtid="{D5CDD505-2E9C-101B-9397-08002B2CF9AE}" pid="4" name="&lt;Type&gt;">
    <vt:lpwstr>RR</vt:lpwstr>
  </property>
</Properties>
</file>