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3616" w14:paraId="3BD7EC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FDC815" w14:textId="77777777" w:rsidR="00751A4A" w:rsidRPr="004F3616" w:rsidRDefault="000F0D5E" w:rsidP="0010095E">
            <w:pPr>
              <w:pStyle w:val="EPName"/>
            </w:pPr>
            <w:r w:rsidRPr="004F3616">
              <w:t>Európsky parlament</w:t>
            </w:r>
          </w:p>
          <w:p w14:paraId="33F1B0C3" w14:textId="77777777" w:rsidR="00751A4A" w:rsidRPr="004F36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3616">
              <w:t>2024</w:t>
            </w:r>
            <w:r w:rsidR="00817416" w:rsidRPr="004F3616">
              <w:t>-202</w:t>
            </w:r>
            <w:r w:rsidRPr="004F3616">
              <w:t>9</w:t>
            </w:r>
          </w:p>
        </w:tc>
        <w:tc>
          <w:tcPr>
            <w:tcW w:w="2268" w:type="dxa"/>
            <w:shd w:val="clear" w:color="auto" w:fill="auto"/>
          </w:tcPr>
          <w:p w14:paraId="5A16E83A" w14:textId="77777777" w:rsidR="00751A4A" w:rsidRPr="004F3616" w:rsidRDefault="00187494" w:rsidP="0010095E">
            <w:pPr>
              <w:pStyle w:val="EPLogo"/>
            </w:pPr>
            <w:r w:rsidRPr="004F3616">
              <w:rPr>
                <w:noProof/>
                <w:lang w:eastAsia="ja-JP"/>
              </w:rPr>
              <w:drawing>
                <wp:inline distT="0" distB="0" distL="0" distR="0" wp14:anchorId="75B27980" wp14:editId="5AEC19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A1A16" w14:textId="77777777" w:rsidR="00D058B8" w:rsidRPr="004F3616" w:rsidRDefault="00D058B8" w:rsidP="004C5D52">
      <w:pPr>
        <w:pStyle w:val="LineTop"/>
      </w:pPr>
    </w:p>
    <w:p w14:paraId="63E7A16C" w14:textId="77777777" w:rsidR="00680577" w:rsidRPr="004F3616" w:rsidRDefault="000F0D5E" w:rsidP="00680577">
      <w:pPr>
        <w:pStyle w:val="EPBodyTA1"/>
      </w:pPr>
      <w:r w:rsidRPr="004F3616">
        <w:t>PRIJATÉ TEXTY</w:t>
      </w:r>
    </w:p>
    <w:p w14:paraId="4828877F" w14:textId="77777777" w:rsidR="00D058B8" w:rsidRPr="004F3616" w:rsidRDefault="00D058B8" w:rsidP="00D058B8">
      <w:pPr>
        <w:pStyle w:val="LineBottom"/>
      </w:pPr>
    </w:p>
    <w:p w14:paraId="55E2F61E" w14:textId="49B8BEFC" w:rsidR="000F0D5E" w:rsidRPr="004F3616" w:rsidRDefault="000F0D5E" w:rsidP="000F0D5E">
      <w:pPr>
        <w:pStyle w:val="ATHeading1"/>
      </w:pPr>
      <w:bookmarkStart w:id="0" w:name="TANumber"/>
      <w:r w:rsidRPr="004F3616">
        <w:t>P10_TA(2025)0</w:t>
      </w:r>
      <w:r w:rsidR="004F3616" w:rsidRPr="004F3616">
        <w:t>329</w:t>
      </w:r>
      <w:bookmarkEnd w:id="0"/>
    </w:p>
    <w:p w14:paraId="7F08B4B6" w14:textId="2CF06263" w:rsidR="000F0D5E" w:rsidRPr="004F3616" w:rsidRDefault="008D2DBD" w:rsidP="000F0D5E">
      <w:pPr>
        <w:pStyle w:val="ATHeading2"/>
      </w:pPr>
      <w:bookmarkStart w:id="1" w:name="title"/>
      <w:r w:rsidRPr="004F3616">
        <w:t>Nevznesenie námietky voči delegovanému aktu: CBAM: podmienky udeľovania akreditácie</w:t>
      </w:r>
      <w:bookmarkEnd w:id="1"/>
    </w:p>
    <w:p w14:paraId="0C09A5D4" w14:textId="77777777" w:rsidR="000F0D5E" w:rsidRPr="004F3616" w:rsidRDefault="000F0D5E" w:rsidP="000F0D5E">
      <w:pPr>
        <w:rPr>
          <w:i/>
          <w:vanish/>
        </w:rPr>
      </w:pPr>
      <w:r w:rsidRPr="004F3616">
        <w:rPr>
          <w:i/>
        </w:rPr>
        <w:fldChar w:fldCharType="begin"/>
      </w:r>
      <w:r w:rsidRPr="004F3616">
        <w:rPr>
          <w:i/>
        </w:rPr>
        <w:instrText xml:space="preserve"> TC"(</w:instrText>
      </w:r>
      <w:bookmarkStart w:id="2" w:name="DocNumber"/>
      <w:r w:rsidRPr="004F3616">
        <w:rPr>
          <w:i/>
        </w:rPr>
        <w:instrText>B10-0565/2025</w:instrText>
      </w:r>
      <w:bookmarkEnd w:id="2"/>
      <w:r w:rsidRPr="004F3616">
        <w:rPr>
          <w:i/>
        </w:rPr>
        <w:instrText xml:space="preserve">)"\l3 \n&gt; \* MERGEFORMAT </w:instrText>
      </w:r>
      <w:r w:rsidRPr="004F3616">
        <w:rPr>
          <w:i/>
        </w:rPr>
        <w:fldChar w:fldCharType="end"/>
      </w:r>
    </w:p>
    <w:p w14:paraId="692B654B" w14:textId="77777777" w:rsidR="000F0D5E" w:rsidRPr="004F3616" w:rsidRDefault="000F0D5E" w:rsidP="000F0D5E">
      <w:pPr>
        <w:rPr>
          <w:vanish/>
        </w:rPr>
      </w:pPr>
      <w:bookmarkStart w:id="3" w:name="PE"/>
      <w:r w:rsidRPr="004F3616">
        <w:rPr>
          <w:vanish/>
        </w:rPr>
        <w:t>PE779.817</w:t>
      </w:r>
      <w:bookmarkEnd w:id="3"/>
    </w:p>
    <w:p w14:paraId="40D9DFB0" w14:textId="17D9CACD" w:rsidR="000F0D5E" w:rsidRPr="004F3616" w:rsidRDefault="000F0D5E" w:rsidP="000F0D5E">
      <w:pPr>
        <w:pStyle w:val="ATHeading3"/>
      </w:pPr>
      <w:bookmarkStart w:id="4" w:name="Sujet"/>
      <w:r w:rsidRPr="004F3616">
        <w:t>Rozhodnutie Európskeho parlamentu nevzniesť námietku voči delegovanému nariadeniu Komisie z 20. novembra 2025, ktorým sa dopĺňa nariadenie Európskeho parlamentu a Rady (EÚ) 2023/956 stanovením podmienok udeľovania akreditácie overovateľom, kontroly akreditovaných overovateľov a dohľadu nad nimi, zrušenia akreditácie a vzájomného uznávania a partnerského hodnotenia akreditačných orgánov</w:t>
      </w:r>
      <w:bookmarkEnd w:id="4"/>
      <w:r w:rsidRPr="004F3616">
        <w:t xml:space="preserve"> </w:t>
      </w:r>
      <w:bookmarkStart w:id="5" w:name="References"/>
      <w:r w:rsidRPr="004F3616">
        <w:t>(C(2025)07845 – 2025/2997(DEA))</w:t>
      </w:r>
      <w:bookmarkEnd w:id="5"/>
    </w:p>
    <w:p w14:paraId="06F90F8F" w14:textId="77777777" w:rsidR="009501FC" w:rsidRPr="004F3616" w:rsidRDefault="009501FC" w:rsidP="009501FC">
      <w:pPr>
        <w:pStyle w:val="EPComma"/>
      </w:pPr>
      <w:bookmarkStart w:id="6" w:name="TextBodyBegin"/>
      <w:bookmarkEnd w:id="6"/>
      <w:r w:rsidRPr="004F3616">
        <w:rPr>
          <w:i/>
        </w:rPr>
        <w:t>Európsky parlament</w:t>
      </w:r>
      <w:r w:rsidRPr="004F3616">
        <w:t>,</w:t>
      </w:r>
    </w:p>
    <w:p w14:paraId="1BD6A536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delegované nariadenie Komisie z 20. novembra 2025, ktorým sa dopĺňa nariadenie Európskeho parlamentu a Rady (EÚ) 2023/956 stanovením podmienok udeľovania akreditácie overovateľom, kontroly akreditovaných overovateľov a dohľadu nad nimi, zrušenia akreditácie a vzájomného uznávania a partnerského hodnotenia akreditačných orgánov (C(2025)07845),</w:t>
      </w:r>
    </w:p>
    <w:p w14:paraId="148CCE4E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list Komisie z 24. novembra 2025, ktorým ho žiada, aby oznámil, že nevznesie námietku voči delegovanému nariadeniu Komisie z 20. novembra 2025,</w:t>
      </w:r>
    </w:p>
    <w:p w14:paraId="78D336F6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list Výboru pre životné prostredie, klímu a bezpečnosť potravín predsedovi Konferencie predsedov výborov zo 4. decembra 2025,</w:t>
      </w:r>
    </w:p>
    <w:p w14:paraId="59F07726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článok 290 Zmluvy o fungovaní Európskej únie,</w:t>
      </w:r>
    </w:p>
    <w:p w14:paraId="7917C957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nariadenie Európskeho parlamentu a Rady (EÚ) 2023/956 z 10. mája 2023, ktorým sa zriaďuje mechanizmus uhlíkovej kompenzácie na hraniciach</w:t>
      </w:r>
      <w:r w:rsidRPr="004F3616">
        <w:rPr>
          <w:rStyle w:val="FootnoteReference"/>
        </w:rPr>
        <w:footnoteReference w:id="1"/>
      </w:r>
      <w:r w:rsidRPr="004F3616">
        <w:t>, a najmä na jeho článok 18 ods. 3 a článok 28 ods. 7,</w:t>
      </w:r>
    </w:p>
    <w:p w14:paraId="2093F4F6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článok 114 ods. 6 rokovacieho poriadku,</w:t>
      </w:r>
    </w:p>
    <w:p w14:paraId="672939A3" w14:textId="77777777" w:rsidR="009501FC" w:rsidRPr="004F3616" w:rsidRDefault="009501FC" w:rsidP="009501FC">
      <w:pPr>
        <w:pStyle w:val="NormalHanging12a"/>
      </w:pPr>
      <w:r w:rsidRPr="004F3616">
        <w:t>–</w:t>
      </w:r>
      <w:r w:rsidRPr="004F3616">
        <w:tab/>
        <w:t>so zreteľom na odporúčanie k rozhodnutiu Výboru pre životné prostredie, klímu a bezpečnosť potravín,</w:t>
      </w:r>
    </w:p>
    <w:p w14:paraId="43655B6B" w14:textId="70541CD3" w:rsidR="00C76BDD" w:rsidRPr="004F3616" w:rsidRDefault="00C76BDD" w:rsidP="009501FC">
      <w:pPr>
        <w:pStyle w:val="NormalHanging12a"/>
      </w:pPr>
      <w:r w:rsidRPr="004F3616">
        <w:t>–</w:t>
      </w:r>
      <w:r w:rsidRPr="004F3616">
        <w:tab/>
        <w:t xml:space="preserve">so zreteľom na skutočnosť, že neboli vznesené námietky v lehote stanovenej v článku 114 ods. 6 tretej a štvrtej zarážke rokovacieho poriadku, ktorá uplynula 16. decembra </w:t>
      </w:r>
      <w:r w:rsidRPr="004F3616">
        <w:lastRenderedPageBreak/>
        <w:t>2025,</w:t>
      </w:r>
    </w:p>
    <w:p w14:paraId="2CC887DA" w14:textId="77777777" w:rsidR="00C76BDD" w:rsidRPr="004F3616" w:rsidRDefault="009501FC" w:rsidP="009501FC">
      <w:pPr>
        <w:pStyle w:val="NormalHanging12a"/>
      </w:pPr>
      <w:r w:rsidRPr="004F3616">
        <w:t>A.</w:t>
      </w:r>
      <w:r w:rsidRPr="004F3616">
        <w:tab/>
        <w:t>keďže nariadením (EÚ) 2023/956 sa zriaďuje mechanizmus uhlíkovej kompenzácie na hraniciach (CBAM), ktorý má riešiť problém emisií skleníkových plynov viazaných v určitom tovare dovážanom na colné územie Únie s cieľom zabrániť riziku úniku uhlíka, ako aj vytvárať stimuly na znižovanie globálnych emisií uhlíka;</w:t>
      </w:r>
    </w:p>
    <w:p w14:paraId="33950BDD" w14:textId="5C2C5BBF" w:rsidR="009501FC" w:rsidRPr="004F3616" w:rsidRDefault="009501FC" w:rsidP="009501FC">
      <w:pPr>
        <w:pStyle w:val="NormalHanging12a"/>
      </w:pPr>
      <w:r w:rsidRPr="004F3616">
        <w:t>B.</w:t>
      </w:r>
      <w:r w:rsidRPr="004F3616">
        <w:tab/>
        <w:t xml:space="preserve">keďže podľa nariadenia (EÚ) 2023/956, ak sa viazané emisie v tovare dovezenom na colné územie Únie od roku 2026 </w:t>
      </w:r>
      <w:r w:rsidRPr="004F3616">
        <w:rPr>
          <w:color w:val="000000" w:themeColor="text1"/>
        </w:rPr>
        <w:t>určujú na základe skutočných hodnôt, musí ich overiť overovateľ</w:t>
      </w:r>
      <w:r w:rsidRPr="004F3616">
        <w:t>;</w:t>
      </w:r>
    </w:p>
    <w:p w14:paraId="77F4FB78" w14:textId="77777777" w:rsidR="009501FC" w:rsidRPr="004F3616" w:rsidRDefault="009501FC" w:rsidP="009501FC">
      <w:pPr>
        <w:pStyle w:val="NormalHanging12a"/>
      </w:pPr>
      <w:r w:rsidRPr="004F3616">
        <w:t>C.</w:t>
      </w:r>
      <w:r w:rsidRPr="004F3616">
        <w:tab/>
        <w:t>keďže v článku 18 ods. 3 nariadenia (EÚ) 2023/956 sa splnomocňuje Komisia prijímať delegované akty s cieľom doplniť toto nariadenie stanovením podmienok udeľovania akreditácie uvedenej v článku 18 ods. 2 daného nariadenia, kontroly a dohľadu nad akreditovanými overovateľmi, zrušenia akreditácie a vzájomného uznávania a partnerského hodnotenia akreditačných orgánov;</w:t>
      </w:r>
    </w:p>
    <w:p w14:paraId="0C6010CD" w14:textId="70D41B05" w:rsidR="009501FC" w:rsidRPr="004F3616" w:rsidRDefault="009501FC" w:rsidP="009501FC">
      <w:pPr>
        <w:pStyle w:val="NormalHanging12a"/>
      </w:pPr>
      <w:r w:rsidRPr="004F3616">
        <w:t>D.</w:t>
      </w:r>
      <w:r w:rsidRPr="004F3616">
        <w:tab/>
        <w:t xml:space="preserve">keďže 20. novembra 2025 Komisia zaslala </w:t>
      </w:r>
      <w:r w:rsidR="004F66CC" w:rsidRPr="004F3616">
        <w:t>Európskemu p</w:t>
      </w:r>
      <w:r w:rsidRPr="004F3616">
        <w:t xml:space="preserve">arlamentu delegované nariadenie, čím začalo plynúť dvojmesačné obdobie, počas ktorého môže </w:t>
      </w:r>
      <w:r w:rsidR="004F66CC" w:rsidRPr="004F3616">
        <w:t>Európsky p</w:t>
      </w:r>
      <w:r w:rsidRPr="004F3616">
        <w:t>arlament vzniesť námietku voči tomuto delegovanému nariadeniu;</w:t>
      </w:r>
    </w:p>
    <w:p w14:paraId="5C7132A8" w14:textId="77777777" w:rsidR="009501FC" w:rsidRPr="004F3616" w:rsidRDefault="009501FC" w:rsidP="009501FC">
      <w:pPr>
        <w:pStyle w:val="NormalHanging12a"/>
      </w:pPr>
      <w:r w:rsidRPr="004F3616">
        <w:t>E.</w:t>
      </w:r>
      <w:r w:rsidRPr="004F3616">
        <w:tab/>
        <w:t>keďže sa v delegovanom nariadení Komisie stanovujú podmienky, za ktorých vnútroštátne akreditačné orgány majú udeliť akreditáciu na účely mechanizmu CBAM na základe podpornej dokumentácie predloženej žiadateľom a spôsobilosti žiadateľa uplatňovať zásady overovania; keďže sa v delegovanom nariadení Komisie takisto špecifikujú podmienky pre kontrolu akreditovaných overovateľov a dohľad nad nimi a na tento účel sa stanujú požiadavky na overovateľov a overovacie činnosti overovateľov, uplatniteľné administratívne opatrenia vrátane zrušenia akreditácie, ako aj výmena informácií medzi vnútroštátnymi akreditačnými orgánmi, príslušnými vnútroštátnymi orgánmi a Komisiou; keďže sa v delegovanom nariadení Komisie napokon spresňujú podmienky vzájomného uznávania a partnerského hodnotenia vnútroštátnych akreditačných orgánov vrátane prípadných potrebných nápravných opatrení prijímaných členskými štátmi;</w:t>
      </w:r>
    </w:p>
    <w:p w14:paraId="7DB13AFB" w14:textId="77777777" w:rsidR="009501FC" w:rsidRPr="004F3616" w:rsidRDefault="009501FC" w:rsidP="009501FC">
      <w:pPr>
        <w:pStyle w:val="NormalHanging12a"/>
      </w:pPr>
      <w:r w:rsidRPr="004F3616">
        <w:t>F.</w:t>
      </w:r>
      <w:r w:rsidRPr="004F3616">
        <w:tab/>
        <w:t>keďže v súlade s článkom 36 ods. 2 písm. b) nariadenia (EÚ) 2023/956 sa ustanovenia týkajúce sa fungovania mechanizmu CBAM majú uplatňovať od 1. januára 2026 po skončení prechodného obdobia; keďže tieto ustanovenia nemôžu byť účinné bez toho, aby sa delegované nariadenie Komisie uplatňovalo od 1. januára 2026;</w:t>
      </w:r>
    </w:p>
    <w:p w14:paraId="1330BB3A" w14:textId="77777777" w:rsidR="009501FC" w:rsidRPr="004F3616" w:rsidRDefault="009501FC" w:rsidP="009501FC">
      <w:pPr>
        <w:pStyle w:val="NormalHanging12a"/>
      </w:pPr>
      <w:r w:rsidRPr="004F3616">
        <w:t>1.</w:t>
      </w:r>
      <w:r w:rsidRPr="004F3616">
        <w:tab/>
        <w:t>oznamuje, že nevznesie námietku voči delegovanému nariadeniu Komisie;</w:t>
      </w:r>
    </w:p>
    <w:p w14:paraId="3FC803E7" w14:textId="6B505640" w:rsidR="00E365E1" w:rsidRPr="004F3616" w:rsidRDefault="009501FC" w:rsidP="004F66CC">
      <w:pPr>
        <w:pStyle w:val="NormalHanging12a"/>
      </w:pPr>
      <w:r w:rsidRPr="004F3616">
        <w:t>2.</w:t>
      </w:r>
      <w:r w:rsidRPr="004F3616">
        <w:tab/>
        <w:t xml:space="preserve">poveruje svoju predsedníčku, aby postúpila toto rozhodnutie </w:t>
      </w:r>
      <w:r w:rsidR="00431CF7" w:rsidRPr="004F3616">
        <w:t>Rade a Komisii.</w:t>
      </w:r>
    </w:p>
    <w:sectPr w:rsidR="00E365E1" w:rsidRPr="004F3616" w:rsidSect="00431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A7096" w14:textId="77777777" w:rsidR="000F0D5E" w:rsidRPr="00431CF7" w:rsidRDefault="000F0D5E">
      <w:r w:rsidRPr="00431CF7">
        <w:separator/>
      </w:r>
    </w:p>
  </w:endnote>
  <w:endnote w:type="continuationSeparator" w:id="0">
    <w:p w14:paraId="18B78131" w14:textId="77777777" w:rsidR="000F0D5E" w:rsidRPr="00431CF7" w:rsidRDefault="000F0D5E">
      <w:r w:rsidRPr="00431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9188" w14:textId="77777777" w:rsidR="00064002" w:rsidRPr="00431C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A575" w14:textId="77777777" w:rsidR="00064002" w:rsidRPr="00431C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90C8" w14:textId="77777777" w:rsidR="00064002" w:rsidRPr="00431C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C4986" w14:textId="77777777" w:rsidR="000F0D5E" w:rsidRPr="00431CF7" w:rsidRDefault="000F0D5E">
      <w:r w:rsidRPr="00431CF7">
        <w:separator/>
      </w:r>
    </w:p>
  </w:footnote>
  <w:footnote w:type="continuationSeparator" w:id="0">
    <w:p w14:paraId="29ACAB50" w14:textId="77777777" w:rsidR="000F0D5E" w:rsidRPr="00431CF7" w:rsidRDefault="000F0D5E">
      <w:r w:rsidRPr="00431CF7">
        <w:continuationSeparator/>
      </w:r>
    </w:p>
  </w:footnote>
  <w:footnote w:id="1">
    <w:p w14:paraId="62159006" w14:textId="4986F9A5" w:rsidR="009501FC" w:rsidRPr="00431CF7" w:rsidRDefault="009501FC" w:rsidP="00431CF7">
      <w:pPr>
        <w:pStyle w:val="FootnoteText"/>
        <w:ind w:left="567" w:hanging="567"/>
        <w:rPr>
          <w:sz w:val="24"/>
          <w:lang w:val="sk-SK"/>
        </w:rPr>
      </w:pPr>
      <w:r w:rsidRPr="00431CF7">
        <w:rPr>
          <w:rStyle w:val="FootnoteReference"/>
          <w:sz w:val="24"/>
          <w:lang w:val="sk-SK"/>
        </w:rPr>
        <w:footnoteRef/>
      </w:r>
      <w:r w:rsidR="00431CF7" w:rsidRPr="00431CF7">
        <w:rPr>
          <w:sz w:val="24"/>
          <w:lang w:val="sk-SK"/>
        </w:rPr>
        <w:t xml:space="preserve"> </w:t>
      </w:r>
      <w:r w:rsidR="00431CF7" w:rsidRPr="00431CF7">
        <w:rPr>
          <w:sz w:val="24"/>
          <w:lang w:val="sk-SK"/>
        </w:rPr>
        <w:tab/>
      </w:r>
      <w:r w:rsidRPr="00431CF7">
        <w:rPr>
          <w:sz w:val="24"/>
          <w:lang w:val="sk-SK"/>
        </w:rPr>
        <w:t>Ú. v. EÚ L 130, 16.5.2023, s. 52, ELI: </w:t>
      </w:r>
      <w:hyperlink r:id="rId1" w:tooltip="Umožňuje prístup k tomuto dokumentu prostredníctvom identifikátora URI používaného v rámci ELI." w:history="1">
        <w:r w:rsidRPr="00431CF7">
          <w:rPr>
            <w:rStyle w:val="Hyperlink"/>
            <w:sz w:val="24"/>
            <w:lang w:val="sk-SK"/>
          </w:rPr>
          <w:t>http://data.europa.eu/eli/reg/2023/956/oj</w:t>
        </w:r>
      </w:hyperlink>
      <w:r w:rsidRPr="00431CF7">
        <w:rPr>
          <w:sz w:val="24"/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489A0" w14:textId="77777777" w:rsidR="00064002" w:rsidRPr="00431C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C9EE" w14:textId="77777777" w:rsidR="00064002" w:rsidRPr="00431C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E05E" w14:textId="77777777" w:rsidR="00064002" w:rsidRPr="00431C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9809001">
    <w:abstractNumId w:val="9"/>
  </w:num>
  <w:num w:numId="2" w16cid:durableId="573246024">
    <w:abstractNumId w:val="9"/>
  </w:num>
  <w:num w:numId="3" w16cid:durableId="2098599276">
    <w:abstractNumId w:val="7"/>
  </w:num>
  <w:num w:numId="4" w16cid:durableId="1244953735">
    <w:abstractNumId w:val="7"/>
  </w:num>
  <w:num w:numId="5" w16cid:durableId="548760127">
    <w:abstractNumId w:val="6"/>
  </w:num>
  <w:num w:numId="6" w16cid:durableId="1914505210">
    <w:abstractNumId w:val="6"/>
  </w:num>
  <w:num w:numId="7" w16cid:durableId="660281097">
    <w:abstractNumId w:val="5"/>
  </w:num>
  <w:num w:numId="8" w16cid:durableId="1187593914">
    <w:abstractNumId w:val="5"/>
  </w:num>
  <w:num w:numId="9" w16cid:durableId="1774089313">
    <w:abstractNumId w:val="4"/>
  </w:num>
  <w:num w:numId="10" w16cid:durableId="676931164">
    <w:abstractNumId w:val="4"/>
  </w:num>
  <w:num w:numId="11" w16cid:durableId="18818268">
    <w:abstractNumId w:val="8"/>
  </w:num>
  <w:num w:numId="12" w16cid:durableId="481390720">
    <w:abstractNumId w:val="8"/>
  </w:num>
  <w:num w:numId="13" w16cid:durableId="1252280230">
    <w:abstractNumId w:val="3"/>
  </w:num>
  <w:num w:numId="14" w16cid:durableId="387343396">
    <w:abstractNumId w:val="3"/>
  </w:num>
  <w:num w:numId="15" w16cid:durableId="1471895167">
    <w:abstractNumId w:val="2"/>
  </w:num>
  <w:num w:numId="16" w16cid:durableId="1748649977">
    <w:abstractNumId w:val="2"/>
  </w:num>
  <w:num w:numId="17" w16cid:durableId="1661153803">
    <w:abstractNumId w:val="1"/>
  </w:num>
  <w:num w:numId="18" w16cid:durableId="496963638">
    <w:abstractNumId w:val="1"/>
  </w:num>
  <w:num w:numId="19" w16cid:durableId="1458570772">
    <w:abstractNumId w:val="0"/>
  </w:num>
  <w:num w:numId="20" w16cid:durableId="143934324">
    <w:abstractNumId w:val="0"/>
  </w:num>
  <w:num w:numId="21" w16cid:durableId="632447475">
    <w:abstractNumId w:val="9"/>
  </w:num>
  <w:num w:numId="22" w16cid:durableId="2125810940">
    <w:abstractNumId w:val="7"/>
  </w:num>
  <w:num w:numId="23" w16cid:durableId="1164012237">
    <w:abstractNumId w:val="6"/>
  </w:num>
  <w:num w:numId="24" w16cid:durableId="1603997881">
    <w:abstractNumId w:val="5"/>
  </w:num>
  <w:num w:numId="25" w16cid:durableId="151992389">
    <w:abstractNumId w:val="4"/>
  </w:num>
  <w:num w:numId="26" w16cid:durableId="37703212">
    <w:abstractNumId w:val="8"/>
  </w:num>
  <w:num w:numId="27" w16cid:durableId="1397512986">
    <w:abstractNumId w:val="3"/>
  </w:num>
  <w:num w:numId="28" w16cid:durableId="548958174">
    <w:abstractNumId w:val="2"/>
  </w:num>
  <w:num w:numId="29" w16cid:durableId="84542613">
    <w:abstractNumId w:val="1"/>
  </w:num>
  <w:num w:numId="30" w16cid:durableId="133259385">
    <w:abstractNumId w:val="0"/>
  </w:num>
  <w:num w:numId="31" w16cid:durableId="342822539">
    <w:abstractNumId w:val="9"/>
  </w:num>
  <w:num w:numId="32" w16cid:durableId="1409885312">
    <w:abstractNumId w:val="7"/>
  </w:num>
  <w:num w:numId="33" w16cid:durableId="245236321">
    <w:abstractNumId w:val="6"/>
  </w:num>
  <w:num w:numId="34" w16cid:durableId="533932538">
    <w:abstractNumId w:val="5"/>
  </w:num>
  <w:num w:numId="35" w16cid:durableId="1913198700">
    <w:abstractNumId w:val="4"/>
  </w:num>
  <w:num w:numId="36" w16cid:durableId="427895286">
    <w:abstractNumId w:val="8"/>
  </w:num>
  <w:num w:numId="37" w16cid:durableId="1878856526">
    <w:abstractNumId w:val="3"/>
  </w:num>
  <w:num w:numId="38" w16cid:durableId="1970938033">
    <w:abstractNumId w:val="2"/>
  </w:num>
  <w:num w:numId="39" w16cid:durableId="619722719">
    <w:abstractNumId w:val="1"/>
  </w:num>
  <w:num w:numId="40" w16cid:durableId="271977383">
    <w:abstractNumId w:val="0"/>
  </w:num>
  <w:num w:numId="41" w16cid:durableId="1090078679">
    <w:abstractNumId w:val="10"/>
  </w:num>
  <w:num w:numId="42" w16cid:durableId="1818372684">
    <w:abstractNumId w:val="10"/>
  </w:num>
  <w:num w:numId="43" w16cid:durableId="64227072">
    <w:abstractNumId w:val="10"/>
  </w:num>
  <w:num w:numId="44" w16cid:durableId="8357311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SK"/>
    <w:docVar w:name="dvnumam" w:val="0"/>
    <w:docVar w:name="dvpe" w:val="779.817"/>
    <w:docVar w:name="dvtitre" w:val="Rozhodnutie Európskeho parlamentu z xx. decembra 2025 nevzniesť námietku voči delegovanému nariadeniu Komisie z 20. novembra 2025, ktorým sa dopĺňa nariadenie Európskeho parlamentu a Rady (EÚ) 2023/956 stanovením podmienok udeľovania akreditácie overovateľom, kontroly akreditovaných overovateľov a dohľadu nad nimi, zrušenia akreditácie a vzájomného uznávania a partnerského hodnotenia akreditačných orgánov(C(2025)07845 – 2025/2997(DEA))"/>
  </w:docVars>
  <w:rsids>
    <w:rsidRoot w:val="000F0D5E"/>
    <w:rsid w:val="00002272"/>
    <w:rsid w:val="00064002"/>
    <w:rsid w:val="000677B9"/>
    <w:rsid w:val="000831BA"/>
    <w:rsid w:val="000A42CC"/>
    <w:rsid w:val="000E7DD9"/>
    <w:rsid w:val="000F0D5E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CF7"/>
    <w:rsid w:val="00471C19"/>
    <w:rsid w:val="00475379"/>
    <w:rsid w:val="004867E3"/>
    <w:rsid w:val="00494A28"/>
    <w:rsid w:val="004A7EC0"/>
    <w:rsid w:val="004C0004"/>
    <w:rsid w:val="004C5D52"/>
    <w:rsid w:val="004F3616"/>
    <w:rsid w:val="004F66C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DBD"/>
    <w:rsid w:val="00930C23"/>
    <w:rsid w:val="0093193B"/>
    <w:rsid w:val="009501FC"/>
    <w:rsid w:val="009509D8"/>
    <w:rsid w:val="00950B64"/>
    <w:rsid w:val="00981893"/>
    <w:rsid w:val="009955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BD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D7CB3"/>
  <w15:chartTrackingRefBased/>
  <w15:docId w15:val="{328A2E87-D4A0-435C-A1E6-59BF57A8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01FC"/>
    <w:pPr>
      <w:spacing w:before="480" w:after="240"/>
    </w:pPr>
  </w:style>
  <w:style w:type="paragraph" w:customStyle="1" w:styleId="NormalHanging12a">
    <w:name w:val="NormalHanging12a"/>
    <w:basedOn w:val="Normal"/>
    <w:rsid w:val="009501FC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501F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F66C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2025-12-17T09:41:00Z</dcterms:created>
  <dcterms:modified xsi:type="dcterms:W3CDTF">2025-12-17T09:41:00Z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