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5FE6" w14:paraId="41F00F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8C2C5F" w14:textId="4D7CE7AD" w:rsidR="00751A4A" w:rsidRPr="00B65FE6" w:rsidRDefault="004478D6" w:rsidP="0010095E">
            <w:pPr>
              <w:pStyle w:val="EPName"/>
            </w:pPr>
            <w:r w:rsidRPr="00B65FE6">
              <w:t>E</w:t>
            </w:r>
            <w:r w:rsidR="004712E3">
              <w:t>v</w:t>
            </w:r>
            <w:r w:rsidRPr="00B65FE6">
              <w:t>ropski parlament</w:t>
            </w:r>
          </w:p>
          <w:p w14:paraId="788EF1AE" w14:textId="77777777" w:rsidR="00751A4A" w:rsidRPr="00B65F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5FE6">
              <w:t>2024</w:t>
            </w:r>
            <w:r w:rsidR="00817416" w:rsidRPr="00B65FE6">
              <w:t>-202</w:t>
            </w:r>
            <w:r w:rsidRPr="00B65FE6">
              <w:t>9</w:t>
            </w:r>
          </w:p>
        </w:tc>
        <w:tc>
          <w:tcPr>
            <w:tcW w:w="2268" w:type="dxa"/>
            <w:shd w:val="clear" w:color="auto" w:fill="auto"/>
          </w:tcPr>
          <w:p w14:paraId="1EDA90C1" w14:textId="77777777" w:rsidR="00751A4A" w:rsidRPr="00B65FE6" w:rsidRDefault="00187494" w:rsidP="0010095E">
            <w:pPr>
              <w:pStyle w:val="EPLogo"/>
            </w:pPr>
            <w:r w:rsidRPr="00B65FE6">
              <w:rPr>
                <w:noProof/>
                <w:lang w:eastAsia="ja-JP"/>
              </w:rPr>
              <w:drawing>
                <wp:inline distT="0" distB="0" distL="0" distR="0" wp14:anchorId="7148D8F6" wp14:editId="12B84C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A0EB2" w14:textId="77777777" w:rsidR="00D058B8" w:rsidRPr="00B65FE6" w:rsidRDefault="00D058B8" w:rsidP="004C5D52">
      <w:pPr>
        <w:pStyle w:val="LineTop"/>
      </w:pPr>
    </w:p>
    <w:p w14:paraId="18628714" w14:textId="72471642" w:rsidR="00680577" w:rsidRPr="00B65FE6" w:rsidRDefault="004478D6" w:rsidP="00680577">
      <w:pPr>
        <w:pStyle w:val="EPBodyTA1"/>
      </w:pPr>
      <w:r w:rsidRPr="00B65FE6">
        <w:t>SPREJETA BESEDILA</w:t>
      </w:r>
    </w:p>
    <w:p w14:paraId="16E4B786" w14:textId="77777777" w:rsidR="00D058B8" w:rsidRPr="00B65FE6" w:rsidRDefault="00D058B8" w:rsidP="00D058B8">
      <w:pPr>
        <w:pStyle w:val="LineBottom"/>
      </w:pPr>
    </w:p>
    <w:p w14:paraId="436432C2" w14:textId="28C617D7" w:rsidR="004478D6" w:rsidRPr="00B65FE6" w:rsidRDefault="004478D6" w:rsidP="004478D6">
      <w:pPr>
        <w:pStyle w:val="ATHeading1"/>
      </w:pPr>
      <w:bookmarkStart w:id="0" w:name="TANumber"/>
      <w:r w:rsidRPr="00B65FE6">
        <w:t>P10_TA(2025)</w:t>
      </w:r>
      <w:bookmarkEnd w:id="0"/>
      <w:r w:rsidR="00784736">
        <w:t>0329</w:t>
      </w:r>
    </w:p>
    <w:p w14:paraId="6BE6E9F9" w14:textId="31453751" w:rsidR="004478D6" w:rsidRPr="00B65FE6" w:rsidRDefault="005B557E" w:rsidP="004478D6">
      <w:pPr>
        <w:pStyle w:val="ATHeading2"/>
      </w:pPr>
      <w:proofErr w:type="spellStart"/>
      <w:r>
        <w:t>Nenasprotovanje</w:t>
      </w:r>
      <w:proofErr w:type="spellEnd"/>
      <w:r>
        <w:t xml:space="preserve"> delegiranemu aktu: CBAM: </w:t>
      </w:r>
      <w:r w:rsidRPr="00B65FE6">
        <w:t>pogoj</w:t>
      </w:r>
      <w:r>
        <w:t>i</w:t>
      </w:r>
      <w:r w:rsidRPr="00B65FE6">
        <w:t xml:space="preserve"> za izdajo akreditacije </w:t>
      </w:r>
    </w:p>
    <w:p w14:paraId="4628671D" w14:textId="77777777" w:rsidR="004478D6" w:rsidRPr="00B65FE6" w:rsidRDefault="004478D6" w:rsidP="004478D6">
      <w:pPr>
        <w:rPr>
          <w:i/>
          <w:vanish/>
        </w:rPr>
      </w:pPr>
      <w:r w:rsidRPr="00B65FE6">
        <w:rPr>
          <w:i/>
        </w:rPr>
        <w:fldChar w:fldCharType="begin"/>
      </w:r>
      <w:r w:rsidRPr="00B65FE6">
        <w:rPr>
          <w:i/>
        </w:rPr>
        <w:instrText xml:space="preserve"> TC"(</w:instrText>
      </w:r>
      <w:bookmarkStart w:id="1" w:name="DocNumber"/>
      <w:r w:rsidRPr="00B65FE6">
        <w:rPr>
          <w:i/>
        </w:rPr>
        <w:instrText>B10-0565/2025</w:instrText>
      </w:r>
      <w:bookmarkEnd w:id="1"/>
      <w:r w:rsidRPr="00B65FE6">
        <w:rPr>
          <w:i/>
        </w:rPr>
        <w:instrText xml:space="preserve">)"\l3 \n&gt; \* MERGEFORMAT </w:instrText>
      </w:r>
      <w:r w:rsidRPr="00B65FE6">
        <w:rPr>
          <w:i/>
        </w:rPr>
        <w:fldChar w:fldCharType="end"/>
      </w:r>
    </w:p>
    <w:p w14:paraId="6F13EE22" w14:textId="77777777" w:rsidR="004478D6" w:rsidRPr="00B65FE6" w:rsidRDefault="004478D6" w:rsidP="004478D6">
      <w:pPr>
        <w:rPr>
          <w:vanish/>
        </w:rPr>
      </w:pPr>
      <w:bookmarkStart w:id="2" w:name="PE"/>
      <w:r w:rsidRPr="00B65FE6">
        <w:rPr>
          <w:vanish/>
        </w:rPr>
        <w:t>PE779.817</w:t>
      </w:r>
      <w:bookmarkEnd w:id="2"/>
    </w:p>
    <w:p w14:paraId="0D6307E9" w14:textId="61EA4931" w:rsidR="004478D6" w:rsidRPr="00B65FE6" w:rsidRDefault="004478D6" w:rsidP="004478D6">
      <w:pPr>
        <w:pStyle w:val="ATHeading3"/>
      </w:pPr>
      <w:bookmarkStart w:id="3" w:name="Sujet"/>
      <w:r w:rsidRPr="00B65FE6">
        <w:t>Sklep Evropskega parlamenta</w:t>
      </w:r>
      <w:r w:rsidR="002871F2">
        <w:t>,</w:t>
      </w:r>
      <w:r w:rsidRPr="00B65FE6">
        <w:t xml:space="preserve"> da ne nasprotuje Delegirani uredbi Komisije z dne 20. novembra 2025 o dopolnitvi Uredbe (EU) 2023/956 Evropskega parlamenta in Sveta z določitvijo pogojev za izdajo akreditacije </w:t>
      </w:r>
      <w:proofErr w:type="spellStart"/>
      <w:r w:rsidRPr="00B65FE6">
        <w:t>preveriteljem</w:t>
      </w:r>
      <w:proofErr w:type="spellEnd"/>
      <w:r w:rsidRPr="00B65FE6">
        <w:t xml:space="preserve">, kontrolo in nadzor akreditiranih </w:t>
      </w:r>
      <w:proofErr w:type="spellStart"/>
      <w:r w:rsidRPr="00B65FE6">
        <w:t>preveriteljev</w:t>
      </w:r>
      <w:proofErr w:type="spellEnd"/>
      <w:r w:rsidRPr="00B65FE6">
        <w:t>, preklic akreditacij ter vzajemno priznavanje in medsebojno ocenjevanje akreditacijskih organov</w:t>
      </w:r>
      <w:bookmarkEnd w:id="3"/>
      <w:r w:rsidRPr="00B65FE6">
        <w:t xml:space="preserve"> </w:t>
      </w:r>
      <w:bookmarkStart w:id="4" w:name="References"/>
      <w:r w:rsidRPr="00B65FE6">
        <w:t>(C(2025)07845 – 2025/2997(DEA))</w:t>
      </w:r>
      <w:bookmarkEnd w:id="4"/>
    </w:p>
    <w:p w14:paraId="1225D5FE" w14:textId="77777777" w:rsidR="00762E24" w:rsidRPr="006E5E38" w:rsidRDefault="00762E24" w:rsidP="00762E24">
      <w:pPr>
        <w:pStyle w:val="EPComma"/>
        <w:rPr>
          <w:i/>
          <w:iCs/>
        </w:rPr>
      </w:pPr>
      <w:bookmarkStart w:id="5" w:name="TextBodyBegin"/>
      <w:bookmarkEnd w:id="5"/>
      <w:r w:rsidRPr="006E5E38">
        <w:rPr>
          <w:i/>
          <w:iCs/>
        </w:rPr>
        <w:t>Evropski parlament,</w:t>
      </w:r>
    </w:p>
    <w:p w14:paraId="508F27AC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 xml:space="preserve">ob upoštevanju delegirane uredbe Komisije z dne 20. novembra 2025 o dopolnitvi Uredbe (EU) 2023/956 Evropskega parlamenta in Sveta z določitvijo pogojev za izdajo akreditacije </w:t>
      </w:r>
      <w:proofErr w:type="spellStart"/>
      <w:r w:rsidRPr="00B65FE6">
        <w:t>preveriteljem</w:t>
      </w:r>
      <w:proofErr w:type="spellEnd"/>
      <w:r w:rsidRPr="00B65FE6">
        <w:t xml:space="preserve">, kontrolo in nadzor akreditiranih </w:t>
      </w:r>
      <w:proofErr w:type="spellStart"/>
      <w:r w:rsidRPr="00B65FE6">
        <w:t>preveriteljev</w:t>
      </w:r>
      <w:proofErr w:type="spellEnd"/>
      <w:r w:rsidRPr="00B65FE6">
        <w:t>, preklic akreditacij ter vzajemno priznavanje in medsebojno ocenjevanje akreditacijskih organov (C(2025)07845),</w:t>
      </w:r>
    </w:p>
    <w:p w14:paraId="1EF1C661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>ob upoštevanju pisma Komisije z dne 24. novembra 2025, v katerem poziva Parlament, naj izjavi, da ne bo nasprotoval delegirani uredbi Komisije z dne 20. novembra 2025,</w:t>
      </w:r>
    </w:p>
    <w:p w14:paraId="3C54495C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>ob upoštevanju pisma Odbora za okolje, podnebje in varnost hrane predsedniku konference predsednikov odborov z dne 4. decembra 2025,</w:t>
      </w:r>
    </w:p>
    <w:p w14:paraId="088F2B43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>ob upoštevanju člena 290 Pogodbe o delovanju Evropske unije,</w:t>
      </w:r>
    </w:p>
    <w:p w14:paraId="777B5ED6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>ob upoštevanju Uredbe (EU) 2023/956 Evropskega parlamenta in Sveta z dne 10. maja 2023 o vzpostavitvi mehanizma za ogljično prilagoditev na mejah</w:t>
      </w:r>
      <w:r w:rsidRPr="00B65FE6">
        <w:rPr>
          <w:rStyle w:val="FootnoteReference"/>
        </w:rPr>
        <w:footnoteReference w:id="1"/>
      </w:r>
      <w:r w:rsidRPr="00B65FE6">
        <w:t xml:space="preserve"> ter zlasti člena 18(3) in člena 28(7) Uredbe,</w:t>
      </w:r>
    </w:p>
    <w:p w14:paraId="52F22C1B" w14:textId="77777777" w:rsidR="00762E24" w:rsidRPr="00B65FE6" w:rsidRDefault="00762E24" w:rsidP="00762E24">
      <w:pPr>
        <w:pStyle w:val="NormalHanging12a"/>
      </w:pPr>
      <w:r w:rsidRPr="00B65FE6">
        <w:t>–</w:t>
      </w:r>
      <w:r w:rsidRPr="00B65FE6">
        <w:tab/>
        <w:t>ob upoštevanju člena 114(6) Poslovnika,</w:t>
      </w:r>
    </w:p>
    <w:p w14:paraId="2F92E518" w14:textId="77777777" w:rsidR="00762E24" w:rsidRDefault="00762E24" w:rsidP="00762E24">
      <w:pPr>
        <w:pStyle w:val="NormalHanging12a"/>
      </w:pPr>
      <w:r w:rsidRPr="00B65FE6">
        <w:t>–</w:t>
      </w:r>
      <w:r w:rsidRPr="00B65FE6">
        <w:tab/>
        <w:t>ob upoštevanju priporočila za sklep Odbora za okolje, podnebje in varnost hrane,</w:t>
      </w:r>
    </w:p>
    <w:p w14:paraId="2C2E1487" w14:textId="709B3247" w:rsidR="005B557E" w:rsidRPr="00B65FE6" w:rsidRDefault="005B557E" w:rsidP="00762E24">
      <w:pPr>
        <w:pStyle w:val="NormalHanging12a"/>
      </w:pPr>
      <w:r w:rsidRPr="003A3618">
        <w:t>–</w:t>
      </w:r>
      <w:r w:rsidRPr="003A3618">
        <w:tab/>
      </w:r>
      <w:r w:rsidR="003A3618" w:rsidRPr="003A3618">
        <w:t>ob upoštevanju</w:t>
      </w:r>
      <w:r w:rsidR="003A3618">
        <w:t>,</w:t>
      </w:r>
      <w:r w:rsidR="003A3618" w:rsidRPr="003A3618">
        <w:t xml:space="preserve"> da ni bilo izraženo nobeno nasprotovanje v roku iz tretje in četrte alinee člena 114(6) Poslovnika, ki se je iztekel</w:t>
      </w:r>
      <w:r w:rsidRPr="003A3618">
        <w:t xml:space="preserve"> 16</w:t>
      </w:r>
      <w:r w:rsidR="003A3618" w:rsidRPr="003A3618">
        <w:t>. decembra</w:t>
      </w:r>
      <w:r w:rsidRPr="003A3618">
        <w:t xml:space="preserve"> 2025,</w:t>
      </w:r>
    </w:p>
    <w:p w14:paraId="058C9297" w14:textId="77777777" w:rsidR="006E5E38" w:rsidRDefault="00762E24" w:rsidP="00762E24">
      <w:pPr>
        <w:pStyle w:val="NormalHanging12a"/>
      </w:pPr>
      <w:r w:rsidRPr="00B65FE6">
        <w:t>A.</w:t>
      </w:r>
      <w:r w:rsidRPr="00B65FE6">
        <w:tab/>
        <w:t xml:space="preserve">ker Uredba (EU) 2023/956 vzpostavlja mehanizem za ogljično prilagoditev na mejah </w:t>
      </w:r>
      <w:r w:rsidRPr="00B65FE6">
        <w:lastRenderedPageBreak/>
        <w:t>(CBAM) za obravnavanje emisij toplogrednih plinov, vgrajenih v nekaterem blagu, uvoženem na carinsko območje Unije, da bi preprečili tveganje selitve virov CO</w:t>
      </w:r>
      <w:r w:rsidRPr="00B65FE6">
        <w:rPr>
          <w:vertAlign w:val="subscript"/>
        </w:rPr>
        <w:t>2</w:t>
      </w:r>
      <w:r w:rsidRPr="00B65FE6">
        <w:t xml:space="preserve"> in ustvarili spodbude za zmanjšanje svetovnih emisij ogljika;</w:t>
      </w:r>
    </w:p>
    <w:p w14:paraId="316BA907" w14:textId="718E9239" w:rsidR="00762E24" w:rsidRPr="00B65FE6" w:rsidRDefault="00762E24" w:rsidP="00762E24">
      <w:pPr>
        <w:pStyle w:val="NormalHanging12a"/>
      </w:pPr>
      <w:r w:rsidRPr="00B65FE6">
        <w:t>B.</w:t>
      </w:r>
      <w:r w:rsidRPr="00B65FE6">
        <w:tab/>
        <w:t xml:space="preserve">ker v skladu z Uredbo (EU) 2023/956 </w:t>
      </w:r>
      <w:proofErr w:type="spellStart"/>
      <w:r w:rsidRPr="00B65FE6">
        <w:t>preveritelj</w:t>
      </w:r>
      <w:proofErr w:type="spellEnd"/>
      <w:r w:rsidRPr="00B65FE6">
        <w:t xml:space="preserve"> preveri emisije, vgrajene v blagu, ki se na carinsko območje Unije uvozi od leta 2026, </w:t>
      </w:r>
      <w:r w:rsidRPr="00B65FE6">
        <w:rPr>
          <w:color w:val="000000" w:themeColor="text1"/>
        </w:rPr>
        <w:t>kadar so emisije določene na podlagi dejanskih vrednosti</w:t>
      </w:r>
      <w:r w:rsidRPr="00B65FE6">
        <w:t>;</w:t>
      </w:r>
    </w:p>
    <w:p w14:paraId="0A404D2F" w14:textId="77777777" w:rsidR="00762E24" w:rsidRPr="00B65FE6" w:rsidRDefault="00762E24" w:rsidP="00762E24">
      <w:pPr>
        <w:pStyle w:val="NormalHanging12a"/>
      </w:pPr>
      <w:r w:rsidRPr="00B65FE6">
        <w:t>C.</w:t>
      </w:r>
      <w:r w:rsidRPr="00B65FE6">
        <w:tab/>
        <w:t xml:space="preserve">ker člen 18(3) Uredbe (EU) 2023/956 na Komisijo prenaša pooblastilo za sprejemanje delegiranih aktov za dopolnitev te uredbe z določitvijo pogojev za podelitev akreditacije iz člena 18(2) te uredbe, za kontrolo in nadzor nad akreditiranimi </w:t>
      </w:r>
      <w:proofErr w:type="spellStart"/>
      <w:r w:rsidRPr="00B65FE6">
        <w:t>preveritelji</w:t>
      </w:r>
      <w:proofErr w:type="spellEnd"/>
      <w:r w:rsidRPr="00B65FE6">
        <w:t>, za preklic akreditacije ter za vzajemno priznavanje in medsebojno ocenjevanje akreditacijskih organov;</w:t>
      </w:r>
    </w:p>
    <w:p w14:paraId="5FDDBD2B" w14:textId="77777777" w:rsidR="00762E24" w:rsidRPr="00B65FE6" w:rsidRDefault="00762E24" w:rsidP="00762E24">
      <w:pPr>
        <w:pStyle w:val="NormalHanging12a"/>
      </w:pPr>
      <w:r w:rsidRPr="00B65FE6">
        <w:t>D.</w:t>
      </w:r>
      <w:r w:rsidRPr="00B65FE6">
        <w:tab/>
        <w:t>ker je Komisija 20. novembra 2025 Parlamentu posredovala delegirano uredbo, s čimer je začel teči dvomesečni rok za pregled, v katerem lahko Parlament tej delegirani uredbi nasprotuje;</w:t>
      </w:r>
    </w:p>
    <w:p w14:paraId="58AF0432" w14:textId="77777777" w:rsidR="00762E24" w:rsidRPr="00B65FE6" w:rsidRDefault="00762E24" w:rsidP="00762E24">
      <w:pPr>
        <w:pStyle w:val="NormalHanging12a"/>
      </w:pPr>
      <w:r w:rsidRPr="00B65FE6">
        <w:t>E.</w:t>
      </w:r>
      <w:r w:rsidRPr="00B65FE6">
        <w:tab/>
        <w:t xml:space="preserve">ker delegirana uredba Komisije določa pogoje, pod katerimi nacionalni akreditacijski organi na podlagi dokazil, ki jih predloži vložnik, in sposobnosti vložnika za uporabo načel preverjanja izdajo akreditacijo za namene CBAM; ker delegirana uredba Komisije določa tudi pogoje za kontrolo in nadzor akreditiranih </w:t>
      </w:r>
      <w:proofErr w:type="spellStart"/>
      <w:r w:rsidRPr="00B65FE6">
        <w:t>preveriteljev</w:t>
      </w:r>
      <w:proofErr w:type="spellEnd"/>
      <w:r w:rsidRPr="00B65FE6">
        <w:t xml:space="preserve"> ter za ta namen določa zahteve in dejavnosti preverjanja, ki jih izvajajo </w:t>
      </w:r>
      <w:proofErr w:type="spellStart"/>
      <w:r w:rsidRPr="00B65FE6">
        <w:t>preveritelji</w:t>
      </w:r>
      <w:proofErr w:type="spellEnd"/>
      <w:r w:rsidRPr="00B65FE6">
        <w:t>, ustrezni upravne ukrepe, vključno s preklicem akreditacije, ter izmenjavo informacij med nacionalnimi akreditacijskimi organi, pristojnimi nacionalnimi organi in Komisijo; ker so v delegirani uredbi Komisije določeni tudi pogoji za vzajemno priznavanje in medsebojno ocenjevanje nacionalnih akreditacijskih organov, vključno z vsemi potrebnimi popravnimi ukrepi držav članic;</w:t>
      </w:r>
    </w:p>
    <w:p w14:paraId="4D40C961" w14:textId="77777777" w:rsidR="00762E24" w:rsidRPr="00B65FE6" w:rsidRDefault="00762E24" w:rsidP="00762E24">
      <w:pPr>
        <w:pStyle w:val="NormalHanging12a"/>
      </w:pPr>
      <w:r w:rsidRPr="00B65FE6">
        <w:t>F.</w:t>
      </w:r>
      <w:r w:rsidRPr="00B65FE6">
        <w:tab/>
        <w:t>ker se v skladu s členom 36(2), točka (b), Uredbe (EU) 2023/956 določbe v zvezi z delovanjem mehanizma CBAM uporabljajo od 1. januarja 2026 po koncu prehodnega obdobja; ker te določbe ne morejo delovati, če se delegirana uredba Komisije ne bo začela uporabljati 1. januarja 2026;</w:t>
      </w:r>
    </w:p>
    <w:p w14:paraId="497A7890" w14:textId="77777777" w:rsidR="00762E24" w:rsidRPr="00B65FE6" w:rsidRDefault="00762E24" w:rsidP="00762E24">
      <w:pPr>
        <w:pStyle w:val="NormalHanging12a"/>
      </w:pPr>
      <w:r w:rsidRPr="00B65FE6">
        <w:t>1.</w:t>
      </w:r>
      <w:r w:rsidRPr="00B65FE6">
        <w:tab/>
        <w:t>izjavlja, da ne nasprotuje delegirani uredbi Komisije;</w:t>
      </w:r>
    </w:p>
    <w:p w14:paraId="1EDE2FF5" w14:textId="11918080" w:rsidR="00E365E1" w:rsidRPr="00B65FE6" w:rsidRDefault="00762E24" w:rsidP="006E5E38">
      <w:pPr>
        <w:pStyle w:val="NormalHanging12a"/>
      </w:pPr>
      <w:r w:rsidRPr="00B65FE6">
        <w:t>2.</w:t>
      </w:r>
      <w:r w:rsidRPr="00B65FE6">
        <w:tab/>
        <w:t>naroči svoji predsednici, naj ta sklep posreduje Svetu in Komisiji.</w:t>
      </w:r>
    </w:p>
    <w:sectPr w:rsidR="00E365E1" w:rsidRPr="00B65FE6" w:rsidSect="00B65F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3B306" w14:textId="77777777" w:rsidR="004478D6" w:rsidRPr="00B65FE6" w:rsidRDefault="004478D6">
      <w:r w:rsidRPr="00B65FE6">
        <w:separator/>
      </w:r>
    </w:p>
  </w:endnote>
  <w:endnote w:type="continuationSeparator" w:id="0">
    <w:p w14:paraId="658AC188" w14:textId="77777777" w:rsidR="004478D6" w:rsidRPr="00B65FE6" w:rsidRDefault="004478D6">
      <w:r w:rsidRPr="00B65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F6B9" w14:textId="77777777" w:rsidR="00064002" w:rsidRPr="00B65F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0081" w14:textId="77777777" w:rsidR="00064002" w:rsidRPr="00B65F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98AA6" w14:textId="77777777" w:rsidR="00064002" w:rsidRPr="00B65F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54828" w14:textId="77777777" w:rsidR="004478D6" w:rsidRPr="00B65FE6" w:rsidRDefault="004478D6">
      <w:r w:rsidRPr="00B65FE6">
        <w:separator/>
      </w:r>
    </w:p>
  </w:footnote>
  <w:footnote w:type="continuationSeparator" w:id="0">
    <w:p w14:paraId="7EA23899" w14:textId="77777777" w:rsidR="004478D6" w:rsidRPr="00B65FE6" w:rsidRDefault="004478D6">
      <w:r w:rsidRPr="00B65FE6">
        <w:continuationSeparator/>
      </w:r>
    </w:p>
  </w:footnote>
  <w:footnote w:id="1">
    <w:p w14:paraId="35360886" w14:textId="06D490F1" w:rsidR="00762E24" w:rsidRPr="00B65FE6" w:rsidRDefault="00762E24" w:rsidP="00B65FE6">
      <w:pPr>
        <w:pStyle w:val="FootnoteText"/>
        <w:ind w:left="567" w:hanging="567"/>
        <w:rPr>
          <w:sz w:val="24"/>
          <w:lang w:val="sl-SI"/>
        </w:rPr>
      </w:pPr>
      <w:r w:rsidRPr="00B65FE6">
        <w:rPr>
          <w:rStyle w:val="FootnoteReference"/>
          <w:sz w:val="24"/>
          <w:lang w:val="sl-SI"/>
        </w:rPr>
        <w:footnoteRef/>
      </w:r>
      <w:r w:rsidR="00B65FE6" w:rsidRPr="00B65FE6">
        <w:rPr>
          <w:sz w:val="24"/>
          <w:lang w:val="sl-SI"/>
        </w:rPr>
        <w:t xml:space="preserve"> </w:t>
      </w:r>
      <w:r w:rsidR="00B65FE6" w:rsidRPr="00B65FE6">
        <w:rPr>
          <w:sz w:val="24"/>
          <w:lang w:val="sl-SI"/>
        </w:rPr>
        <w:tab/>
      </w:r>
      <w:r w:rsidRPr="00B65FE6">
        <w:rPr>
          <w:sz w:val="24"/>
          <w:lang w:val="sl-SI"/>
        </w:rPr>
        <w:t>UL L 130, 16.5.2023, str. 52, ELI: </w:t>
      </w:r>
      <w:hyperlink r:id="rId1" w:tooltip="Omogoča dostop do dokumenta prek označevalnika ELI URI." w:history="1">
        <w:r w:rsidRPr="00B65FE6">
          <w:rPr>
            <w:rStyle w:val="Hyperlink"/>
            <w:sz w:val="24"/>
            <w:lang w:val="sl-SI"/>
          </w:rPr>
          <w:t>http://data.europa.eu/eli/reg/2023/956/oj</w:t>
        </w:r>
      </w:hyperlink>
      <w:r w:rsidR="006E5E38">
        <w:rPr>
          <w:rStyle w:val="Hyperlink"/>
          <w:sz w:val="24"/>
          <w:lang w:val="sl-SI"/>
        </w:rPr>
        <w:t>.</w:t>
      </w:r>
      <w:r w:rsidRPr="00B65FE6">
        <w:rPr>
          <w:sz w:val="24"/>
          <w:lang w:val="sl-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AEAA" w14:textId="77777777" w:rsidR="00064002" w:rsidRPr="00B65F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4FF7D" w14:textId="77777777" w:rsidR="00064002" w:rsidRPr="00B65F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44F2E" w14:textId="77777777" w:rsidR="00064002" w:rsidRPr="00B65F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0063616">
    <w:abstractNumId w:val="9"/>
  </w:num>
  <w:num w:numId="2" w16cid:durableId="458914472">
    <w:abstractNumId w:val="9"/>
  </w:num>
  <w:num w:numId="3" w16cid:durableId="289210823">
    <w:abstractNumId w:val="7"/>
  </w:num>
  <w:num w:numId="4" w16cid:durableId="48921573">
    <w:abstractNumId w:val="7"/>
  </w:num>
  <w:num w:numId="5" w16cid:durableId="2042172251">
    <w:abstractNumId w:val="6"/>
  </w:num>
  <w:num w:numId="6" w16cid:durableId="1886329089">
    <w:abstractNumId w:val="6"/>
  </w:num>
  <w:num w:numId="7" w16cid:durableId="2073307177">
    <w:abstractNumId w:val="5"/>
  </w:num>
  <w:num w:numId="8" w16cid:durableId="747845366">
    <w:abstractNumId w:val="5"/>
  </w:num>
  <w:num w:numId="9" w16cid:durableId="196163442">
    <w:abstractNumId w:val="4"/>
  </w:num>
  <w:num w:numId="10" w16cid:durableId="1168398311">
    <w:abstractNumId w:val="4"/>
  </w:num>
  <w:num w:numId="11" w16cid:durableId="1900087773">
    <w:abstractNumId w:val="8"/>
  </w:num>
  <w:num w:numId="12" w16cid:durableId="261688936">
    <w:abstractNumId w:val="8"/>
  </w:num>
  <w:num w:numId="13" w16cid:durableId="1013268831">
    <w:abstractNumId w:val="3"/>
  </w:num>
  <w:num w:numId="14" w16cid:durableId="369963317">
    <w:abstractNumId w:val="3"/>
  </w:num>
  <w:num w:numId="15" w16cid:durableId="1777748111">
    <w:abstractNumId w:val="2"/>
  </w:num>
  <w:num w:numId="16" w16cid:durableId="1387411885">
    <w:abstractNumId w:val="2"/>
  </w:num>
  <w:num w:numId="17" w16cid:durableId="1870411894">
    <w:abstractNumId w:val="1"/>
  </w:num>
  <w:num w:numId="18" w16cid:durableId="361906103">
    <w:abstractNumId w:val="1"/>
  </w:num>
  <w:num w:numId="19" w16cid:durableId="1621035409">
    <w:abstractNumId w:val="0"/>
  </w:num>
  <w:num w:numId="20" w16cid:durableId="1487285527">
    <w:abstractNumId w:val="0"/>
  </w:num>
  <w:num w:numId="21" w16cid:durableId="1725789832">
    <w:abstractNumId w:val="9"/>
  </w:num>
  <w:num w:numId="22" w16cid:durableId="881137494">
    <w:abstractNumId w:val="7"/>
  </w:num>
  <w:num w:numId="23" w16cid:durableId="1586959937">
    <w:abstractNumId w:val="6"/>
  </w:num>
  <w:num w:numId="24" w16cid:durableId="27295106">
    <w:abstractNumId w:val="5"/>
  </w:num>
  <w:num w:numId="25" w16cid:durableId="981545929">
    <w:abstractNumId w:val="4"/>
  </w:num>
  <w:num w:numId="26" w16cid:durableId="1773014910">
    <w:abstractNumId w:val="8"/>
  </w:num>
  <w:num w:numId="27" w16cid:durableId="1741637431">
    <w:abstractNumId w:val="3"/>
  </w:num>
  <w:num w:numId="28" w16cid:durableId="1531529369">
    <w:abstractNumId w:val="2"/>
  </w:num>
  <w:num w:numId="29" w16cid:durableId="747505209">
    <w:abstractNumId w:val="1"/>
  </w:num>
  <w:num w:numId="30" w16cid:durableId="825824954">
    <w:abstractNumId w:val="0"/>
  </w:num>
  <w:num w:numId="31" w16cid:durableId="1517695810">
    <w:abstractNumId w:val="9"/>
  </w:num>
  <w:num w:numId="32" w16cid:durableId="956252972">
    <w:abstractNumId w:val="7"/>
  </w:num>
  <w:num w:numId="33" w16cid:durableId="320545132">
    <w:abstractNumId w:val="6"/>
  </w:num>
  <w:num w:numId="34" w16cid:durableId="1613318586">
    <w:abstractNumId w:val="5"/>
  </w:num>
  <w:num w:numId="35" w16cid:durableId="1825388207">
    <w:abstractNumId w:val="4"/>
  </w:num>
  <w:num w:numId="36" w16cid:durableId="1600527550">
    <w:abstractNumId w:val="8"/>
  </w:num>
  <w:num w:numId="37" w16cid:durableId="1671329460">
    <w:abstractNumId w:val="3"/>
  </w:num>
  <w:num w:numId="38" w16cid:durableId="879828833">
    <w:abstractNumId w:val="2"/>
  </w:num>
  <w:num w:numId="39" w16cid:durableId="2114476181">
    <w:abstractNumId w:val="1"/>
  </w:num>
  <w:num w:numId="40" w16cid:durableId="988509871">
    <w:abstractNumId w:val="0"/>
  </w:num>
  <w:num w:numId="41" w16cid:durableId="1307320471">
    <w:abstractNumId w:val="10"/>
  </w:num>
  <w:num w:numId="42" w16cid:durableId="702167352">
    <w:abstractNumId w:val="10"/>
  </w:num>
  <w:num w:numId="43" w16cid:durableId="1518426223">
    <w:abstractNumId w:val="10"/>
  </w:num>
  <w:num w:numId="44" w16cid:durableId="312107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SL"/>
    <w:docVar w:name="dvnumam" w:val="0"/>
    <w:docVar w:name="dvpe" w:val="779.817"/>
    <w:docVar w:name="dvtitre" w:val="Sklep Evropskega parlamenta z dne … 2025 da ne nasprotuje Delegirani uredbi Komisije z dne 20. novembra 2025 o dopolnitvi Uredbe (EU) 2023/956 Evropskega parlamenta in Sveta z določitvijo pogojev za izdajo akreditacije preveriteljem, kontrolo in nadzor akreditiranih preveriteljev, preklic akreditacij ter vzajemno priznavanje in medsebojno ocenjevanje akreditacijskih organov(C(2025)07845 – 2025/2997(DEA))"/>
  </w:docVars>
  <w:rsids>
    <w:rsidRoot w:val="004478D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1F2"/>
    <w:rsid w:val="002B18FE"/>
    <w:rsid w:val="002B5493"/>
    <w:rsid w:val="00343214"/>
    <w:rsid w:val="00361C00"/>
    <w:rsid w:val="00395FA1"/>
    <w:rsid w:val="003A3618"/>
    <w:rsid w:val="003E15D4"/>
    <w:rsid w:val="00411CCE"/>
    <w:rsid w:val="00412B12"/>
    <w:rsid w:val="0041666E"/>
    <w:rsid w:val="00421060"/>
    <w:rsid w:val="004478D6"/>
    <w:rsid w:val="004712E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714"/>
    <w:rsid w:val="00560270"/>
    <w:rsid w:val="005B557E"/>
    <w:rsid w:val="005C2568"/>
    <w:rsid w:val="005F1B17"/>
    <w:rsid w:val="006037C0"/>
    <w:rsid w:val="006631B6"/>
    <w:rsid w:val="00680577"/>
    <w:rsid w:val="006E5E38"/>
    <w:rsid w:val="006F74FA"/>
    <w:rsid w:val="00731ADD"/>
    <w:rsid w:val="00734777"/>
    <w:rsid w:val="00747932"/>
    <w:rsid w:val="00751A4A"/>
    <w:rsid w:val="00756632"/>
    <w:rsid w:val="00762C74"/>
    <w:rsid w:val="00762E24"/>
    <w:rsid w:val="0078473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7E8"/>
    <w:rsid w:val="00AE0928"/>
    <w:rsid w:val="00AF3B82"/>
    <w:rsid w:val="00B12E95"/>
    <w:rsid w:val="00B22876"/>
    <w:rsid w:val="00B558F0"/>
    <w:rsid w:val="00B65FE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68D33"/>
  <w15:chartTrackingRefBased/>
  <w15:docId w15:val="{6AD736B7-9521-4BE0-A9B5-B88BE74F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2E24"/>
    <w:pPr>
      <w:spacing w:before="480" w:after="240"/>
    </w:pPr>
  </w:style>
  <w:style w:type="paragraph" w:customStyle="1" w:styleId="NormalHanging12a">
    <w:name w:val="NormalHanging12a"/>
    <w:basedOn w:val="Normal"/>
    <w:rsid w:val="00762E2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62E2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871F2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GROSELJ Tadej</cp:lastModifiedBy>
  <cp:revision>2</cp:revision>
  <cp:lastPrinted>2004-11-19T15:42:00Z</cp:lastPrinted>
  <dcterms:created xsi:type="dcterms:W3CDTF">2026-02-03T09:30:00Z</dcterms:created>
  <dcterms:modified xsi:type="dcterms:W3CDTF">2026-02-03T09:30:00Z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