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7E0B" w14:paraId="15D7A707" w14:textId="77777777" w:rsidTr="0010095E">
        <w:trPr>
          <w:trHeight w:hRule="exact" w:val="1418"/>
        </w:trPr>
        <w:tc>
          <w:tcPr>
            <w:tcW w:w="6804" w:type="dxa"/>
            <w:shd w:val="clear" w:color="auto" w:fill="auto"/>
            <w:vAlign w:val="center"/>
          </w:tcPr>
          <w:p w14:paraId="4896AD1C" w14:textId="77777777" w:rsidR="00751A4A" w:rsidRPr="00B87E0B" w:rsidRDefault="002168F2" w:rsidP="0010095E">
            <w:pPr>
              <w:pStyle w:val="EPName"/>
            </w:pPr>
            <w:r w:rsidRPr="00B87E0B">
              <w:t>Ευρωπαϊκό Κοινοβούλιο</w:t>
            </w:r>
          </w:p>
          <w:p w14:paraId="577BE10A" w14:textId="77777777" w:rsidR="00751A4A" w:rsidRPr="00B87E0B" w:rsidRDefault="005F1B17" w:rsidP="005F1B17">
            <w:pPr>
              <w:pStyle w:val="EPTerm"/>
              <w:rPr>
                <w:rStyle w:val="HideTWBExt"/>
                <w:noProof w:val="0"/>
                <w:vanish w:val="0"/>
                <w:color w:val="auto"/>
              </w:rPr>
            </w:pPr>
            <w:r w:rsidRPr="00B87E0B">
              <w:t>2024</w:t>
            </w:r>
            <w:r w:rsidR="00817416" w:rsidRPr="00B87E0B">
              <w:t>-202</w:t>
            </w:r>
            <w:r w:rsidRPr="00B87E0B">
              <w:t>9</w:t>
            </w:r>
          </w:p>
        </w:tc>
        <w:tc>
          <w:tcPr>
            <w:tcW w:w="2268" w:type="dxa"/>
            <w:shd w:val="clear" w:color="auto" w:fill="auto"/>
          </w:tcPr>
          <w:p w14:paraId="46751C9E" w14:textId="77777777" w:rsidR="00751A4A" w:rsidRPr="00B87E0B" w:rsidRDefault="00187494" w:rsidP="0010095E">
            <w:pPr>
              <w:pStyle w:val="EPLogo"/>
            </w:pPr>
            <w:r w:rsidRPr="00B87E0B">
              <w:rPr>
                <w:noProof/>
                <w:lang w:eastAsia="ja-JP"/>
              </w:rPr>
              <w:drawing>
                <wp:inline distT="0" distB="0" distL="0" distR="0" wp14:anchorId="3FCD16D5" wp14:editId="39F1B1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2F71EA" w14:textId="77777777" w:rsidR="00D058B8" w:rsidRPr="00B87E0B" w:rsidRDefault="00D058B8" w:rsidP="004C5D52">
      <w:pPr>
        <w:pStyle w:val="LineTop"/>
      </w:pPr>
    </w:p>
    <w:p w14:paraId="7031E496" w14:textId="77777777" w:rsidR="00680577" w:rsidRPr="00B87E0B" w:rsidRDefault="002168F2" w:rsidP="00680577">
      <w:pPr>
        <w:pStyle w:val="EPBodyTA1"/>
      </w:pPr>
      <w:r w:rsidRPr="00B87E0B">
        <w:t>ΚΕΙΜΕΝΑ ΠΟΥ ΕΓΚΡΙΘΗΚΑΝ</w:t>
      </w:r>
    </w:p>
    <w:p w14:paraId="451B52BE" w14:textId="77777777" w:rsidR="00D058B8" w:rsidRPr="00B87E0B" w:rsidRDefault="00D058B8" w:rsidP="00D058B8">
      <w:pPr>
        <w:pStyle w:val="LineBottom"/>
      </w:pPr>
    </w:p>
    <w:p w14:paraId="44420D6D" w14:textId="76E403B1" w:rsidR="002168F2" w:rsidRPr="00B87E0B" w:rsidRDefault="002168F2" w:rsidP="002168F2">
      <w:pPr>
        <w:pStyle w:val="ATHeading1"/>
      </w:pPr>
      <w:bookmarkStart w:id="0" w:name="TANumber"/>
      <w:r w:rsidRPr="00B87E0B">
        <w:t>P10_TA(2025)0</w:t>
      </w:r>
      <w:r w:rsidR="00B87E0B" w:rsidRPr="00B87E0B">
        <w:t>33</w:t>
      </w:r>
      <w:r w:rsidRPr="00B87E0B">
        <w:t>0</w:t>
      </w:r>
      <w:bookmarkEnd w:id="0"/>
    </w:p>
    <w:p w14:paraId="3509F699" w14:textId="779BCC2B" w:rsidR="002168F2" w:rsidRPr="00B87E0B" w:rsidRDefault="004E5110" w:rsidP="002168F2">
      <w:pPr>
        <w:pStyle w:val="ATHeading2"/>
      </w:pPr>
      <w:bookmarkStart w:id="1" w:name="title"/>
      <w:bookmarkStart w:id="2" w:name="_Hlk216857512"/>
      <w:r w:rsidRPr="00B87E0B">
        <w:t>Σταδιακή κατάργηση των εισαγωγών ρωσικού φυσικού αερίου και βελτίωση της παρακολούθησης πιθανών ενεργειακών εξαρτήσεων</w:t>
      </w:r>
      <w:bookmarkEnd w:id="1"/>
    </w:p>
    <w:bookmarkEnd w:id="2"/>
    <w:p w14:paraId="5A4629EA" w14:textId="77777777" w:rsidR="002168F2" w:rsidRPr="00B87E0B" w:rsidRDefault="002168F2" w:rsidP="002168F2">
      <w:pPr>
        <w:rPr>
          <w:i/>
          <w:vanish/>
        </w:rPr>
      </w:pPr>
      <w:r w:rsidRPr="00B87E0B">
        <w:rPr>
          <w:i/>
        </w:rPr>
        <w:fldChar w:fldCharType="begin"/>
      </w:r>
      <w:r w:rsidRPr="00B87E0B">
        <w:rPr>
          <w:i/>
        </w:rPr>
        <w:instrText xml:space="preserve"> TC"(</w:instrText>
      </w:r>
      <w:bookmarkStart w:id="3" w:name="DocNumber"/>
      <w:r w:rsidRPr="00B87E0B">
        <w:rPr>
          <w:i/>
        </w:rPr>
        <w:instrText>A10-0195/2025</w:instrText>
      </w:r>
      <w:bookmarkEnd w:id="3"/>
      <w:r w:rsidRPr="00B87E0B">
        <w:rPr>
          <w:i/>
        </w:rPr>
        <w:instrText xml:space="preserve"> - Εισηγητές: Inese Vaidere, Ville Niinistö)"\l3 \n&gt; \* MERGEFORMAT </w:instrText>
      </w:r>
      <w:r w:rsidRPr="00B87E0B">
        <w:rPr>
          <w:i/>
        </w:rPr>
        <w:fldChar w:fldCharType="end"/>
      </w:r>
    </w:p>
    <w:p w14:paraId="50C2EA25" w14:textId="3188166F" w:rsidR="002168F2" w:rsidRPr="00B87E0B" w:rsidRDefault="002168F2" w:rsidP="002168F2">
      <w:pPr>
        <w:rPr>
          <w:vanish/>
        </w:rPr>
      </w:pPr>
      <w:bookmarkStart w:id="4" w:name="Commission"/>
      <w:r w:rsidRPr="00B87E0B">
        <w:rPr>
          <w:vanish/>
        </w:rPr>
        <w:t>Επιτροπή Διεθνούς Εμπορίου</w:t>
      </w:r>
      <w:r w:rsidR="00C75A31" w:rsidRPr="00B87E0B">
        <w:rPr>
          <w:vanish/>
        </w:rPr>
        <w:t>,</w:t>
      </w:r>
      <w:r w:rsidRPr="00B87E0B">
        <w:rPr>
          <w:vanish/>
        </w:rPr>
        <w:t xml:space="preserve"> Επιτροπή Βιομηχανίας,, Έρευνας και Ενέργειας</w:t>
      </w:r>
      <w:bookmarkEnd w:id="4"/>
    </w:p>
    <w:p w14:paraId="609D7C1C" w14:textId="77777777" w:rsidR="002168F2" w:rsidRPr="00B87E0B" w:rsidRDefault="002168F2" w:rsidP="002168F2">
      <w:pPr>
        <w:rPr>
          <w:vanish/>
        </w:rPr>
      </w:pPr>
      <w:bookmarkStart w:id="5" w:name="PE"/>
      <w:r w:rsidRPr="00B87E0B">
        <w:rPr>
          <w:vanish/>
        </w:rPr>
        <w:t>PE775.677</w:t>
      </w:r>
      <w:bookmarkEnd w:id="5"/>
    </w:p>
    <w:p w14:paraId="14AF22E1" w14:textId="2F70252E" w:rsidR="002168F2" w:rsidRPr="00B87E0B" w:rsidRDefault="002168F2" w:rsidP="002168F2">
      <w:pPr>
        <w:pStyle w:val="ATHeading3"/>
      </w:pPr>
      <w:bookmarkStart w:id="6" w:name="Sujet"/>
      <w:r w:rsidRPr="00B87E0B">
        <w:t xml:space="preserve">Νομοθετικό ψήφισμα του Ευρωπαϊκού Κοινοβουλίου </w:t>
      </w:r>
      <w:r w:rsidR="00661EA4" w:rsidRPr="00B87E0B">
        <w:t xml:space="preserve">της </w:t>
      </w:r>
      <w:r w:rsidR="00303E12" w:rsidRPr="00B87E0B">
        <w:t>17</w:t>
      </w:r>
      <w:r w:rsidR="00661EA4" w:rsidRPr="00B87E0B">
        <w:t xml:space="preserve">ης Δεκεμβρίου 2025 </w:t>
      </w:r>
      <w:r w:rsidRPr="00B87E0B">
        <w:t>σχετικά με την πρόταση κανονισμού του Ευρωπαϊκού Κοινοβουλίου και του Συμβουλίου για τη σταδιακή κατάργηση των εισαγωγών ρωσικού φυσικού αερίου, τη βελτίωση της παρακολούθησης πιθανών ενεργειακών εξαρτήσεων και την τροποποίηση του κανονισμού (ΕΕ) 2017/1938</w:t>
      </w:r>
      <w:bookmarkEnd w:id="6"/>
      <w:r w:rsidRPr="00B87E0B">
        <w:t xml:space="preserve"> </w:t>
      </w:r>
      <w:bookmarkStart w:id="7" w:name="References"/>
      <w:r w:rsidRPr="00B87E0B">
        <w:t>(COM(2025)0828 – C10-0123/2025 – 2025/0180(COD))</w:t>
      </w:r>
      <w:bookmarkEnd w:id="7"/>
    </w:p>
    <w:p w14:paraId="02336C28" w14:textId="77777777" w:rsidR="00661EA4" w:rsidRPr="00B87E0B" w:rsidRDefault="00661EA4" w:rsidP="00BB6DBE">
      <w:pPr>
        <w:pStyle w:val="NormalBold"/>
      </w:pPr>
    </w:p>
    <w:p w14:paraId="194A973E" w14:textId="7E28E703" w:rsidR="00BB6DBE" w:rsidRPr="00B87E0B" w:rsidRDefault="00BB6DBE" w:rsidP="00BB6DBE">
      <w:pPr>
        <w:pStyle w:val="NormalBold"/>
      </w:pPr>
      <w:r w:rsidRPr="00B87E0B">
        <w:t>(Συνήθης νομοθετική διαδικασία: πρώτη ανάγνωση))</w:t>
      </w:r>
    </w:p>
    <w:p w14:paraId="5D98D2C7" w14:textId="77777777" w:rsidR="00BB6DBE" w:rsidRPr="00B87E0B" w:rsidRDefault="00BB6DBE" w:rsidP="00BB6DBE">
      <w:pPr>
        <w:pStyle w:val="EPComma"/>
      </w:pPr>
      <w:r w:rsidRPr="00B87E0B">
        <w:rPr>
          <w:i/>
        </w:rPr>
        <w:t>Το Ευρωπαϊκό Κοινοβούλιο</w:t>
      </w:r>
      <w:r w:rsidRPr="00B87E0B">
        <w:t>,</w:t>
      </w:r>
    </w:p>
    <w:p w14:paraId="4ADB1168" w14:textId="77777777" w:rsidR="00BB6DBE" w:rsidRPr="00B87E0B" w:rsidRDefault="00BB6DBE" w:rsidP="00661EA4">
      <w:pPr>
        <w:pStyle w:val="NormalHanging12a"/>
        <w:widowControl/>
      </w:pPr>
      <w:r w:rsidRPr="00B87E0B">
        <w:t>–</w:t>
      </w:r>
      <w:r w:rsidRPr="00B87E0B">
        <w:tab/>
        <w:t>έχοντας υπόψη την πρόταση της Επιτροπής προς το Κοινοβούλιο και το Συμβούλιο (COM(2025)0828),</w:t>
      </w:r>
    </w:p>
    <w:p w14:paraId="02C3201F" w14:textId="7FD125EC" w:rsidR="00AA5323" w:rsidRDefault="00BB6DBE" w:rsidP="00661EA4">
      <w:pPr>
        <w:pStyle w:val="NormalHanging12a"/>
        <w:widowControl/>
      </w:pPr>
      <w:r w:rsidRPr="00B87E0B">
        <w:t>–</w:t>
      </w:r>
      <w:r w:rsidRPr="00B87E0B">
        <w:tab/>
        <w:t>έχοντας υπόψη το άρθρο 294 παράγραφος 2, το άρθρο 194 παράγραφος 2 και το άρθρο 207 της Συνθήκης για τη λειτουργία της Ευρωπαϊκής Ένωσης, σύμφωνα με τα οποία του υποβλήθηκε η πρόταση από την Επιτροπή</w:t>
      </w:r>
      <w:r w:rsidR="00AA5323">
        <w:t xml:space="preserve"> (C10-0123/2025),</w:t>
      </w:r>
    </w:p>
    <w:p w14:paraId="5CF377C5" w14:textId="12B406E7" w:rsidR="00BB6DBE" w:rsidRPr="00B87E0B" w:rsidRDefault="00BB6DBE" w:rsidP="00661EA4">
      <w:pPr>
        <w:pStyle w:val="NormalHanging12a"/>
        <w:widowControl/>
      </w:pPr>
      <w:r w:rsidRPr="00B87E0B">
        <w:t>–</w:t>
      </w:r>
      <w:r w:rsidRPr="00B87E0B">
        <w:tab/>
        <w:t>έχοντας υπόψη το άρθρο 294 παράγραφος 3 της Συνθήκης για τη λειτουργία της Ευρωπαϊκής Ένωσης,</w:t>
      </w:r>
    </w:p>
    <w:p w14:paraId="4792C41E" w14:textId="2D6CE8D0" w:rsidR="004E5110" w:rsidRPr="00B87E0B" w:rsidRDefault="004E5110" w:rsidP="00661EA4">
      <w:pPr>
        <w:pStyle w:val="NormalHanging12a"/>
        <w:widowControl/>
      </w:pPr>
      <w:r w:rsidRPr="00B87E0B">
        <w:t>–</w:t>
      </w:r>
      <w:r w:rsidRPr="00B87E0B">
        <w:tab/>
        <w:t>έχοντας υπόψη τις αιτιολογημένες γνώμες που υποβλήθηκαν από το Κοινοβούλιο της Δημοκρατίας της Ουγγαρίας και το Εθνικό Συμβούλιο της Δημοκρατίας της Σλοβακίας στο πλαίσιο του πρωτοκόλλου αριθ. 2 σχετικά με την εφαρμογή των αρχών της επικουρικότητας και της αναλογικότητας, με τις οποίες υποστηρίζεται ότι το σχέδιο νομοθετικής πράξης δεν συνάδει προς την αρχή της επικουρικότητας,</w:t>
      </w:r>
    </w:p>
    <w:p w14:paraId="0346A413" w14:textId="53A3E894" w:rsidR="00BB6DBE" w:rsidRPr="00B87E0B" w:rsidRDefault="00BB6DBE" w:rsidP="00661EA4">
      <w:pPr>
        <w:pStyle w:val="NormalHanging12a"/>
        <w:widowControl/>
      </w:pPr>
      <w:r w:rsidRPr="00B87E0B">
        <w:t>–</w:t>
      </w:r>
      <w:r w:rsidRPr="00B87E0B">
        <w:tab/>
        <w:t>έχοντας υπόψη τη γνώμη της Ευρωπαϊκής Οικονομικής και Κοινωνικής Επιτροπής,</w:t>
      </w:r>
      <w:r w:rsidR="00A33345" w:rsidRPr="00B87E0B">
        <w:t xml:space="preserve"> της 18ης Σεπτεμβρίου 2025</w:t>
      </w:r>
      <w:r w:rsidR="00A33345" w:rsidRPr="00B87E0B">
        <w:rPr>
          <w:rStyle w:val="FootnoteReference"/>
        </w:rPr>
        <w:footnoteReference w:id="1"/>
      </w:r>
      <w:r w:rsidR="00A33345" w:rsidRPr="00B87E0B">
        <w:t>,</w:t>
      </w:r>
    </w:p>
    <w:p w14:paraId="481128C5" w14:textId="65C8FAFB" w:rsidR="00BB6DBE" w:rsidRPr="00B87E0B" w:rsidRDefault="00BB6DBE" w:rsidP="00661EA4">
      <w:pPr>
        <w:pStyle w:val="NormalHanging12a"/>
        <w:widowControl/>
      </w:pPr>
      <w:r w:rsidRPr="00B87E0B">
        <w:t>–</w:t>
      </w:r>
      <w:r w:rsidRPr="00B87E0B">
        <w:tab/>
      </w:r>
      <w:r w:rsidR="00A33345" w:rsidRPr="00B87E0B">
        <w:t xml:space="preserve">μετά από διαβούλευση με την </w:t>
      </w:r>
      <w:r w:rsidRPr="00B87E0B">
        <w:t>Επιτροπή των Περιφερειών,</w:t>
      </w:r>
    </w:p>
    <w:p w14:paraId="0E0A5703" w14:textId="7EDDA199" w:rsidR="00C75A31" w:rsidRPr="00B87E0B" w:rsidRDefault="00C75A31" w:rsidP="00661EA4">
      <w:pPr>
        <w:pStyle w:val="NormalHanging12a"/>
        <w:widowControl/>
      </w:pPr>
      <w:r w:rsidRPr="00B87E0B">
        <w:t>–</w:t>
      </w:r>
      <w:r w:rsidRPr="00B87E0B">
        <w:tab/>
        <w:t xml:space="preserve">έχοντας υπόψη την προσωρινή συμφωνία που εγκρίθηκε από τις αρμόδιες επιτροπές σύμφωνα με το άρθρο 75 παράγραφος 4 του Κανονισμού του και τη δέσμευση του εκπροσώπου του Συμβουλίου, με επιστολή της 10ης Δεκεμβρίου 2025, να εγκρίνει τη </w:t>
      </w:r>
      <w:r w:rsidRPr="00B87E0B">
        <w:lastRenderedPageBreak/>
        <w:t>θέση του Κοινοβουλίου, σύμφωνα με το άρθρο 294 παράγραφος 4 της Συνθήκης για τη λειτουργία της Ευρωπαϊκής Ένωσης,</w:t>
      </w:r>
    </w:p>
    <w:p w14:paraId="5555EC6D" w14:textId="77777777" w:rsidR="00BB6DBE" w:rsidRPr="00B87E0B" w:rsidRDefault="00BB6DBE" w:rsidP="00661EA4">
      <w:pPr>
        <w:pStyle w:val="NormalHanging12a"/>
        <w:widowControl/>
      </w:pPr>
      <w:r w:rsidRPr="00B87E0B">
        <w:t>–</w:t>
      </w:r>
      <w:r w:rsidRPr="00B87E0B">
        <w:tab/>
        <w:t>έχοντας υπόψη το άρθρο 60 του Κανονισμού του,</w:t>
      </w:r>
    </w:p>
    <w:p w14:paraId="5C5C00CA" w14:textId="77777777" w:rsidR="00BB6DBE" w:rsidRPr="00B87E0B" w:rsidRDefault="00BB6DBE" w:rsidP="00661EA4">
      <w:pPr>
        <w:pStyle w:val="NormalHanging12a"/>
        <w:widowControl/>
      </w:pPr>
      <w:r w:rsidRPr="00B87E0B">
        <w:t>–</w:t>
      </w:r>
      <w:r w:rsidRPr="00B87E0B">
        <w:tab/>
        <w:t>έχοντας υπόψη τη γνωμοδότηση της Επιτροπής Εσωτερικής Αγοράς και Προστασίας των Καταναλωτών,</w:t>
      </w:r>
    </w:p>
    <w:p w14:paraId="6FC1AFBA" w14:textId="21CC9AFC" w:rsidR="00D47FBF" w:rsidRPr="00B87E0B" w:rsidRDefault="00D47FBF" w:rsidP="00661EA4">
      <w:pPr>
        <w:pStyle w:val="NormalHanging12a"/>
        <w:widowControl/>
      </w:pPr>
      <w:r w:rsidRPr="00B87E0B">
        <w:t>–</w:t>
      </w:r>
      <w:r w:rsidRPr="00B87E0B">
        <w:tab/>
        <w:t>έχοντας υπόψη τις κοινές συνεδριάσεις της Επιτροπής Διεθνούς Εμπορίου και της Επιτροπής Βιομηχανίας, Έρευνας και Ενέργειας, σύμφωνα με το άρθρο 59 του Κανονισμού,</w:t>
      </w:r>
    </w:p>
    <w:p w14:paraId="50973480" w14:textId="77777777" w:rsidR="00BB6DBE" w:rsidRPr="00B87E0B" w:rsidRDefault="00BB6DBE" w:rsidP="00661EA4">
      <w:pPr>
        <w:pStyle w:val="NormalHanging12a"/>
        <w:widowControl/>
      </w:pPr>
      <w:r w:rsidRPr="00B87E0B">
        <w:t>–</w:t>
      </w:r>
      <w:r w:rsidRPr="00B87E0B">
        <w:tab/>
        <w:t>έχοντας υπόψη την έκθεση της Επιτροπής Διεθνούς Εμπορίου και της Επιτροπής Βιομηχανίας, Έρευνας και Ενέργειας (A10-0195/2025),</w:t>
      </w:r>
    </w:p>
    <w:p w14:paraId="53C5FAA6" w14:textId="77777777" w:rsidR="00BB6DBE" w:rsidRPr="00B87E0B" w:rsidRDefault="00BB6DBE" w:rsidP="00661EA4">
      <w:pPr>
        <w:pStyle w:val="NormalHanging12a"/>
        <w:widowControl/>
      </w:pPr>
      <w:r w:rsidRPr="00B87E0B">
        <w:t>1.</w:t>
      </w:r>
      <w:r w:rsidRPr="00B87E0B">
        <w:tab/>
        <w:t>εγκρίνει τη θέση του σε πρώτη ανάγνωση όπως παρατίθεται κατωτέρω·</w:t>
      </w:r>
    </w:p>
    <w:p w14:paraId="75951AB3" w14:textId="07321785" w:rsidR="00C75A31" w:rsidRPr="00B87E0B" w:rsidRDefault="00C75A31" w:rsidP="00661EA4">
      <w:pPr>
        <w:pStyle w:val="NormalHanging12a"/>
        <w:widowControl/>
      </w:pPr>
      <w:r w:rsidRPr="00B87E0B">
        <w:t>2.</w:t>
      </w:r>
      <w:r w:rsidRPr="00B87E0B">
        <w:tab/>
        <w:t xml:space="preserve">λαμβάνει υπόψη τη συνημμένη στο παρόν ψήφισμα δήλωση της Επιτροπής, η οποία θα δημοσιευτεί μαζί με την τελική νομοθετική πράξη στη σειρά L της </w:t>
      </w:r>
      <w:r w:rsidRPr="00B87E0B">
        <w:rPr>
          <w:i/>
          <w:iCs/>
        </w:rPr>
        <w:t>Επίσημης Εφημερίδας της Ευρωπαϊκής Ένωσης</w:t>
      </w:r>
      <w:r w:rsidRPr="00B87E0B">
        <w:t>·</w:t>
      </w:r>
    </w:p>
    <w:p w14:paraId="6D2D9E93" w14:textId="6A515289" w:rsidR="00BB6DBE" w:rsidRPr="00B87E0B" w:rsidRDefault="00C75A31" w:rsidP="00661EA4">
      <w:pPr>
        <w:pStyle w:val="NormalHanging12a"/>
        <w:widowControl/>
      </w:pPr>
      <w:r w:rsidRPr="00B87E0B">
        <w:t>3</w:t>
      </w:r>
      <w:r w:rsidR="00BB6DBE" w:rsidRPr="00B87E0B">
        <w:t>.</w:t>
      </w:r>
      <w:r w:rsidR="00BB6DBE" w:rsidRPr="00B87E0B">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14:paraId="0A29594D" w14:textId="4CD84C6D" w:rsidR="00BB6DBE" w:rsidRPr="00B87E0B" w:rsidRDefault="00C75A31" w:rsidP="00661EA4">
      <w:pPr>
        <w:pStyle w:val="NormalHanging12a"/>
        <w:widowControl/>
      </w:pPr>
      <w:r w:rsidRPr="00B87E0B">
        <w:t>4</w:t>
      </w:r>
      <w:r w:rsidR="00BB6DBE" w:rsidRPr="00B87E0B">
        <w:t>.</w:t>
      </w:r>
      <w:r w:rsidR="00BB6DBE" w:rsidRPr="00B87E0B">
        <w:tab/>
        <w:t>αναθέτει στην Πρόεδρό του να διαβιβάσει τη θέση του Κοινοβουλίου στο Συμβούλιο, στην Επιτροπή και στα εθνικά κοινοβούλια.</w:t>
      </w:r>
    </w:p>
    <w:p w14:paraId="60E79216" w14:textId="77777777" w:rsidR="00303E12" w:rsidRPr="00B87E0B" w:rsidRDefault="00303E12" w:rsidP="00661EA4">
      <w:pPr>
        <w:pStyle w:val="NormalHanging12a"/>
        <w:widowControl/>
      </w:pPr>
    </w:p>
    <w:p w14:paraId="347DA8C3" w14:textId="77777777" w:rsidR="00303E12" w:rsidRPr="00B87E0B" w:rsidRDefault="00303E12" w:rsidP="00661EA4">
      <w:pPr>
        <w:pStyle w:val="NormalHanging12a"/>
        <w:widowControl/>
        <w:sectPr w:rsidR="00303E12" w:rsidRPr="00B87E0B" w:rsidSect="00303E12">
          <w:footnotePr>
            <w:numRestart w:val="eachSect"/>
          </w:footnotePr>
          <w:pgSz w:w="11907" w:h="16839"/>
          <w:pgMar w:top="1134" w:right="1418" w:bottom="1418" w:left="1418" w:header="709" w:footer="709" w:gutter="0"/>
          <w:cols w:space="720"/>
          <w:docGrid w:linePitch="326"/>
        </w:sectPr>
      </w:pPr>
    </w:p>
    <w:p w14:paraId="5C8E6123" w14:textId="61BCBDD0" w:rsidR="00303E12" w:rsidRPr="00B87E0B" w:rsidRDefault="00303E12" w:rsidP="00303E12">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B87E0B">
        <w:rPr>
          <w:b/>
        </w:rPr>
        <w:lastRenderedPageBreak/>
        <w:t>P10_TC1-COD(2025)0180</w:t>
      </w:r>
    </w:p>
    <w:p w14:paraId="0F0E77CB" w14:textId="098A6E2E" w:rsidR="00AF5321" w:rsidRPr="00AA5323" w:rsidRDefault="00303E12" w:rsidP="00AF532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b/>
          <w:szCs w:val="22"/>
          <w:lang w:eastAsia="en-US"/>
        </w:rPr>
      </w:pPr>
      <w:r w:rsidRPr="00B87E0B">
        <w:rPr>
          <w:b/>
        </w:rPr>
        <w:t xml:space="preserve">Θέση του Ευρωπαϊκού Κοινοβουλίου που καθορίστηκε σε πρώτη ανάγνωση στις </w:t>
      </w:r>
      <w:r w:rsidRPr="00AA5323">
        <w:rPr>
          <w:b/>
        </w:rPr>
        <w:t>17</w:t>
      </w:r>
      <w:r w:rsidRPr="00AA5323">
        <w:rPr>
          <w:b/>
          <w:lang w:val="en-GB"/>
        </w:rPr>
        <w:t> </w:t>
      </w:r>
      <w:r w:rsidRPr="00AA5323">
        <w:rPr>
          <w:b/>
        </w:rPr>
        <w:t>Δεκεμβρίου 2025 εν όψει της έγκρισης κανονισμού (ΕΕ) 202</w:t>
      </w:r>
      <w:r w:rsidR="00AA5323" w:rsidRPr="00AA5323">
        <w:rPr>
          <w:b/>
        </w:rPr>
        <w:t>6</w:t>
      </w:r>
      <w:r w:rsidRPr="00AA5323">
        <w:rPr>
          <w:b/>
        </w:rPr>
        <w:t xml:space="preserve">/... του Ευρωπαϊκού Κοινοβουλίου και του Συμβουλίου </w:t>
      </w:r>
      <w:r w:rsidR="00AF5321" w:rsidRPr="00AA5323">
        <w:rPr>
          <w:rFonts w:eastAsia="Calibri"/>
          <w:b/>
          <w:szCs w:val="22"/>
          <w:lang w:eastAsia="en-US"/>
        </w:rPr>
        <w:t>για τη σταδιακή κατάργηση των εισαγωγών ρωσικού φυσικού αερίου και την προετοιμασία της σταδιακής κατάργησης των εισαγωγών ρωσικού πετρελαίου, τη βελτίωση της παρακολούθησης πιθανών ενεργειακών εξαρτήσεων και την τροποποίηση του κανονισμού (ΕΕ) 2017/1938</w:t>
      </w:r>
    </w:p>
    <w:p w14:paraId="12AB9666" w14:textId="3BBD9077" w:rsidR="00AA5323" w:rsidRDefault="00AA5323" w:rsidP="00AA5323">
      <w:pPr>
        <w:rPr>
          <w:i/>
        </w:rPr>
      </w:pPr>
      <w:bookmarkStart w:id="8" w:name="_Hlk211942760"/>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w:t>
      </w:r>
      <w:r>
        <w:rPr>
          <w:i/>
        </w:rPr>
        <w:t>6</w:t>
      </w:r>
      <w:r>
        <w:rPr>
          <w:i/>
        </w:rPr>
        <w:t>/</w:t>
      </w:r>
      <w:r>
        <w:rPr>
          <w:i/>
        </w:rPr>
        <w:t>261</w:t>
      </w:r>
      <w:r>
        <w:rPr>
          <w:i/>
        </w:rPr>
        <w:t>.</w:t>
      </w:r>
      <w:r w:rsidRPr="007B7B26">
        <w:rPr>
          <w:i/>
        </w:rPr>
        <w:t>)</w:t>
      </w:r>
    </w:p>
    <w:bookmarkEnd w:id="8"/>
    <w:p w14:paraId="5BB57F66" w14:textId="77777777" w:rsidR="00AA5323" w:rsidRDefault="00AA5323" w:rsidP="00AA5323">
      <w:pPr>
        <w:rPr>
          <w:i/>
        </w:rPr>
      </w:pPr>
    </w:p>
    <w:p w14:paraId="738610DD" w14:textId="0A0445C1" w:rsidR="00CD6FE3" w:rsidRDefault="00CD6FE3">
      <w:pPr>
        <w:widowControl/>
        <w:rPr>
          <w:rFonts w:eastAsia="Calibri"/>
          <w:b/>
          <w:szCs w:val="22"/>
          <w:lang w:eastAsia="en-US"/>
        </w:rPr>
      </w:pPr>
      <w:r>
        <w:rPr>
          <w:rFonts w:eastAsia="Calibri"/>
          <w:b/>
          <w:szCs w:val="22"/>
          <w:lang w:eastAsia="en-US"/>
        </w:rPr>
        <w:br w:type="page"/>
      </w:r>
    </w:p>
    <w:p w14:paraId="24081AF9" w14:textId="77777777" w:rsidR="00CD6FE3" w:rsidRPr="00B87E0B" w:rsidRDefault="00CD6FE3" w:rsidP="00CD6FE3">
      <w:pPr>
        <w:widowControl/>
        <w:spacing w:before="120" w:after="120" w:line="360" w:lineRule="auto"/>
        <w:jc w:val="right"/>
        <w:rPr>
          <w:rFonts w:eastAsia="Calibri"/>
          <w:szCs w:val="22"/>
          <w:lang w:eastAsia="en-US"/>
        </w:rPr>
      </w:pPr>
      <w:r w:rsidRPr="00B87E0B">
        <w:rPr>
          <w:rFonts w:eastAsia="Calibri"/>
          <w:szCs w:val="22"/>
          <w:lang w:eastAsia="en-US"/>
        </w:rPr>
        <w:lastRenderedPageBreak/>
        <w:t>ΠΑΡΑΡΤΗΜΑ ΣΤΟ ΝΟΜΟΘΕΤΙΚΟ ΨΗΦΙΣΜΑ</w:t>
      </w:r>
    </w:p>
    <w:p w14:paraId="1608703B" w14:textId="77777777" w:rsidR="00CD6FE3" w:rsidRPr="00B87E0B" w:rsidRDefault="00CD6FE3" w:rsidP="00CD6FE3">
      <w:pPr>
        <w:widowControl/>
        <w:spacing w:before="120" w:after="120" w:line="360" w:lineRule="auto"/>
        <w:jc w:val="center"/>
        <w:rPr>
          <w:rFonts w:eastAsia="Calibri"/>
          <w:b/>
          <w:bCs/>
          <w:szCs w:val="22"/>
          <w:lang w:eastAsia="en-US"/>
        </w:rPr>
      </w:pPr>
      <w:r w:rsidRPr="00B87E0B">
        <w:rPr>
          <w:rFonts w:eastAsia="Calibri"/>
          <w:b/>
          <w:bCs/>
          <w:szCs w:val="22"/>
          <w:lang w:eastAsia="en-US"/>
        </w:rPr>
        <w:t>Δήλωση της Ευρωπαϊκής Επιτροπής σχετικά με μελλοντική δράση όσον αφορά το ρωσικό πετρέλαιο</w:t>
      </w:r>
    </w:p>
    <w:p w14:paraId="5CC63A3C" w14:textId="77777777" w:rsidR="00CD6FE3" w:rsidRPr="00B87E0B" w:rsidRDefault="00CD6FE3" w:rsidP="00CD6FE3">
      <w:pPr>
        <w:widowControl/>
        <w:spacing w:before="120" w:after="120" w:line="360" w:lineRule="auto"/>
        <w:rPr>
          <w:rFonts w:eastAsia="Calibri"/>
          <w:szCs w:val="22"/>
          <w:lang w:eastAsia="en-US"/>
        </w:rPr>
      </w:pPr>
      <w:r w:rsidRPr="00B87E0B">
        <w:rPr>
          <w:rFonts w:eastAsia="Calibri"/>
          <w:szCs w:val="22"/>
          <w:lang w:eastAsia="en-US"/>
        </w:rPr>
        <w:t>Προκειμένου να αποφευχθούν βασικοί κίνδυνοι για την ασφάλεια και ενεργειακές εξαρτήσεις που προκύπτουν από τη συνέχιση του εμπορίου ενέργειας με τη Ρωσική Ομοσπονδία, η Ευρωπαϊκή Επιτροπή παραμένει προσηλωμένη στη διασφάλιση της σταδιακής κατάργησης όλων των υπόλοιπων εισαγωγών πετρελαίου από τη Ρωσική Ομοσπονδία έως το τέλος του 2027, σε συμμόρφωση με τη Διακήρυξη των Βερσαλλιών.</w:t>
      </w:r>
    </w:p>
    <w:p w14:paraId="3BB4EF7B" w14:textId="77777777" w:rsidR="00CD6FE3" w:rsidRPr="00B87E0B" w:rsidRDefault="00CD6FE3" w:rsidP="00CD6FE3">
      <w:pPr>
        <w:widowControl/>
        <w:spacing w:before="120" w:after="120" w:line="360" w:lineRule="auto"/>
        <w:rPr>
          <w:rFonts w:eastAsia="Calibri"/>
          <w:szCs w:val="22"/>
          <w:lang w:eastAsia="en-US"/>
        </w:rPr>
      </w:pPr>
      <w:r w:rsidRPr="00B87E0B">
        <w:rPr>
          <w:rFonts w:eastAsia="Calibri"/>
          <w:szCs w:val="22"/>
          <w:lang w:eastAsia="en-US"/>
        </w:rPr>
        <w:t xml:space="preserve">Η Επιτροπή προτίθεται να υποβάλει νομοθετική πρόταση στις αρχές του 2026 για την απαγόρευση των εισαγωγών πετρελαίου από τη Ρωσική Ομοσπονδία το συντομότερο δυνατόν, αλλά όχι αργότερα από το τέλος του 2027. </w:t>
      </w:r>
    </w:p>
    <w:p w14:paraId="275419CD" w14:textId="77777777" w:rsidR="00CD6FE3" w:rsidRPr="00B87E0B" w:rsidRDefault="00CD6FE3" w:rsidP="00CD6FE3">
      <w:pPr>
        <w:widowControl/>
        <w:spacing w:before="120" w:after="120" w:line="360" w:lineRule="auto"/>
        <w:rPr>
          <w:rFonts w:eastAsia="Calibri"/>
          <w:szCs w:val="22"/>
          <w:lang w:eastAsia="en-US"/>
        </w:rPr>
      </w:pPr>
      <w:r w:rsidRPr="00B87E0B">
        <w:rPr>
          <w:rFonts w:eastAsia="Calibri"/>
          <w:szCs w:val="22"/>
          <w:lang w:eastAsia="en-US"/>
        </w:rPr>
        <w:t>Η Επιτροπή θα αξιολογήσει προσεκτικά τον αντίκτυπο που θα μπορούσε να έχει η επιτάχυνση του τερματισμού των εισαγωγών πετρελαίου στην ασφάλεια του εφοδιασμού, την οικονομία και την ανταγωνιστικότητα των κρατών μελών που πλήττονται περισσότερο.</w:t>
      </w:r>
    </w:p>
    <w:p w14:paraId="606E9853" w14:textId="77777777" w:rsidR="00CD6FE3" w:rsidRPr="00B87E0B" w:rsidRDefault="00CD6FE3" w:rsidP="00CD6FE3">
      <w:pPr>
        <w:widowControl/>
        <w:spacing w:before="120" w:after="120" w:line="360" w:lineRule="auto"/>
        <w:rPr>
          <w:rFonts w:eastAsia="Calibri"/>
          <w:szCs w:val="22"/>
          <w:lang w:eastAsia="en-US"/>
        </w:rPr>
      </w:pPr>
      <w:r w:rsidRPr="00B87E0B">
        <w:rPr>
          <w:rFonts w:eastAsia="Calibri"/>
          <w:szCs w:val="22"/>
          <w:lang w:eastAsia="en-US"/>
        </w:rPr>
        <w:t>Η Επιτροπή θα συνεργαστεί ενεργά, σε πνεύμα αλληλεγγύης, με τα κράτη μέλη που επηρεάζονται άμεσα, καθώς και με άλλα σχετικά κράτη μέλη, προκειμένου να προσδιοριστούν κατάλληλα μέτρα για την ελαχιστοποίηση των πιθανών κινδύνων που εντοπίζονται στην αξιολόγηση, ώστε να διευκολυνθεί η πρόσβαση σε εναλλακτικές πηγές εφοδιασμού.</w:t>
      </w:r>
    </w:p>
    <w:p w14:paraId="0DD6939A" w14:textId="77777777" w:rsidR="00CD6FE3" w:rsidRPr="00B87E0B" w:rsidRDefault="00CD6FE3" w:rsidP="00CD6FE3">
      <w:pPr>
        <w:widowControl/>
        <w:spacing w:before="120" w:after="120" w:line="360" w:lineRule="auto"/>
        <w:rPr>
          <w:rFonts w:eastAsia="Calibri"/>
          <w:szCs w:val="22"/>
          <w:lang w:eastAsia="en-US"/>
        </w:rPr>
      </w:pPr>
    </w:p>
    <w:p w14:paraId="60F4A26D" w14:textId="77777777" w:rsidR="00AF5321" w:rsidRPr="00AF5321" w:rsidRDefault="00AF5321" w:rsidP="00303E12">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b/>
          <w:szCs w:val="22"/>
          <w:lang w:eastAsia="en-US"/>
        </w:rPr>
      </w:pPr>
    </w:p>
    <w:sectPr w:rsidR="00AF5321" w:rsidRPr="00AF5321" w:rsidSect="00AF532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6F355" w14:textId="77777777" w:rsidR="002168F2" w:rsidRPr="0002187D" w:rsidRDefault="002168F2">
      <w:r w:rsidRPr="0002187D">
        <w:separator/>
      </w:r>
    </w:p>
  </w:endnote>
  <w:endnote w:type="continuationSeparator" w:id="0">
    <w:p w14:paraId="7A748FB7" w14:textId="77777777" w:rsidR="002168F2" w:rsidRPr="0002187D" w:rsidRDefault="002168F2">
      <w:r w:rsidRPr="000218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F124D" w14:textId="77777777" w:rsidR="002168F2" w:rsidRPr="0002187D" w:rsidRDefault="002168F2">
      <w:r w:rsidRPr="0002187D">
        <w:separator/>
      </w:r>
    </w:p>
  </w:footnote>
  <w:footnote w:type="continuationSeparator" w:id="0">
    <w:p w14:paraId="3334A01F" w14:textId="77777777" w:rsidR="002168F2" w:rsidRPr="0002187D" w:rsidRDefault="002168F2">
      <w:r w:rsidRPr="0002187D">
        <w:continuationSeparator/>
      </w:r>
    </w:p>
  </w:footnote>
  <w:footnote w:id="1">
    <w:p w14:paraId="569F4CF5" w14:textId="589AFEE9" w:rsidR="00A33345" w:rsidRPr="00A33345" w:rsidRDefault="00A33345" w:rsidP="00A33345">
      <w:pPr>
        <w:pStyle w:val="FootnoteText"/>
        <w:tabs>
          <w:tab w:val="left" w:pos="567"/>
        </w:tabs>
        <w:ind w:left="567" w:hanging="567"/>
        <w:rPr>
          <w:sz w:val="24"/>
          <w:szCs w:val="22"/>
          <w:lang w:val="el-GR"/>
        </w:rPr>
      </w:pPr>
      <w:r w:rsidRPr="00A33345">
        <w:rPr>
          <w:rStyle w:val="FootnoteReference"/>
          <w:sz w:val="24"/>
          <w:szCs w:val="22"/>
        </w:rPr>
        <w:footnoteRef/>
      </w:r>
      <w:r w:rsidRPr="00A33345">
        <w:rPr>
          <w:sz w:val="24"/>
          <w:szCs w:val="22"/>
          <w:lang w:val="el-GR"/>
        </w:rPr>
        <w:t xml:space="preserve"> </w:t>
      </w:r>
      <w:r w:rsidRPr="00A33345">
        <w:rPr>
          <w:sz w:val="24"/>
          <w:szCs w:val="22"/>
          <w:lang w:val="el-GR"/>
        </w:rPr>
        <w:tab/>
        <w:t>Δεν έχει ακόμη δημοσιευτεί στην Επίσημη Εφημερίδα.</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7"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9"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0"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abstractNum w:abstractNumId="39"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738742037">
    <w:abstractNumId w:val="2"/>
  </w:num>
  <w:num w:numId="2" w16cid:durableId="89281230">
    <w:abstractNumId w:val="12"/>
  </w:num>
  <w:num w:numId="3" w16cid:durableId="1999843244">
    <w:abstractNumId w:val="38"/>
    <w:lvlOverride w:ilvl="0">
      <w:startOverride w:val="1"/>
    </w:lvlOverride>
  </w:num>
  <w:num w:numId="4" w16cid:durableId="39936689">
    <w:abstractNumId w:val="0"/>
  </w:num>
  <w:num w:numId="5" w16cid:durableId="1903053889">
    <w:abstractNumId w:val="9"/>
  </w:num>
  <w:num w:numId="6" w16cid:durableId="840237583">
    <w:abstractNumId w:val="16"/>
  </w:num>
  <w:num w:numId="7" w16cid:durableId="1212033654">
    <w:abstractNumId w:val="8"/>
  </w:num>
  <w:num w:numId="8" w16cid:durableId="897084516">
    <w:abstractNumId w:val="6"/>
  </w:num>
  <w:num w:numId="9" w16cid:durableId="1963344493">
    <w:abstractNumId w:val="26"/>
  </w:num>
  <w:num w:numId="10" w16cid:durableId="2073116542">
    <w:abstractNumId w:val="32"/>
  </w:num>
  <w:num w:numId="11" w16cid:durableId="870606002">
    <w:abstractNumId w:val="27"/>
  </w:num>
  <w:num w:numId="12" w16cid:durableId="1759986184">
    <w:abstractNumId w:val="1"/>
  </w:num>
  <w:num w:numId="13" w16cid:durableId="650789192">
    <w:abstractNumId w:val="28"/>
  </w:num>
  <w:num w:numId="14" w16cid:durableId="1004824257">
    <w:abstractNumId w:val="24"/>
  </w:num>
  <w:num w:numId="15" w16cid:durableId="627854774">
    <w:abstractNumId w:val="3"/>
  </w:num>
  <w:num w:numId="16" w16cid:durableId="934292075">
    <w:abstractNumId w:val="31"/>
  </w:num>
  <w:num w:numId="17" w16cid:durableId="1104492568">
    <w:abstractNumId w:val="36"/>
  </w:num>
  <w:num w:numId="18" w16cid:durableId="1255164892">
    <w:abstractNumId w:val="21"/>
  </w:num>
  <w:num w:numId="19" w16cid:durableId="1860313833">
    <w:abstractNumId w:val="30"/>
  </w:num>
  <w:num w:numId="20" w16cid:durableId="1229463295">
    <w:abstractNumId w:val="25"/>
  </w:num>
  <w:num w:numId="21" w16cid:durableId="1752776772">
    <w:abstractNumId w:val="22"/>
  </w:num>
  <w:num w:numId="22" w16cid:durableId="2043676162">
    <w:abstractNumId w:val="10"/>
  </w:num>
  <w:num w:numId="23" w16cid:durableId="808667250">
    <w:abstractNumId w:val="5"/>
  </w:num>
  <w:num w:numId="24" w16cid:durableId="75978876">
    <w:abstractNumId w:val="4"/>
  </w:num>
  <w:num w:numId="25" w16cid:durableId="534347319">
    <w:abstractNumId w:val="17"/>
  </w:num>
  <w:num w:numId="26" w16cid:durableId="970748424">
    <w:abstractNumId w:val="20"/>
  </w:num>
  <w:num w:numId="27" w16cid:durableId="1371607850">
    <w:abstractNumId w:val="19"/>
  </w:num>
  <w:num w:numId="28" w16cid:durableId="708648370">
    <w:abstractNumId w:val="37"/>
  </w:num>
  <w:num w:numId="29" w16cid:durableId="50347105">
    <w:abstractNumId w:val="13"/>
  </w:num>
  <w:num w:numId="30" w16cid:durableId="2021005607">
    <w:abstractNumId w:val="14"/>
  </w:num>
  <w:num w:numId="31" w16cid:durableId="55976667">
    <w:abstractNumId w:val="15"/>
  </w:num>
  <w:num w:numId="32" w16cid:durableId="1841388943">
    <w:abstractNumId w:val="18"/>
  </w:num>
  <w:num w:numId="33" w16cid:durableId="794837940">
    <w:abstractNumId w:val="7"/>
  </w:num>
  <w:num w:numId="34" w16cid:durableId="793064457">
    <w:abstractNumId w:val="39"/>
  </w:num>
  <w:num w:numId="35" w16cid:durableId="1733193109">
    <w:abstractNumId w:val="11"/>
  </w:num>
  <w:num w:numId="36" w16cid:durableId="1805612504">
    <w:abstractNumId w:val="23"/>
  </w:num>
  <w:num w:numId="37" w16cid:durableId="783305513">
    <w:abstractNumId w:val="34"/>
  </w:num>
  <w:num w:numId="38" w16cid:durableId="1331905468">
    <w:abstractNumId w:val="33"/>
  </w:num>
  <w:num w:numId="39" w16cid:durableId="547450475">
    <w:abstractNumId w:val="35"/>
  </w:num>
  <w:num w:numId="40" w16cid:durableId="1069154639">
    <w:abstractNumId w:val="2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5/2025"/>
    <w:docVar w:name="dvlangue" w:val="EL"/>
    <w:docVar w:name="dvnumam" w:val="0"/>
    <w:docVar w:name="dvpe" w:val="775.677"/>
    <w:docVar w:name="dvrapporteur" w:val="Εισηγητέ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η σταδιακή κατάργηση των εισαγωγών ρωσικού φυσικού αερίου, τη βελτίωση της παρακολούθησης πιθανών ενεργειακών εξαρτήσεων και την τροποποίηση του κανονισμού (ΕΕ) 2017/1938(COM(2025)0828 – C10-0123/2025 – 2025/0180(COD))"/>
  </w:docVars>
  <w:rsids>
    <w:rsidRoot w:val="002168F2"/>
    <w:rsid w:val="00002272"/>
    <w:rsid w:val="0002187D"/>
    <w:rsid w:val="00064002"/>
    <w:rsid w:val="000677B9"/>
    <w:rsid w:val="000831BA"/>
    <w:rsid w:val="000A406D"/>
    <w:rsid w:val="000A42CC"/>
    <w:rsid w:val="000E7DD9"/>
    <w:rsid w:val="0010095E"/>
    <w:rsid w:val="00125B37"/>
    <w:rsid w:val="0013175A"/>
    <w:rsid w:val="00163419"/>
    <w:rsid w:val="00187494"/>
    <w:rsid w:val="001F32AE"/>
    <w:rsid w:val="002168F2"/>
    <w:rsid w:val="002767FF"/>
    <w:rsid w:val="0029618A"/>
    <w:rsid w:val="002B18FE"/>
    <w:rsid w:val="002B5493"/>
    <w:rsid w:val="00303E12"/>
    <w:rsid w:val="00343214"/>
    <w:rsid w:val="00361C00"/>
    <w:rsid w:val="00395FA1"/>
    <w:rsid w:val="003C61C8"/>
    <w:rsid w:val="003E15D4"/>
    <w:rsid w:val="003F1A21"/>
    <w:rsid w:val="00411CCE"/>
    <w:rsid w:val="0041666E"/>
    <w:rsid w:val="00421060"/>
    <w:rsid w:val="00471C19"/>
    <w:rsid w:val="004867E3"/>
    <w:rsid w:val="00494A28"/>
    <w:rsid w:val="004C0004"/>
    <w:rsid w:val="004C5D52"/>
    <w:rsid w:val="004D5FB7"/>
    <w:rsid w:val="004D6C4A"/>
    <w:rsid w:val="004E5110"/>
    <w:rsid w:val="0050519A"/>
    <w:rsid w:val="005072A1"/>
    <w:rsid w:val="00514517"/>
    <w:rsid w:val="00526B05"/>
    <w:rsid w:val="00545827"/>
    <w:rsid w:val="00560270"/>
    <w:rsid w:val="0059734C"/>
    <w:rsid w:val="005C2568"/>
    <w:rsid w:val="005E4B49"/>
    <w:rsid w:val="005F1B17"/>
    <w:rsid w:val="006037C0"/>
    <w:rsid w:val="00661EA4"/>
    <w:rsid w:val="006631B6"/>
    <w:rsid w:val="00680577"/>
    <w:rsid w:val="006F74FA"/>
    <w:rsid w:val="00710C9F"/>
    <w:rsid w:val="00731ADD"/>
    <w:rsid w:val="00734777"/>
    <w:rsid w:val="00747932"/>
    <w:rsid w:val="00751A4A"/>
    <w:rsid w:val="00756632"/>
    <w:rsid w:val="00762C74"/>
    <w:rsid w:val="00786EC0"/>
    <w:rsid w:val="007C208C"/>
    <w:rsid w:val="007D1690"/>
    <w:rsid w:val="007E22AD"/>
    <w:rsid w:val="00817416"/>
    <w:rsid w:val="00840305"/>
    <w:rsid w:val="00842779"/>
    <w:rsid w:val="008463D5"/>
    <w:rsid w:val="00865F67"/>
    <w:rsid w:val="00881A7B"/>
    <w:rsid w:val="008840E5"/>
    <w:rsid w:val="00887B3E"/>
    <w:rsid w:val="008C2AC6"/>
    <w:rsid w:val="00930C23"/>
    <w:rsid w:val="0093193B"/>
    <w:rsid w:val="009509D8"/>
    <w:rsid w:val="00950B64"/>
    <w:rsid w:val="00981893"/>
    <w:rsid w:val="00A1687D"/>
    <w:rsid w:val="00A33345"/>
    <w:rsid w:val="00A43E52"/>
    <w:rsid w:val="00A4678D"/>
    <w:rsid w:val="00A778C7"/>
    <w:rsid w:val="00AA5323"/>
    <w:rsid w:val="00AB441E"/>
    <w:rsid w:val="00AB6293"/>
    <w:rsid w:val="00AE0928"/>
    <w:rsid w:val="00AF3B82"/>
    <w:rsid w:val="00AF5321"/>
    <w:rsid w:val="00B12E95"/>
    <w:rsid w:val="00B22876"/>
    <w:rsid w:val="00B558F0"/>
    <w:rsid w:val="00B87E0B"/>
    <w:rsid w:val="00B908CD"/>
    <w:rsid w:val="00BB4CB3"/>
    <w:rsid w:val="00BB6DBE"/>
    <w:rsid w:val="00BD48FE"/>
    <w:rsid w:val="00BD7BD8"/>
    <w:rsid w:val="00BE6ADC"/>
    <w:rsid w:val="00C0319B"/>
    <w:rsid w:val="00C05BFE"/>
    <w:rsid w:val="00C23CD4"/>
    <w:rsid w:val="00C61C0C"/>
    <w:rsid w:val="00C75A31"/>
    <w:rsid w:val="00C941CB"/>
    <w:rsid w:val="00CC2357"/>
    <w:rsid w:val="00CD6FE3"/>
    <w:rsid w:val="00CF071A"/>
    <w:rsid w:val="00D058B8"/>
    <w:rsid w:val="00D14458"/>
    <w:rsid w:val="00D47FBF"/>
    <w:rsid w:val="00D56C11"/>
    <w:rsid w:val="00D834A0"/>
    <w:rsid w:val="00D872DF"/>
    <w:rsid w:val="00D91E21"/>
    <w:rsid w:val="00DA7FCD"/>
    <w:rsid w:val="00DC5C3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3F9DB"/>
  <w15:chartTrackingRefBased/>
  <w15:docId w15:val="{825C7ABF-5388-432D-9750-2503DBCB7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semiHidden="1" w:unhideWhenUsed="1" w:qFormat="1"/>
    <w:lsdException w:name="footnote reference" w:uiPriority="99"/>
    <w:lsdException w:name="annotation reference" w:uiPriority="99"/>
    <w:lsdException w:name="endnote reference" w:uiPriority="99"/>
    <w:lsdException w:name="Title" w:uiPriority="10" w:qFormat="1"/>
    <w:lsdException w:name="Subtitle" w:uiPriority="11"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Appelnotedebasdep"/>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B6DB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B6DBE"/>
    <w:pPr>
      <w:spacing w:before="480" w:after="240"/>
    </w:pPr>
  </w:style>
  <w:style w:type="paragraph" w:customStyle="1" w:styleId="NormalBold">
    <w:name w:val="NormalBold"/>
    <w:basedOn w:val="Normal"/>
    <w:link w:val="NormalBoldChar"/>
    <w:rsid w:val="00BB6DBE"/>
    <w:rPr>
      <w:b/>
    </w:rPr>
  </w:style>
  <w:style w:type="paragraph" w:customStyle="1" w:styleId="NormalBold12a">
    <w:name w:val="NormalBold12a"/>
    <w:basedOn w:val="Normal"/>
    <w:rsid w:val="00BB6DBE"/>
    <w:pPr>
      <w:spacing w:after="240"/>
    </w:pPr>
    <w:rPr>
      <w:b/>
    </w:rPr>
  </w:style>
  <w:style w:type="paragraph" w:customStyle="1" w:styleId="NormalHanging12a">
    <w:name w:val="NormalHanging12a"/>
    <w:basedOn w:val="Normal"/>
    <w:rsid w:val="00BB6DBE"/>
    <w:pPr>
      <w:spacing w:after="240"/>
      <w:ind w:left="567" w:hanging="567"/>
    </w:pPr>
  </w:style>
  <w:style w:type="paragraph" w:customStyle="1" w:styleId="NormalCenter12a">
    <w:name w:val="NormalCenter12a"/>
    <w:basedOn w:val="Normal"/>
    <w:rsid w:val="00BB6DBE"/>
    <w:pPr>
      <w:spacing w:after="240"/>
      <w:jc w:val="center"/>
    </w:pPr>
  </w:style>
  <w:style w:type="paragraph" w:styleId="Header">
    <w:name w:val="header"/>
    <w:basedOn w:val="Normal"/>
    <w:link w:val="HeaderChar"/>
    <w:uiPriority w:val="99"/>
    <w:rsid w:val="00BB6DBE"/>
    <w:pPr>
      <w:tabs>
        <w:tab w:val="center" w:pos="4513"/>
        <w:tab w:val="right" w:pos="9026"/>
      </w:tabs>
    </w:pPr>
  </w:style>
  <w:style w:type="character" w:customStyle="1" w:styleId="HeaderChar">
    <w:name w:val="Header Char"/>
    <w:basedOn w:val="DefaultParagraphFont"/>
    <w:link w:val="Header"/>
    <w:uiPriority w:val="99"/>
    <w:rsid w:val="00BB6DBE"/>
    <w:rPr>
      <w:sz w:val="24"/>
      <w:lang w:val="el-GR"/>
    </w:rPr>
  </w:style>
  <w:style w:type="paragraph" w:customStyle="1" w:styleId="AmNumberTabs">
    <w:name w:val="AmNumberTabs"/>
    <w:basedOn w:val="Normal"/>
    <w:rsid w:val="00BB6DB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BB6DBE"/>
    <w:pPr>
      <w:spacing w:before="720" w:after="240"/>
      <w:jc w:val="center"/>
    </w:pPr>
  </w:style>
  <w:style w:type="paragraph" w:customStyle="1" w:styleId="EPFooter">
    <w:name w:val="EPFooter"/>
    <w:basedOn w:val="Normal"/>
    <w:rsid w:val="00BB6DBE"/>
    <w:pPr>
      <w:tabs>
        <w:tab w:val="center" w:pos="4535"/>
        <w:tab w:val="right" w:pos="9071"/>
      </w:tabs>
      <w:spacing w:before="240" w:after="240"/>
    </w:pPr>
    <w:rPr>
      <w:color w:val="010000"/>
      <w:sz w:val="22"/>
    </w:rPr>
  </w:style>
  <w:style w:type="character" w:styleId="Hyperlink">
    <w:name w:val="Hyperlink"/>
    <w:basedOn w:val="DefaultParagraphFont"/>
    <w:unhideWhenUsed/>
    <w:rsid w:val="00BB6DBE"/>
    <w:rPr>
      <w:color w:val="0563C1" w:themeColor="hyperlink"/>
      <w:u w:val="single"/>
    </w:rPr>
  </w:style>
  <w:style w:type="paragraph" w:customStyle="1" w:styleId="Statut">
    <w:name w:val="Statut"/>
    <w:basedOn w:val="Normal"/>
    <w:next w:val="Typedudocument"/>
    <w:rsid w:val="00BB6DBE"/>
    <w:pPr>
      <w:widowControl/>
      <w:spacing w:before="360"/>
      <w:jc w:val="center"/>
    </w:pPr>
    <w:rPr>
      <w:rFonts w:eastAsiaTheme="minorHAnsi"/>
      <w:szCs w:val="22"/>
      <w:lang w:eastAsia="en-US"/>
    </w:rPr>
  </w:style>
  <w:style w:type="paragraph" w:customStyle="1" w:styleId="Point1">
    <w:name w:val="Point 1"/>
    <w:basedOn w:val="Normal"/>
    <w:rsid w:val="00BB6DBE"/>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BB6DBE"/>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BB6DBE"/>
    <w:pPr>
      <w:widowControl/>
      <w:spacing w:before="480" w:after="120"/>
      <w:jc w:val="both"/>
    </w:pPr>
    <w:rPr>
      <w:rFonts w:eastAsiaTheme="minorHAnsi"/>
      <w:szCs w:val="22"/>
      <w:lang w:eastAsia="en-US"/>
    </w:rPr>
  </w:style>
  <w:style w:type="paragraph" w:customStyle="1" w:styleId="Considrant">
    <w:name w:val="Considérant"/>
    <w:basedOn w:val="Normal"/>
    <w:rsid w:val="00BB6DBE"/>
    <w:pPr>
      <w:widowControl/>
      <w:numPr>
        <w:numId w:val="3"/>
      </w:numPr>
      <w:spacing w:before="120" w:after="120"/>
      <w:jc w:val="both"/>
    </w:pPr>
    <w:rPr>
      <w:rFonts w:eastAsiaTheme="minorHAnsi"/>
      <w:szCs w:val="22"/>
      <w:lang w:eastAsia="en-US"/>
    </w:rPr>
  </w:style>
  <w:style w:type="paragraph" w:customStyle="1" w:styleId="Titreobjet">
    <w:name w:val="Titre objet"/>
    <w:basedOn w:val="Normal"/>
    <w:next w:val="Normal"/>
    <w:rsid w:val="00BB6DBE"/>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rsid w:val="00BB6DBE"/>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BB6DB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BB6DB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B6DBE"/>
    <w:pPr>
      <w:keepNext/>
      <w:widowControl/>
      <w:spacing w:before="600" w:after="120"/>
      <w:jc w:val="both"/>
    </w:pPr>
    <w:rPr>
      <w:rFonts w:eastAsiaTheme="minorHAnsi"/>
      <w:szCs w:val="22"/>
      <w:lang w:eastAsia="en-US"/>
    </w:rPr>
  </w:style>
  <w:style w:type="paragraph" w:customStyle="1" w:styleId="Rfrenceinterinstitutionnelle">
    <w:name w:val="Référence interinstitutionnelle"/>
    <w:basedOn w:val="Normal"/>
    <w:next w:val="Statut"/>
    <w:rsid w:val="00BB6DBE"/>
    <w:pPr>
      <w:widowControl/>
      <w:ind w:left="5103"/>
    </w:pPr>
    <w:rPr>
      <w:rFonts w:eastAsiaTheme="minorHAnsi"/>
      <w:szCs w:val="22"/>
      <w:lang w:eastAsia="en-US"/>
    </w:rPr>
  </w:style>
  <w:style w:type="paragraph" w:customStyle="1" w:styleId="Typedudocument">
    <w:name w:val="Type du document"/>
    <w:basedOn w:val="Normal"/>
    <w:next w:val="Titreobjet"/>
    <w:rsid w:val="00BB6DBE"/>
    <w:pPr>
      <w:widowControl/>
      <w:spacing w:before="360"/>
      <w:jc w:val="center"/>
    </w:pPr>
    <w:rPr>
      <w:rFonts w:eastAsiaTheme="minorHAnsi"/>
      <w:b/>
      <w:szCs w:val="22"/>
      <w:lang w:eastAsia="en-US"/>
    </w:rPr>
  </w:style>
  <w:style w:type="character" w:customStyle="1" w:styleId="normaltextrun">
    <w:name w:val="normaltextrun"/>
    <w:basedOn w:val="DefaultParagraphFont"/>
    <w:rsid w:val="00BB6DBE"/>
  </w:style>
  <w:style w:type="character" w:customStyle="1" w:styleId="eop">
    <w:name w:val="eop"/>
    <w:basedOn w:val="DefaultParagraphFont"/>
    <w:rsid w:val="00BB6DBE"/>
  </w:style>
  <w:style w:type="paragraph" w:customStyle="1" w:styleId="Annexetitre">
    <w:name w:val="Annexe titre"/>
    <w:basedOn w:val="Normal"/>
    <w:next w:val="Normal"/>
    <w:rsid w:val="00BB6DBE"/>
    <w:pPr>
      <w:widowControl/>
      <w:spacing w:before="120" w:after="120"/>
      <w:jc w:val="center"/>
    </w:pPr>
    <w:rPr>
      <w:rFonts w:eastAsiaTheme="minorHAnsi"/>
      <w:b/>
      <w:szCs w:val="22"/>
      <w:u w:val="single"/>
      <w:lang w:eastAsia="en-US"/>
    </w:rPr>
  </w:style>
  <w:style w:type="character" w:customStyle="1" w:styleId="Marker">
    <w:name w:val="Marker"/>
    <w:basedOn w:val="DefaultParagraphFont"/>
    <w:rsid w:val="00BB6DBE"/>
    <w:rPr>
      <w:color w:val="0000FF"/>
    </w:rPr>
  </w:style>
  <w:style w:type="character" w:customStyle="1" w:styleId="NormalBoldChar">
    <w:name w:val="NormalBold Char"/>
    <w:basedOn w:val="DefaultParagraphFont"/>
    <w:link w:val="NormalBold"/>
    <w:locked/>
    <w:rsid w:val="00BB6DBE"/>
    <w:rPr>
      <w:b/>
      <w:sz w:val="24"/>
      <w:lang w:val="el-GR"/>
    </w:rPr>
  </w:style>
  <w:style w:type="paragraph" w:styleId="Revision">
    <w:name w:val="Revision"/>
    <w:hidden/>
    <w:uiPriority w:val="99"/>
    <w:semiHidden/>
    <w:rsid w:val="00661EA4"/>
    <w:rPr>
      <w:sz w:val="24"/>
      <w:lang w:val="el-GR"/>
    </w:rPr>
  </w:style>
  <w:style w:type="paragraph" w:styleId="Footer">
    <w:name w:val="footer"/>
    <w:basedOn w:val="Normal"/>
    <w:link w:val="FooterChar"/>
    <w:rsid w:val="00661EA4"/>
    <w:pPr>
      <w:tabs>
        <w:tab w:val="center" w:pos="4513"/>
        <w:tab w:val="right" w:pos="9026"/>
      </w:tabs>
    </w:pPr>
  </w:style>
  <w:style w:type="character" w:customStyle="1" w:styleId="FooterChar">
    <w:name w:val="Footer Char"/>
    <w:basedOn w:val="DefaultParagraphFont"/>
    <w:link w:val="Footer"/>
    <w:uiPriority w:val="99"/>
    <w:rsid w:val="00661EA4"/>
    <w:rPr>
      <w:sz w:val="24"/>
      <w:lang w:val="el-GR"/>
    </w:rPr>
  </w:style>
  <w:style w:type="character" w:styleId="UnresolvedMention">
    <w:name w:val="Unresolved Mention"/>
    <w:basedOn w:val="DefaultParagraphFont"/>
    <w:uiPriority w:val="99"/>
    <w:semiHidden/>
    <w:unhideWhenUsed/>
    <w:rsid w:val="00661EA4"/>
    <w:rPr>
      <w:color w:val="605E5C"/>
      <w:shd w:val="clear" w:color="auto" w:fill="E1DFDD"/>
    </w:rPr>
  </w:style>
  <w:style w:type="character" w:customStyle="1" w:styleId="Heading1Char">
    <w:name w:val="Heading 1 Char"/>
    <w:basedOn w:val="DefaultParagraphFont"/>
    <w:link w:val="Heading1"/>
    <w:uiPriority w:val="9"/>
    <w:rsid w:val="00303E12"/>
    <w:rPr>
      <w:b/>
      <w:kern w:val="28"/>
      <w:sz w:val="28"/>
      <w:lang w:val="fr-FR" w:eastAsia="fr-FR"/>
    </w:rPr>
  </w:style>
  <w:style w:type="character" w:customStyle="1" w:styleId="Heading2Char">
    <w:name w:val="Heading 2 Char"/>
    <w:basedOn w:val="DefaultParagraphFont"/>
    <w:link w:val="Heading2"/>
    <w:uiPriority w:val="9"/>
    <w:semiHidden/>
    <w:rsid w:val="00303E12"/>
    <w:rPr>
      <w:sz w:val="24"/>
      <w:lang w:val="fr-FR" w:eastAsia="fr-FR"/>
    </w:rPr>
  </w:style>
  <w:style w:type="character" w:customStyle="1" w:styleId="Heading3Char">
    <w:name w:val="Heading 3 Char"/>
    <w:basedOn w:val="DefaultParagraphFont"/>
    <w:link w:val="Heading3"/>
    <w:uiPriority w:val="9"/>
    <w:semiHidden/>
    <w:rsid w:val="00303E12"/>
    <w:rPr>
      <w:rFonts w:ascii="Arial" w:hAnsi="Arial"/>
      <w:sz w:val="24"/>
      <w:lang w:val="fr-FR" w:eastAsia="fr-FR"/>
    </w:rPr>
  </w:style>
  <w:style w:type="character" w:customStyle="1" w:styleId="Heading4Char">
    <w:name w:val="Heading 4 Char"/>
    <w:basedOn w:val="DefaultParagraphFont"/>
    <w:link w:val="Heading4"/>
    <w:uiPriority w:val="9"/>
    <w:semiHidden/>
    <w:rsid w:val="00303E12"/>
    <w:rPr>
      <w:sz w:val="24"/>
      <w:lang w:val="en-US" w:eastAsia="fr-FR"/>
    </w:rPr>
  </w:style>
  <w:style w:type="character" w:customStyle="1" w:styleId="Heading5Char">
    <w:name w:val="Heading 5 Char"/>
    <w:basedOn w:val="DefaultParagraphFont"/>
    <w:link w:val="Heading5"/>
    <w:uiPriority w:val="9"/>
    <w:semiHidden/>
    <w:rsid w:val="00303E12"/>
    <w:rPr>
      <w:sz w:val="24"/>
      <w:lang w:val="en-US" w:eastAsia="fr-FR"/>
    </w:rPr>
  </w:style>
  <w:style w:type="character" w:customStyle="1" w:styleId="Heading6Char">
    <w:name w:val="Heading 6 Char"/>
    <w:basedOn w:val="DefaultParagraphFont"/>
    <w:link w:val="Heading6"/>
    <w:uiPriority w:val="9"/>
    <w:semiHidden/>
    <w:rsid w:val="00303E12"/>
    <w:rPr>
      <w:i/>
      <w:sz w:val="22"/>
      <w:lang w:val="el-GR"/>
    </w:rPr>
  </w:style>
  <w:style w:type="character" w:customStyle="1" w:styleId="Heading7Char">
    <w:name w:val="Heading 7 Char"/>
    <w:basedOn w:val="DefaultParagraphFont"/>
    <w:link w:val="Heading7"/>
    <w:uiPriority w:val="9"/>
    <w:semiHidden/>
    <w:rsid w:val="00303E12"/>
    <w:rPr>
      <w:rFonts w:ascii="Arial" w:hAnsi="Arial"/>
      <w:sz w:val="24"/>
      <w:lang w:val="el-GR"/>
    </w:rPr>
  </w:style>
  <w:style w:type="character" w:customStyle="1" w:styleId="Heading8Char">
    <w:name w:val="Heading 8 Char"/>
    <w:basedOn w:val="DefaultParagraphFont"/>
    <w:link w:val="Heading8"/>
    <w:uiPriority w:val="9"/>
    <w:semiHidden/>
    <w:rsid w:val="00303E12"/>
    <w:rPr>
      <w:rFonts w:ascii="Arial" w:hAnsi="Arial"/>
      <w:i/>
      <w:sz w:val="24"/>
      <w:lang w:val="el-GR"/>
    </w:rPr>
  </w:style>
  <w:style w:type="character" w:customStyle="1" w:styleId="Heading9Char">
    <w:name w:val="Heading 9 Char"/>
    <w:basedOn w:val="DefaultParagraphFont"/>
    <w:link w:val="Heading9"/>
    <w:uiPriority w:val="9"/>
    <w:semiHidden/>
    <w:rsid w:val="00303E12"/>
    <w:rPr>
      <w:rFonts w:ascii="Arial" w:hAnsi="Arial"/>
      <w:b/>
      <w:i/>
      <w:sz w:val="18"/>
      <w:lang w:val="el-GR"/>
    </w:rPr>
  </w:style>
  <w:style w:type="paragraph" w:customStyle="1" w:styleId="AmDocTypeTab">
    <w:name w:val="AmDocTypeTab"/>
    <w:basedOn w:val="Normal"/>
    <w:rsid w:val="00303E12"/>
    <w:pPr>
      <w:tabs>
        <w:tab w:val="right" w:pos="9072"/>
      </w:tabs>
    </w:pPr>
    <w:rPr>
      <w:b/>
    </w:rPr>
  </w:style>
  <w:style w:type="paragraph" w:customStyle="1" w:styleId="Normal12a">
    <w:name w:val="Normal12a"/>
    <w:basedOn w:val="Normal"/>
    <w:rsid w:val="00303E12"/>
    <w:pPr>
      <w:spacing w:after="240"/>
    </w:pPr>
  </w:style>
  <w:style w:type="paragraph" w:customStyle="1" w:styleId="AmOrLang">
    <w:name w:val="AmOrLang"/>
    <w:basedOn w:val="Normal"/>
    <w:rsid w:val="00303E12"/>
    <w:pPr>
      <w:spacing w:before="240" w:after="240"/>
      <w:jc w:val="right"/>
    </w:pPr>
  </w:style>
  <w:style w:type="paragraph" w:customStyle="1" w:styleId="AmDateTab">
    <w:name w:val="AmDateTab"/>
    <w:basedOn w:val="Normal"/>
    <w:rsid w:val="00303E12"/>
    <w:pPr>
      <w:tabs>
        <w:tab w:val="right" w:pos="9072"/>
      </w:tabs>
    </w:pPr>
  </w:style>
  <w:style w:type="paragraph" w:styleId="TOCHeading">
    <w:name w:val="TOC Heading"/>
    <w:basedOn w:val="Normal"/>
    <w:next w:val="Normal"/>
    <w:uiPriority w:val="39"/>
    <w:unhideWhenUsed/>
    <w:qFormat/>
    <w:rsid w:val="00303E12"/>
    <w:pPr>
      <w:keepLines/>
      <w:spacing w:after="240"/>
    </w:pPr>
    <w:rPr>
      <w:rFonts w:asciiTheme="majorHAnsi" w:eastAsiaTheme="majorEastAsia" w:hAnsiTheme="majorHAnsi" w:cstheme="majorBidi"/>
      <w:b/>
      <w:color w:val="2E74B5" w:themeColor="accent1" w:themeShade="BF"/>
      <w:sz w:val="32"/>
      <w:szCs w:val="32"/>
    </w:rPr>
  </w:style>
  <w:style w:type="numbering" w:customStyle="1" w:styleId="NoList1">
    <w:name w:val="No List1"/>
    <w:next w:val="NoList"/>
    <w:uiPriority w:val="99"/>
    <w:semiHidden/>
    <w:unhideWhenUsed/>
    <w:rsid w:val="00303E12"/>
  </w:style>
  <w:style w:type="paragraph" w:customStyle="1" w:styleId="Title1">
    <w:name w:val="Title1"/>
    <w:basedOn w:val="Normal"/>
    <w:next w:val="Normal"/>
    <w:uiPriority w:val="10"/>
    <w:qFormat/>
    <w:rsid w:val="00303E12"/>
    <w:pPr>
      <w:widowControl/>
      <w:spacing w:before="120" w:after="80" w:line="360" w:lineRule="auto"/>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303E12"/>
    <w:rPr>
      <w:rFonts w:ascii="Cambria" w:hAnsi="Cambria"/>
      <w:spacing w:val="-10"/>
      <w:kern w:val="28"/>
      <w:sz w:val="56"/>
      <w:szCs w:val="56"/>
    </w:rPr>
  </w:style>
  <w:style w:type="paragraph" w:customStyle="1" w:styleId="Subtitle1">
    <w:name w:val="Subtitle1"/>
    <w:basedOn w:val="Normal"/>
    <w:next w:val="Normal"/>
    <w:uiPriority w:val="11"/>
    <w:qFormat/>
    <w:rsid w:val="00303E12"/>
    <w:pPr>
      <w:widowControl/>
      <w:numPr>
        <w:ilvl w:val="1"/>
      </w:numPr>
      <w:spacing w:before="120" w:after="160" w:line="259" w:lineRule="auto"/>
    </w:pPr>
    <w:rPr>
      <w:rFonts w:ascii="Calibri" w:hAnsi="Calibri"/>
      <w:color w:val="595959"/>
      <w:spacing w:val="15"/>
      <w:kern w:val="2"/>
      <w:sz w:val="28"/>
      <w:szCs w:val="28"/>
      <w:lang w:eastAsia="en-US"/>
    </w:rPr>
  </w:style>
  <w:style w:type="character" w:customStyle="1" w:styleId="SubtitleChar">
    <w:name w:val="Subtitle Char"/>
    <w:basedOn w:val="DefaultParagraphFont"/>
    <w:link w:val="Subtitle"/>
    <w:uiPriority w:val="11"/>
    <w:rsid w:val="00303E12"/>
    <w:rPr>
      <w:color w:val="595959"/>
      <w:spacing w:val="15"/>
      <w:sz w:val="28"/>
      <w:szCs w:val="28"/>
    </w:rPr>
  </w:style>
  <w:style w:type="paragraph" w:customStyle="1" w:styleId="Quote1">
    <w:name w:val="Quote1"/>
    <w:basedOn w:val="Normal"/>
    <w:next w:val="Normal"/>
    <w:uiPriority w:val="29"/>
    <w:qFormat/>
    <w:rsid w:val="00303E12"/>
    <w:pPr>
      <w:widowControl/>
      <w:spacing w:before="160" w:after="160" w:line="259" w:lineRule="auto"/>
      <w:jc w:val="center"/>
    </w:pPr>
    <w:rPr>
      <w:rFonts w:ascii="Calibri" w:eastAsia="Calibri" w:hAnsi="Calibri" w:cs="Arial"/>
      <w:i/>
      <w:iCs/>
      <w:color w:val="404040"/>
      <w:kern w:val="2"/>
      <w:sz w:val="22"/>
      <w:szCs w:val="22"/>
      <w:lang w:eastAsia="en-US"/>
    </w:rPr>
  </w:style>
  <w:style w:type="character" w:customStyle="1" w:styleId="QuoteChar">
    <w:name w:val="Quote Char"/>
    <w:basedOn w:val="DefaultParagraphFont"/>
    <w:link w:val="Quote"/>
    <w:uiPriority w:val="29"/>
    <w:rsid w:val="00303E12"/>
    <w:rPr>
      <w:i/>
      <w:iCs/>
      <w:color w:val="404040"/>
    </w:rPr>
  </w:style>
  <w:style w:type="paragraph" w:customStyle="1" w:styleId="OBCBullet1">
    <w:name w:val="OBC Bullet1"/>
    <w:basedOn w:val="Normal"/>
    <w:next w:val="ListParagraph"/>
    <w:link w:val="ListParagraphChar"/>
    <w:uiPriority w:val="34"/>
    <w:qFormat/>
    <w:rsid w:val="00303E12"/>
    <w:pPr>
      <w:widowControl/>
      <w:spacing w:before="120" w:after="160" w:line="259" w:lineRule="auto"/>
      <w:ind w:left="720"/>
      <w:contextualSpacing/>
    </w:pPr>
    <w:rPr>
      <w:rFonts w:ascii="Calibri" w:eastAsia="Calibri" w:hAnsi="Calibri" w:cs="Arial"/>
      <w:kern w:val="2"/>
      <w:sz w:val="22"/>
      <w:szCs w:val="22"/>
      <w:lang w:eastAsia="en-US"/>
    </w:rPr>
  </w:style>
  <w:style w:type="character" w:customStyle="1" w:styleId="IntenseEmphasis1">
    <w:name w:val="Intense Emphasis1"/>
    <w:basedOn w:val="DefaultParagraphFont"/>
    <w:uiPriority w:val="21"/>
    <w:qFormat/>
    <w:rsid w:val="00303E12"/>
    <w:rPr>
      <w:i/>
      <w:iCs/>
      <w:color w:val="365F91"/>
    </w:rPr>
  </w:style>
  <w:style w:type="paragraph" w:customStyle="1" w:styleId="IntenseQuote1">
    <w:name w:val="Intense Quote1"/>
    <w:basedOn w:val="Normal"/>
    <w:next w:val="Normal"/>
    <w:uiPriority w:val="30"/>
    <w:qFormat/>
    <w:rsid w:val="00303E12"/>
    <w:pPr>
      <w:widowControl/>
      <w:pBdr>
        <w:top w:val="single" w:sz="4" w:space="10" w:color="365F91"/>
        <w:bottom w:val="single" w:sz="4" w:space="10" w:color="365F91"/>
      </w:pBdr>
      <w:spacing w:before="360" w:after="360" w:line="259" w:lineRule="auto"/>
      <w:ind w:left="864" w:right="864"/>
      <w:jc w:val="center"/>
    </w:pPr>
    <w:rPr>
      <w:rFonts w:ascii="Calibri" w:eastAsia="Calibri" w:hAnsi="Calibri" w:cs="Arial"/>
      <w:i/>
      <w:iCs/>
      <w:color w:val="365F91"/>
      <w:kern w:val="2"/>
      <w:sz w:val="22"/>
      <w:szCs w:val="22"/>
      <w:lang w:eastAsia="en-US"/>
    </w:rPr>
  </w:style>
  <w:style w:type="character" w:customStyle="1" w:styleId="IntenseQuoteChar">
    <w:name w:val="Intense Quote Char"/>
    <w:basedOn w:val="DefaultParagraphFont"/>
    <w:link w:val="IntenseQuote"/>
    <w:uiPriority w:val="30"/>
    <w:rsid w:val="00303E12"/>
    <w:rPr>
      <w:i/>
      <w:iCs/>
      <w:color w:val="365F91"/>
    </w:rPr>
  </w:style>
  <w:style w:type="character" w:customStyle="1" w:styleId="IntenseReference1">
    <w:name w:val="Intense Reference1"/>
    <w:basedOn w:val="DefaultParagraphFont"/>
    <w:uiPriority w:val="32"/>
    <w:qFormat/>
    <w:rsid w:val="00303E12"/>
    <w:rPr>
      <w:b/>
      <w:bCs/>
      <w:smallCaps/>
      <w:color w:val="365F91"/>
      <w:spacing w:val="5"/>
    </w:rPr>
  </w:style>
  <w:style w:type="paragraph" w:customStyle="1" w:styleId="TechnicalBlockBase">
    <w:name w:val="TechnicalBlockBase"/>
    <w:link w:val="TechnicalBlockBaseChar"/>
    <w:rsid w:val="00303E12"/>
    <w:pPr>
      <w:widowControl w:val="0"/>
      <w:spacing w:before="140" w:after="140" w:line="185" w:lineRule="auto"/>
      <w:ind w:left="260" w:right="260"/>
    </w:pPr>
    <w:rPr>
      <w:rFonts w:ascii="Arial New Roman" w:hAnsi="Arial New Roman" w:cs="Arial"/>
      <w:b/>
      <w:i/>
      <w:dstrike/>
      <w:color w:val="606060"/>
      <w:w w:val="98"/>
      <w:sz w:val="10"/>
      <w:u w:val="words" w:color="606060"/>
      <w:lang w:val="el-GR" w:eastAsia="fr-BE"/>
    </w:rPr>
  </w:style>
  <w:style w:type="character" w:customStyle="1" w:styleId="TechnicalBlockBaseChar">
    <w:name w:val="TechnicalBlockBase Char"/>
    <w:basedOn w:val="EntInstitChar"/>
    <w:link w:val="TechnicalBlockBase"/>
    <w:rsid w:val="00303E12"/>
    <w:rPr>
      <w:rFonts w:ascii="Arial New Roman" w:hAnsi="Arial New Roman" w:cs="Arial"/>
      <w:b/>
      <w:i/>
      <w:dstrike/>
      <w:color w:val="606060"/>
      <w:w w:val="98"/>
      <w:sz w:val="10"/>
      <w:u w:val="words" w:color="606060"/>
      <w:lang w:val="el-GR" w:eastAsia="fr-BE"/>
    </w:rPr>
  </w:style>
  <w:style w:type="paragraph" w:customStyle="1" w:styleId="TBEntRefer">
    <w:name w:val="TBEntRefer"/>
    <w:basedOn w:val="TechnicalBlockBase"/>
    <w:link w:val="EntReferChar"/>
    <w:rsid w:val="00303E12"/>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303E12"/>
    <w:rPr>
      <w:rFonts w:ascii="Arial" w:hAnsi="Arial" w:cs="Arial"/>
      <w:b/>
      <w:sz w:val="23"/>
      <w:u w:color="606060"/>
      <w:lang w:val="el-GR" w:eastAsia="fr-BE"/>
    </w:rPr>
  </w:style>
  <w:style w:type="paragraph" w:customStyle="1" w:styleId="TBDistrbMarkers">
    <w:name w:val="TBDistrbMarkers"/>
    <w:basedOn w:val="TBEntRefer"/>
    <w:qFormat/>
    <w:rsid w:val="00303E12"/>
    <w:pPr>
      <w:tabs>
        <w:tab w:val="left" w:pos="2262"/>
      </w:tabs>
    </w:pPr>
    <w:rPr>
      <w:i/>
      <w:iCs/>
      <w:szCs w:val="23"/>
    </w:rPr>
  </w:style>
  <w:style w:type="paragraph" w:customStyle="1" w:styleId="TBEntACP">
    <w:name w:val="TBEntACP"/>
    <w:basedOn w:val="TechnicalBlockBase"/>
    <w:rsid w:val="00303E12"/>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303E12"/>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303E12"/>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303E12"/>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303E12"/>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303E12"/>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303E12"/>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303E12"/>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303E12"/>
    <w:rPr>
      <w:rFonts w:ascii="Arial" w:hAnsi="Arial" w:cs="Arial"/>
      <w:b/>
      <w:sz w:val="23"/>
      <w:u w:color="606060"/>
      <w:lang w:val="el-GR" w:eastAsia="fr-BE"/>
    </w:rPr>
  </w:style>
  <w:style w:type="paragraph" w:customStyle="1" w:styleId="TBSubjectTable">
    <w:name w:val="TBSubjectTable"/>
    <w:basedOn w:val="TechnicalBlockBase"/>
    <w:rsid w:val="00303E12"/>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303E12"/>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303E12"/>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303E12"/>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303E12"/>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303E12"/>
    <w:pPr>
      <w:widowControl/>
      <w:spacing w:after="440" w:line="360" w:lineRule="auto"/>
    </w:pPr>
    <w:rPr>
      <w:rFonts w:eastAsia="Calibri"/>
      <w:sz w:val="2"/>
      <w:szCs w:val="22"/>
      <w:lang w:eastAsia="en-US"/>
    </w:rPr>
  </w:style>
  <w:style w:type="paragraph" w:customStyle="1" w:styleId="FooterText">
    <w:name w:val="Footer Text"/>
    <w:basedOn w:val="Normal"/>
    <w:unhideWhenUsed/>
    <w:rsid w:val="00303E12"/>
    <w:pPr>
      <w:widowControl/>
    </w:pPr>
    <w:rPr>
      <w:rFonts w:eastAsia="Calibri"/>
      <w:szCs w:val="22"/>
      <w:lang w:eastAsia="en-US"/>
    </w:rPr>
  </w:style>
  <w:style w:type="paragraph" w:customStyle="1" w:styleId="NormalCentered">
    <w:name w:val="Normal Centered"/>
    <w:basedOn w:val="Normal"/>
    <w:rsid w:val="00303E12"/>
    <w:pPr>
      <w:widowControl/>
      <w:spacing w:before="200" w:after="120" w:line="360" w:lineRule="auto"/>
      <w:jc w:val="center"/>
    </w:pPr>
    <w:rPr>
      <w:rFonts w:eastAsia="Calibri"/>
      <w:szCs w:val="22"/>
      <w:lang w:eastAsia="en-US"/>
    </w:rPr>
  </w:style>
  <w:style w:type="paragraph" w:customStyle="1" w:styleId="NormalRight">
    <w:name w:val="Normal Right"/>
    <w:basedOn w:val="Normal"/>
    <w:rsid w:val="00303E12"/>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303E12"/>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303E12"/>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303E12"/>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303E12"/>
    <w:pPr>
      <w:widowControl/>
    </w:pPr>
    <w:rPr>
      <w:rFonts w:eastAsia="Calibri"/>
      <w:sz w:val="2"/>
      <w:szCs w:val="22"/>
      <w:lang w:eastAsia="en-US"/>
    </w:rPr>
  </w:style>
  <w:style w:type="paragraph" w:customStyle="1" w:styleId="FooterCouncil">
    <w:name w:val="Footer Council"/>
    <w:basedOn w:val="Normal"/>
    <w:rsid w:val="00303E12"/>
    <w:pPr>
      <w:widowControl/>
    </w:pPr>
    <w:rPr>
      <w:rFonts w:eastAsia="Calibri"/>
      <w:sz w:val="2"/>
      <w:szCs w:val="22"/>
      <w:lang w:eastAsia="en-US"/>
    </w:rPr>
  </w:style>
  <w:style w:type="paragraph" w:customStyle="1" w:styleId="TechnicalBlock">
    <w:name w:val="Technical Block"/>
    <w:basedOn w:val="Normal"/>
    <w:next w:val="Normal"/>
    <w:rsid w:val="00303E12"/>
    <w:pPr>
      <w:widowControl/>
      <w:spacing w:after="240"/>
      <w:jc w:val="center"/>
    </w:pPr>
    <w:rPr>
      <w:rFonts w:eastAsia="Calibri"/>
      <w:szCs w:val="22"/>
      <w:lang w:eastAsia="en-US"/>
    </w:rPr>
  </w:style>
  <w:style w:type="paragraph" w:customStyle="1" w:styleId="FinalLine">
    <w:name w:val="Final Line"/>
    <w:basedOn w:val="Normal"/>
    <w:next w:val="Normal"/>
    <w:rsid w:val="00303E1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303E1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303E12"/>
    <w:pPr>
      <w:widowControl/>
      <w:spacing w:before="120" w:after="120" w:line="360" w:lineRule="auto"/>
      <w:ind w:left="567"/>
    </w:pPr>
    <w:rPr>
      <w:rFonts w:eastAsia="Calibri"/>
      <w:szCs w:val="22"/>
      <w:lang w:eastAsia="en-US"/>
    </w:rPr>
  </w:style>
  <w:style w:type="paragraph" w:customStyle="1" w:styleId="Text2">
    <w:name w:val="Text 2"/>
    <w:basedOn w:val="Normal"/>
    <w:rsid w:val="00303E12"/>
    <w:pPr>
      <w:widowControl/>
      <w:spacing w:before="120" w:after="120" w:line="360" w:lineRule="auto"/>
      <w:ind w:left="1134"/>
    </w:pPr>
    <w:rPr>
      <w:rFonts w:eastAsia="Calibri"/>
      <w:szCs w:val="22"/>
      <w:lang w:eastAsia="en-US"/>
    </w:rPr>
  </w:style>
  <w:style w:type="paragraph" w:customStyle="1" w:styleId="Text3">
    <w:name w:val="Text 3"/>
    <w:basedOn w:val="Normal"/>
    <w:rsid w:val="00303E12"/>
    <w:pPr>
      <w:widowControl/>
      <w:spacing w:before="120" w:after="120" w:line="360" w:lineRule="auto"/>
      <w:ind w:left="1701"/>
    </w:pPr>
    <w:rPr>
      <w:rFonts w:eastAsia="Calibri"/>
      <w:szCs w:val="22"/>
      <w:lang w:eastAsia="en-US"/>
    </w:rPr>
  </w:style>
  <w:style w:type="paragraph" w:customStyle="1" w:styleId="Text4">
    <w:name w:val="Text 4"/>
    <w:basedOn w:val="Normal"/>
    <w:rsid w:val="00303E12"/>
    <w:pPr>
      <w:widowControl/>
      <w:spacing w:before="120" w:after="120" w:line="360" w:lineRule="auto"/>
      <w:ind w:left="2268"/>
    </w:pPr>
    <w:rPr>
      <w:rFonts w:eastAsia="Calibri"/>
      <w:szCs w:val="22"/>
      <w:lang w:eastAsia="en-US"/>
    </w:rPr>
  </w:style>
  <w:style w:type="paragraph" w:customStyle="1" w:styleId="Text5">
    <w:name w:val="Text 5"/>
    <w:basedOn w:val="Normal"/>
    <w:rsid w:val="00303E12"/>
    <w:pPr>
      <w:widowControl/>
      <w:spacing w:before="120" w:after="120" w:line="360" w:lineRule="auto"/>
      <w:ind w:left="2835"/>
    </w:pPr>
    <w:rPr>
      <w:rFonts w:eastAsia="Calibri"/>
      <w:szCs w:val="22"/>
      <w:lang w:eastAsia="en-US"/>
    </w:rPr>
  </w:style>
  <w:style w:type="paragraph" w:customStyle="1" w:styleId="Text6">
    <w:name w:val="Text 6"/>
    <w:basedOn w:val="Normal"/>
    <w:rsid w:val="00303E12"/>
    <w:pPr>
      <w:widowControl/>
      <w:spacing w:before="120" w:after="120" w:line="360" w:lineRule="auto"/>
      <w:ind w:left="3402"/>
    </w:pPr>
    <w:rPr>
      <w:rFonts w:eastAsia="Calibri"/>
      <w:szCs w:val="22"/>
      <w:lang w:eastAsia="en-US"/>
    </w:rPr>
  </w:style>
  <w:style w:type="paragraph" w:customStyle="1" w:styleId="PointManual">
    <w:name w:val="Point Manual"/>
    <w:basedOn w:val="Normal"/>
    <w:rsid w:val="00303E12"/>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303E12"/>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303E12"/>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303E12"/>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303E12"/>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303E12"/>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303E12"/>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303E12"/>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303E12"/>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303E12"/>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303E12"/>
    <w:pPr>
      <w:widowControl/>
      <w:numPr>
        <w:ilvl w:val="1"/>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abc1">
    <w:name w:val="Point abc (1)"/>
    <w:basedOn w:val="Normal"/>
    <w:rsid w:val="00303E12"/>
    <w:pPr>
      <w:widowControl/>
      <w:numPr>
        <w:ilvl w:val="3"/>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abc2">
    <w:name w:val="Point abc (2)"/>
    <w:basedOn w:val="Normal"/>
    <w:rsid w:val="00303E12"/>
    <w:pPr>
      <w:widowControl/>
      <w:numPr>
        <w:ilvl w:val="5"/>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abc3">
    <w:name w:val="Point abc (3)"/>
    <w:basedOn w:val="Normal"/>
    <w:rsid w:val="00303E12"/>
    <w:pPr>
      <w:widowControl/>
      <w:numPr>
        <w:ilvl w:val="7"/>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abc4">
    <w:name w:val="Point abc (4)"/>
    <w:basedOn w:val="Normal"/>
    <w:rsid w:val="00303E12"/>
    <w:pPr>
      <w:widowControl/>
      <w:numPr>
        <w:ilvl w:val="8"/>
        <w:numId w:val="4"/>
      </w:numPr>
      <w:tabs>
        <w:tab w:val="clear" w:pos="2835"/>
        <w:tab w:val="num" w:pos="360"/>
      </w:tabs>
      <w:spacing w:before="120" w:after="120" w:line="360" w:lineRule="auto"/>
      <w:ind w:left="360" w:hanging="360"/>
    </w:pPr>
    <w:rPr>
      <w:rFonts w:eastAsia="Calibri"/>
      <w:szCs w:val="22"/>
      <w:lang w:eastAsia="en-US"/>
    </w:rPr>
  </w:style>
  <w:style w:type="paragraph" w:customStyle="1" w:styleId="Point123">
    <w:name w:val="Point 123"/>
    <w:basedOn w:val="Normal"/>
    <w:rsid w:val="00303E12"/>
    <w:pPr>
      <w:widowControl/>
      <w:numPr>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1231">
    <w:name w:val="Point 123 (1)"/>
    <w:basedOn w:val="Normal"/>
    <w:rsid w:val="00303E12"/>
    <w:pPr>
      <w:widowControl/>
      <w:numPr>
        <w:ilvl w:val="2"/>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1232">
    <w:name w:val="Point 123 (2)"/>
    <w:basedOn w:val="Normal"/>
    <w:rsid w:val="00303E12"/>
    <w:pPr>
      <w:widowControl/>
      <w:numPr>
        <w:ilvl w:val="4"/>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1233">
    <w:name w:val="Point 123 (3)"/>
    <w:basedOn w:val="Normal"/>
    <w:rsid w:val="00303E12"/>
    <w:pPr>
      <w:widowControl/>
      <w:numPr>
        <w:ilvl w:val="6"/>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ivx">
    <w:name w:val="Point ivx"/>
    <w:basedOn w:val="Normal"/>
    <w:rsid w:val="00303E12"/>
    <w:pPr>
      <w:widowControl/>
      <w:numPr>
        <w:numId w:val="5"/>
      </w:numPr>
      <w:tabs>
        <w:tab w:val="clear" w:pos="567"/>
        <w:tab w:val="num" w:pos="360"/>
      </w:tabs>
      <w:spacing w:before="120" w:after="120" w:line="360" w:lineRule="auto"/>
      <w:ind w:left="360" w:hanging="360"/>
    </w:pPr>
    <w:rPr>
      <w:rFonts w:eastAsia="Calibri"/>
      <w:szCs w:val="22"/>
      <w:lang w:eastAsia="en-US"/>
    </w:rPr>
  </w:style>
  <w:style w:type="paragraph" w:customStyle="1" w:styleId="Pointivx1">
    <w:name w:val="Point ivx (1)"/>
    <w:basedOn w:val="Normal"/>
    <w:rsid w:val="00303E12"/>
    <w:pPr>
      <w:widowControl/>
      <w:numPr>
        <w:ilvl w:val="1"/>
        <w:numId w:val="5"/>
      </w:numPr>
      <w:tabs>
        <w:tab w:val="clear" w:pos="1134"/>
        <w:tab w:val="num" w:pos="360"/>
      </w:tabs>
      <w:spacing w:before="120" w:after="120" w:line="360" w:lineRule="auto"/>
      <w:ind w:left="360" w:hanging="360"/>
    </w:pPr>
    <w:rPr>
      <w:rFonts w:eastAsia="Calibri"/>
      <w:szCs w:val="22"/>
      <w:lang w:eastAsia="en-US"/>
    </w:rPr>
  </w:style>
  <w:style w:type="paragraph" w:customStyle="1" w:styleId="Pointivx2">
    <w:name w:val="Point ivx (2)"/>
    <w:basedOn w:val="Normal"/>
    <w:rsid w:val="00303E12"/>
    <w:pPr>
      <w:widowControl/>
      <w:numPr>
        <w:ilvl w:val="2"/>
        <w:numId w:val="5"/>
      </w:numPr>
      <w:tabs>
        <w:tab w:val="clear" w:pos="1701"/>
        <w:tab w:val="num" w:pos="360"/>
      </w:tabs>
      <w:spacing w:before="120" w:after="120" w:line="360" w:lineRule="auto"/>
      <w:ind w:left="360" w:hanging="360"/>
    </w:pPr>
    <w:rPr>
      <w:rFonts w:eastAsia="Calibri"/>
      <w:szCs w:val="22"/>
      <w:lang w:eastAsia="en-US"/>
    </w:rPr>
  </w:style>
  <w:style w:type="paragraph" w:customStyle="1" w:styleId="Pointivx3">
    <w:name w:val="Point ivx (3)"/>
    <w:basedOn w:val="Normal"/>
    <w:rsid w:val="00303E12"/>
    <w:pPr>
      <w:widowControl/>
      <w:numPr>
        <w:ilvl w:val="3"/>
        <w:numId w:val="5"/>
      </w:numPr>
      <w:tabs>
        <w:tab w:val="clear" w:pos="2268"/>
        <w:tab w:val="num" w:pos="360"/>
      </w:tabs>
      <w:spacing w:before="120" w:after="120" w:line="360" w:lineRule="auto"/>
      <w:ind w:left="360" w:hanging="360"/>
    </w:pPr>
    <w:rPr>
      <w:rFonts w:eastAsia="Calibri"/>
      <w:szCs w:val="22"/>
      <w:lang w:eastAsia="en-US"/>
    </w:rPr>
  </w:style>
  <w:style w:type="paragraph" w:customStyle="1" w:styleId="Pointivx4">
    <w:name w:val="Point ivx (4)"/>
    <w:basedOn w:val="Normal"/>
    <w:rsid w:val="00303E12"/>
    <w:pPr>
      <w:widowControl/>
      <w:numPr>
        <w:ilvl w:val="4"/>
        <w:numId w:val="5"/>
      </w:numPr>
      <w:tabs>
        <w:tab w:val="clear" w:pos="2835"/>
        <w:tab w:val="num" w:pos="360"/>
      </w:tabs>
      <w:spacing w:before="120" w:after="120" w:line="360" w:lineRule="auto"/>
      <w:ind w:left="360" w:hanging="360"/>
    </w:pPr>
    <w:rPr>
      <w:rFonts w:eastAsia="Calibri"/>
      <w:szCs w:val="22"/>
      <w:lang w:eastAsia="en-US"/>
    </w:rPr>
  </w:style>
  <w:style w:type="paragraph" w:customStyle="1" w:styleId="Bullet">
    <w:name w:val="Bullet"/>
    <w:basedOn w:val="Normal"/>
    <w:rsid w:val="00303E12"/>
    <w:pPr>
      <w:widowControl/>
      <w:numPr>
        <w:numId w:val="6"/>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303E12"/>
    <w:pPr>
      <w:widowControl/>
      <w:numPr>
        <w:numId w:val="7"/>
      </w:numPr>
      <w:tabs>
        <w:tab w:val="clear" w:pos="1134"/>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303E12"/>
    <w:pPr>
      <w:widowControl/>
      <w:numPr>
        <w:numId w:val="8"/>
      </w:numPr>
      <w:tabs>
        <w:tab w:val="clear" w:pos="1701"/>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303E12"/>
    <w:pPr>
      <w:widowControl/>
      <w:numPr>
        <w:numId w:val="9"/>
      </w:numPr>
      <w:tabs>
        <w:tab w:val="clear" w:pos="2268"/>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303E12"/>
    <w:pPr>
      <w:widowControl/>
      <w:numPr>
        <w:numId w:val="10"/>
      </w:numPr>
      <w:tabs>
        <w:tab w:val="clear" w:pos="2835"/>
        <w:tab w:val="num" w:pos="1440"/>
      </w:tabs>
      <w:spacing w:before="120" w:after="120" w:line="360" w:lineRule="auto"/>
      <w:ind w:left="1440" w:hanging="360"/>
    </w:pPr>
    <w:rPr>
      <w:rFonts w:eastAsia="Calibri"/>
      <w:szCs w:val="22"/>
      <w:lang w:eastAsia="en-US"/>
    </w:rPr>
  </w:style>
  <w:style w:type="paragraph" w:customStyle="1" w:styleId="Dash">
    <w:name w:val="Dash"/>
    <w:basedOn w:val="Normal"/>
    <w:rsid w:val="00303E12"/>
    <w:pPr>
      <w:widowControl/>
      <w:numPr>
        <w:numId w:val="11"/>
      </w:numPr>
      <w:spacing w:before="120" w:after="120" w:line="360" w:lineRule="auto"/>
    </w:pPr>
    <w:rPr>
      <w:rFonts w:eastAsia="Calibri"/>
      <w:szCs w:val="22"/>
      <w:lang w:eastAsia="en-US"/>
    </w:rPr>
  </w:style>
  <w:style w:type="paragraph" w:customStyle="1" w:styleId="Dash1">
    <w:name w:val="Dash 1"/>
    <w:basedOn w:val="Normal"/>
    <w:rsid w:val="00303E12"/>
    <w:pPr>
      <w:widowControl/>
      <w:numPr>
        <w:numId w:val="12"/>
      </w:numPr>
      <w:spacing w:before="120" w:after="120" w:line="360" w:lineRule="auto"/>
    </w:pPr>
    <w:rPr>
      <w:rFonts w:eastAsia="Calibri"/>
      <w:szCs w:val="22"/>
      <w:lang w:eastAsia="en-US"/>
    </w:rPr>
  </w:style>
  <w:style w:type="paragraph" w:customStyle="1" w:styleId="Dash2">
    <w:name w:val="Dash 2"/>
    <w:basedOn w:val="Normal"/>
    <w:rsid w:val="00303E12"/>
    <w:pPr>
      <w:widowControl/>
      <w:numPr>
        <w:numId w:val="13"/>
      </w:numPr>
      <w:spacing w:before="120" w:after="120" w:line="360" w:lineRule="auto"/>
    </w:pPr>
    <w:rPr>
      <w:rFonts w:eastAsia="Calibri"/>
      <w:szCs w:val="22"/>
      <w:lang w:eastAsia="en-US"/>
    </w:rPr>
  </w:style>
  <w:style w:type="paragraph" w:customStyle="1" w:styleId="Dash3">
    <w:name w:val="Dash 3"/>
    <w:basedOn w:val="Normal"/>
    <w:rsid w:val="00303E12"/>
    <w:pPr>
      <w:widowControl/>
      <w:numPr>
        <w:numId w:val="14"/>
      </w:numPr>
      <w:spacing w:before="120" w:after="120" w:line="360" w:lineRule="auto"/>
    </w:pPr>
    <w:rPr>
      <w:rFonts w:eastAsia="Calibri"/>
      <w:szCs w:val="22"/>
      <w:lang w:eastAsia="en-US"/>
    </w:rPr>
  </w:style>
  <w:style w:type="paragraph" w:customStyle="1" w:styleId="Dash4">
    <w:name w:val="Dash 4"/>
    <w:basedOn w:val="Normal"/>
    <w:rsid w:val="00303E12"/>
    <w:pPr>
      <w:widowControl/>
      <w:numPr>
        <w:numId w:val="15"/>
      </w:numPr>
      <w:spacing w:before="120" w:after="120" w:line="360" w:lineRule="auto"/>
    </w:pPr>
    <w:rPr>
      <w:rFonts w:eastAsia="Calibri"/>
      <w:szCs w:val="22"/>
      <w:lang w:eastAsia="en-US"/>
    </w:rPr>
  </w:style>
  <w:style w:type="paragraph" w:customStyle="1" w:styleId="DashEqual">
    <w:name w:val="Dash Equal"/>
    <w:basedOn w:val="Dash"/>
    <w:rsid w:val="00303E12"/>
    <w:pPr>
      <w:numPr>
        <w:numId w:val="16"/>
      </w:numPr>
      <w:tabs>
        <w:tab w:val="clear" w:pos="567"/>
        <w:tab w:val="num" w:pos="720"/>
      </w:tabs>
      <w:ind w:left="720" w:hanging="360"/>
    </w:pPr>
  </w:style>
  <w:style w:type="paragraph" w:customStyle="1" w:styleId="DashEqual1">
    <w:name w:val="Dash Equal 1"/>
    <w:basedOn w:val="Dash1"/>
    <w:rsid w:val="00303E12"/>
    <w:pPr>
      <w:numPr>
        <w:numId w:val="17"/>
      </w:numPr>
      <w:tabs>
        <w:tab w:val="clear" w:pos="1134"/>
        <w:tab w:val="num" w:pos="720"/>
      </w:tabs>
      <w:ind w:left="720" w:hanging="360"/>
    </w:pPr>
  </w:style>
  <w:style w:type="paragraph" w:customStyle="1" w:styleId="DashEqual2">
    <w:name w:val="Dash Equal 2"/>
    <w:basedOn w:val="Dash2"/>
    <w:rsid w:val="00303E12"/>
    <w:pPr>
      <w:numPr>
        <w:numId w:val="18"/>
      </w:numPr>
      <w:tabs>
        <w:tab w:val="clear" w:pos="1701"/>
        <w:tab w:val="num" w:pos="1080"/>
      </w:tabs>
      <w:ind w:left="1080" w:hanging="360"/>
    </w:pPr>
  </w:style>
  <w:style w:type="paragraph" w:customStyle="1" w:styleId="DashEqual3">
    <w:name w:val="Dash Equal 3"/>
    <w:basedOn w:val="Dash3"/>
    <w:rsid w:val="00303E12"/>
    <w:pPr>
      <w:numPr>
        <w:numId w:val="19"/>
      </w:numPr>
      <w:tabs>
        <w:tab w:val="clear" w:pos="2268"/>
        <w:tab w:val="num" w:pos="1080"/>
      </w:tabs>
      <w:ind w:left="1080" w:hanging="360"/>
    </w:pPr>
  </w:style>
  <w:style w:type="paragraph" w:customStyle="1" w:styleId="DashEqual4">
    <w:name w:val="Dash Equal 4"/>
    <w:basedOn w:val="Dash4"/>
    <w:rsid w:val="00303E12"/>
    <w:pPr>
      <w:numPr>
        <w:numId w:val="20"/>
      </w:numPr>
      <w:tabs>
        <w:tab w:val="clear" w:pos="2835"/>
        <w:tab w:val="num" w:pos="1440"/>
      </w:tabs>
      <w:ind w:left="1440" w:hanging="360"/>
    </w:pPr>
  </w:style>
  <w:style w:type="character" w:customStyle="1" w:styleId="Marker1">
    <w:name w:val="Marker1"/>
    <w:basedOn w:val="DefaultParagraphFont"/>
    <w:rsid w:val="00303E12"/>
    <w:rPr>
      <w:color w:val="008000"/>
      <w:shd w:val="clear" w:color="auto" w:fill="auto"/>
    </w:rPr>
  </w:style>
  <w:style w:type="paragraph" w:customStyle="1" w:styleId="HeadingLeft">
    <w:name w:val="Heading Left"/>
    <w:basedOn w:val="Normal"/>
    <w:next w:val="Normal"/>
    <w:rsid w:val="00303E12"/>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303E12"/>
    <w:pPr>
      <w:numPr>
        <w:numId w:val="21"/>
      </w:numPr>
      <w:tabs>
        <w:tab w:val="clear" w:pos="567"/>
        <w:tab w:val="num" w:pos="1440"/>
      </w:tabs>
      <w:ind w:left="1440" w:hanging="360"/>
    </w:pPr>
  </w:style>
  <w:style w:type="paragraph" w:customStyle="1" w:styleId="Heading123">
    <w:name w:val="Heading 123"/>
    <w:basedOn w:val="HeadingLeft"/>
    <w:next w:val="Normal"/>
    <w:rsid w:val="00303E12"/>
    <w:pPr>
      <w:numPr>
        <w:numId w:val="22"/>
      </w:numPr>
      <w:tabs>
        <w:tab w:val="clear" w:pos="567"/>
        <w:tab w:val="num" w:pos="1800"/>
      </w:tabs>
      <w:ind w:left="1800" w:hanging="360"/>
    </w:pPr>
  </w:style>
  <w:style w:type="paragraph" w:customStyle="1" w:styleId="HeadingABC">
    <w:name w:val="Heading ABC"/>
    <w:basedOn w:val="HeadingLeft"/>
    <w:next w:val="Normal"/>
    <w:rsid w:val="00303E12"/>
    <w:pPr>
      <w:numPr>
        <w:numId w:val="23"/>
      </w:numPr>
      <w:tabs>
        <w:tab w:val="clear" w:pos="567"/>
        <w:tab w:val="num" w:pos="1800"/>
      </w:tabs>
      <w:ind w:left="1800" w:hanging="360"/>
    </w:pPr>
  </w:style>
  <w:style w:type="paragraph" w:customStyle="1" w:styleId="HeadingCentered">
    <w:name w:val="Heading Centered"/>
    <w:basedOn w:val="HeadingLeft"/>
    <w:next w:val="Normal"/>
    <w:rsid w:val="00303E12"/>
    <w:pPr>
      <w:jc w:val="center"/>
    </w:pPr>
  </w:style>
  <w:style w:type="paragraph" w:customStyle="1" w:styleId="Jardin">
    <w:name w:val="Jardin"/>
    <w:basedOn w:val="Normal"/>
    <w:rsid w:val="00303E12"/>
    <w:pPr>
      <w:widowControl/>
      <w:spacing w:before="200"/>
      <w:jc w:val="center"/>
    </w:pPr>
    <w:rPr>
      <w:rFonts w:eastAsia="Calibri"/>
      <w:szCs w:val="22"/>
      <w:lang w:eastAsia="en-US"/>
    </w:rPr>
  </w:style>
  <w:style w:type="paragraph" w:customStyle="1" w:styleId="Amendment">
    <w:name w:val="Amendment"/>
    <w:basedOn w:val="Normal"/>
    <w:next w:val="Normal"/>
    <w:rsid w:val="00303E12"/>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303E12"/>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303E12"/>
    <w:pPr>
      <w:widowControl/>
      <w:spacing w:before="120" w:after="480"/>
      <w:contextualSpacing/>
    </w:pPr>
    <w:rPr>
      <w:rFonts w:eastAsia="Calibri"/>
      <w:szCs w:val="22"/>
      <w:lang w:eastAsia="en-US"/>
    </w:rPr>
  </w:style>
  <w:style w:type="paragraph" w:customStyle="1" w:styleId="ReplyBold">
    <w:name w:val="Reply Bold"/>
    <w:basedOn w:val="ReplyRE"/>
    <w:next w:val="Normal"/>
    <w:rsid w:val="00303E12"/>
    <w:rPr>
      <w:b/>
    </w:rPr>
  </w:style>
  <w:style w:type="paragraph" w:customStyle="1" w:styleId="Annex">
    <w:name w:val="Annex"/>
    <w:basedOn w:val="Normal"/>
    <w:next w:val="Normal"/>
    <w:rsid w:val="00303E12"/>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303E12"/>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303E12"/>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303E12"/>
    <w:rPr>
      <w:rFonts w:ascii="Times New Roman" w:hAnsi="Times New Roman" w:cs="Times New Roman"/>
      <w:b/>
      <w:sz w:val="24"/>
      <w:shd w:val="clear" w:color="auto" w:fill="CCCCCC"/>
    </w:rPr>
  </w:style>
  <w:style w:type="paragraph" w:customStyle="1" w:styleId="NormalCompact">
    <w:name w:val="Normal Compact"/>
    <w:basedOn w:val="Normal"/>
    <w:next w:val="Normal"/>
    <w:rsid w:val="00303E12"/>
    <w:pPr>
      <w:widowControl/>
      <w:spacing w:before="120" w:after="120"/>
    </w:pPr>
    <w:rPr>
      <w:rFonts w:eastAsia="Calibri"/>
      <w:szCs w:val="22"/>
      <w:lang w:eastAsia="en-US"/>
    </w:rPr>
  </w:style>
  <w:style w:type="paragraph" w:styleId="EndnoteText">
    <w:name w:val="endnote text"/>
    <w:basedOn w:val="Normal"/>
    <w:link w:val="EndnoteTextChar"/>
    <w:unhideWhenUsed/>
    <w:rsid w:val="00303E12"/>
    <w:pPr>
      <w:widowControl/>
    </w:pPr>
    <w:rPr>
      <w:rFonts w:eastAsia="Calibri"/>
      <w:sz w:val="20"/>
      <w:lang w:eastAsia="en-US"/>
    </w:rPr>
  </w:style>
  <w:style w:type="character" w:customStyle="1" w:styleId="EndnoteTextChar">
    <w:name w:val="Endnote Text Char"/>
    <w:basedOn w:val="DefaultParagraphFont"/>
    <w:link w:val="EndnoteText"/>
    <w:uiPriority w:val="99"/>
    <w:rsid w:val="00303E12"/>
    <w:rPr>
      <w:rFonts w:eastAsia="Calibri"/>
      <w:lang w:val="el-GR" w:eastAsia="en-US"/>
    </w:rPr>
  </w:style>
  <w:style w:type="character" w:styleId="EndnoteReference">
    <w:name w:val="endnote reference"/>
    <w:basedOn w:val="DefaultParagraphFont"/>
    <w:uiPriority w:val="99"/>
    <w:unhideWhenUsed/>
    <w:rsid w:val="00303E12"/>
    <w:rPr>
      <w:vertAlign w:val="superscript"/>
    </w:rPr>
  </w:style>
  <w:style w:type="character" w:styleId="PlaceholderText">
    <w:name w:val="Placeholder Text"/>
    <w:basedOn w:val="DefaultParagraphFont"/>
    <w:uiPriority w:val="99"/>
    <w:semiHidden/>
    <w:rsid w:val="00303E12"/>
    <w:rPr>
      <w:color w:val="808080"/>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w:basedOn w:val="Normal"/>
    <w:link w:val="FootnoteReference"/>
    <w:uiPriority w:val="99"/>
    <w:rsid w:val="00303E12"/>
    <w:pPr>
      <w:widowControl/>
      <w:spacing w:after="160" w:line="240" w:lineRule="exact"/>
    </w:pPr>
    <w:rPr>
      <w:sz w:val="20"/>
      <w:vertAlign w:val="superscript"/>
      <w:lang w:val="en-GB"/>
    </w:rPr>
  </w:style>
  <w:style w:type="paragraph" w:customStyle="1" w:styleId="Par-dash">
    <w:name w:val="Par-dash"/>
    <w:basedOn w:val="Normal"/>
    <w:next w:val="Normal"/>
    <w:rsid w:val="00303E12"/>
    <w:pPr>
      <w:spacing w:line="360" w:lineRule="auto"/>
    </w:pPr>
    <w:rPr>
      <w:lang w:eastAsia="fr-BE"/>
    </w:rPr>
  </w:style>
  <w:style w:type="character" w:customStyle="1" w:styleId="ListParagraphChar">
    <w:name w:val="List Paragraph Char"/>
    <w:aliases w:val="Bullet Points Char,Dot pt Char,F5 List Paragraph Char,Heading 2_sj Char,Indicator Text Char,LISTA Char,List Paragraph Char Char Char Char,List Paragraph1 Char,List Paragraph12 Char,List of measures Char,MAIN CONTENT Char"/>
    <w:basedOn w:val="DefaultParagraphFont"/>
    <w:link w:val="OBCBullet1"/>
    <w:uiPriority w:val="34"/>
    <w:qFormat/>
    <w:locked/>
    <w:rsid w:val="00303E12"/>
    <w:rPr>
      <w:rFonts w:ascii="Calibri" w:eastAsia="Calibri" w:hAnsi="Calibri" w:cs="Arial"/>
      <w:kern w:val="2"/>
      <w:sz w:val="22"/>
      <w:szCs w:val="22"/>
      <w:lang w:val="el-GR" w:eastAsia="en-US"/>
    </w:rPr>
  </w:style>
  <w:style w:type="paragraph" w:styleId="NormalWeb">
    <w:name w:val="Normal (Web)"/>
    <w:basedOn w:val="Normal"/>
    <w:unhideWhenUsed/>
    <w:rsid w:val="00303E12"/>
    <w:pPr>
      <w:widowControl/>
      <w:spacing w:before="120" w:after="120" w:line="360" w:lineRule="auto"/>
    </w:pPr>
    <w:rPr>
      <w:rFonts w:eastAsia="Calibri"/>
      <w:szCs w:val="24"/>
      <w:lang w:eastAsia="en-US"/>
    </w:rPr>
  </w:style>
  <w:style w:type="character" w:styleId="CommentReference">
    <w:name w:val="annotation reference"/>
    <w:basedOn w:val="DefaultParagraphFont"/>
    <w:uiPriority w:val="99"/>
    <w:unhideWhenUsed/>
    <w:rsid w:val="00303E12"/>
    <w:rPr>
      <w:sz w:val="16"/>
      <w:szCs w:val="16"/>
    </w:rPr>
  </w:style>
  <w:style w:type="paragraph" w:styleId="CommentText">
    <w:name w:val="annotation text"/>
    <w:basedOn w:val="Normal"/>
    <w:link w:val="CommentTextChar"/>
    <w:unhideWhenUsed/>
    <w:rsid w:val="00303E12"/>
    <w:pPr>
      <w:widowControl/>
      <w:spacing w:before="120" w:after="120"/>
    </w:pPr>
    <w:rPr>
      <w:rFonts w:eastAsia="Calibri"/>
      <w:sz w:val="20"/>
      <w:lang w:eastAsia="en-US"/>
    </w:rPr>
  </w:style>
  <w:style w:type="character" w:customStyle="1" w:styleId="CommentTextChar">
    <w:name w:val="Comment Text Char"/>
    <w:basedOn w:val="DefaultParagraphFont"/>
    <w:link w:val="CommentText"/>
    <w:uiPriority w:val="99"/>
    <w:rsid w:val="00303E12"/>
    <w:rPr>
      <w:rFonts w:eastAsia="Calibri"/>
      <w:lang w:val="el-GR" w:eastAsia="en-US"/>
    </w:rPr>
  </w:style>
  <w:style w:type="paragraph" w:styleId="CommentSubject">
    <w:name w:val="annotation subject"/>
    <w:basedOn w:val="CommentText"/>
    <w:next w:val="CommentText"/>
    <w:link w:val="CommentSubjectChar"/>
    <w:uiPriority w:val="99"/>
    <w:unhideWhenUsed/>
    <w:rsid w:val="00303E12"/>
    <w:rPr>
      <w:b/>
      <w:bCs/>
    </w:rPr>
  </w:style>
  <w:style w:type="character" w:customStyle="1" w:styleId="CommentSubjectChar">
    <w:name w:val="Comment Subject Char"/>
    <w:basedOn w:val="CommentTextChar"/>
    <w:link w:val="CommentSubject"/>
    <w:uiPriority w:val="99"/>
    <w:rsid w:val="00303E12"/>
    <w:rPr>
      <w:rFonts w:eastAsia="Calibri"/>
      <w:b/>
      <w:bCs/>
      <w:lang w:val="el-GR" w:eastAsia="en-US"/>
    </w:rPr>
  </w:style>
  <w:style w:type="paragraph" w:styleId="TOC4">
    <w:name w:val="toc 4"/>
    <w:basedOn w:val="Normal"/>
    <w:next w:val="Normal"/>
    <w:uiPriority w:val="39"/>
    <w:unhideWhenUsed/>
    <w:rsid w:val="00303E12"/>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303E12"/>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303E12"/>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303E12"/>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303E12"/>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303E12"/>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303E12"/>
    <w:pPr>
      <w:widowControl/>
      <w:spacing w:before="120" w:after="120" w:line="360" w:lineRule="auto"/>
      <w:ind w:left="4252"/>
    </w:pPr>
    <w:rPr>
      <w:rFonts w:eastAsia="Calibri"/>
      <w:szCs w:val="22"/>
      <w:lang w:eastAsia="en-US"/>
    </w:rPr>
  </w:style>
  <w:style w:type="paragraph" w:customStyle="1" w:styleId="Text8">
    <w:name w:val="Text 8"/>
    <w:basedOn w:val="Normal"/>
    <w:rsid w:val="00303E12"/>
    <w:pPr>
      <w:widowControl/>
      <w:spacing w:before="120" w:after="120" w:line="360" w:lineRule="auto"/>
      <w:ind w:left="4819"/>
    </w:pPr>
    <w:rPr>
      <w:rFonts w:eastAsia="Calibri"/>
      <w:szCs w:val="22"/>
      <w:lang w:eastAsia="en-US"/>
    </w:rPr>
  </w:style>
  <w:style w:type="paragraph" w:customStyle="1" w:styleId="Text9">
    <w:name w:val="Text 9"/>
    <w:basedOn w:val="Normal"/>
    <w:rsid w:val="00303E12"/>
    <w:pPr>
      <w:widowControl/>
      <w:spacing w:before="120" w:after="120" w:line="360" w:lineRule="auto"/>
      <w:ind w:left="5386"/>
    </w:pPr>
    <w:rPr>
      <w:rFonts w:eastAsia="Calibri"/>
      <w:szCs w:val="22"/>
      <w:lang w:eastAsia="en-US"/>
    </w:rPr>
  </w:style>
  <w:style w:type="paragraph" w:customStyle="1" w:styleId="Text10">
    <w:name w:val="Text 10"/>
    <w:basedOn w:val="Normal"/>
    <w:rsid w:val="00303E12"/>
    <w:pPr>
      <w:widowControl/>
      <w:spacing w:before="120" w:after="120" w:line="360" w:lineRule="auto"/>
      <w:ind w:left="5953"/>
    </w:pPr>
    <w:rPr>
      <w:rFonts w:eastAsia="Calibri"/>
      <w:szCs w:val="22"/>
      <w:lang w:eastAsia="en-US"/>
    </w:rPr>
  </w:style>
  <w:style w:type="paragraph" w:customStyle="1" w:styleId="NormalLeft">
    <w:name w:val="Normal Left"/>
    <w:basedOn w:val="Normal"/>
    <w:rsid w:val="00303E12"/>
    <w:pPr>
      <w:widowControl/>
      <w:spacing w:before="120" w:after="120" w:line="360" w:lineRule="auto"/>
    </w:pPr>
    <w:rPr>
      <w:rFonts w:eastAsia="Calibri"/>
      <w:szCs w:val="22"/>
      <w:lang w:eastAsia="en-US"/>
    </w:rPr>
  </w:style>
  <w:style w:type="paragraph" w:customStyle="1" w:styleId="QuotedText">
    <w:name w:val="Quoted Text"/>
    <w:basedOn w:val="Normal"/>
    <w:rsid w:val="00303E12"/>
    <w:pPr>
      <w:widowControl/>
      <w:spacing w:before="120" w:after="120" w:line="360" w:lineRule="auto"/>
      <w:ind w:left="1417"/>
    </w:pPr>
    <w:rPr>
      <w:rFonts w:eastAsia="Calibri"/>
      <w:szCs w:val="22"/>
      <w:lang w:eastAsia="en-US"/>
    </w:rPr>
  </w:style>
  <w:style w:type="paragraph" w:customStyle="1" w:styleId="Point0">
    <w:name w:val="Point 0"/>
    <w:basedOn w:val="Normal"/>
    <w:rsid w:val="00303E12"/>
    <w:pPr>
      <w:widowControl/>
      <w:spacing w:before="120" w:after="120" w:line="360" w:lineRule="auto"/>
      <w:ind w:left="850" w:hanging="850"/>
    </w:pPr>
    <w:rPr>
      <w:rFonts w:eastAsia="Calibri"/>
      <w:szCs w:val="22"/>
      <w:lang w:eastAsia="en-US"/>
    </w:rPr>
  </w:style>
  <w:style w:type="paragraph" w:customStyle="1" w:styleId="Point2">
    <w:name w:val="Point 2"/>
    <w:basedOn w:val="Normal"/>
    <w:rsid w:val="00303E12"/>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303E12"/>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303E12"/>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303E12"/>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303E12"/>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303E12"/>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303E12"/>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303E12"/>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303E12"/>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303E12"/>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303E12"/>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303E12"/>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303E12"/>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303E12"/>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303E12"/>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303E12"/>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303E12"/>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303E12"/>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303E12"/>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303E12"/>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303E12"/>
    <w:pPr>
      <w:widowControl/>
      <w:numPr>
        <w:numId w:val="24"/>
      </w:numPr>
      <w:tabs>
        <w:tab w:val="clear" w:pos="850"/>
        <w:tab w:val="num" w:pos="567"/>
      </w:tabs>
      <w:spacing w:before="120" w:after="120" w:line="360" w:lineRule="auto"/>
      <w:ind w:left="567" w:hanging="567"/>
    </w:pPr>
    <w:rPr>
      <w:rFonts w:eastAsia="Calibri"/>
      <w:szCs w:val="22"/>
      <w:lang w:eastAsia="en-US"/>
    </w:rPr>
  </w:style>
  <w:style w:type="paragraph" w:customStyle="1" w:styleId="Tiret1">
    <w:name w:val="Tiret 1"/>
    <w:basedOn w:val="Normal"/>
    <w:rsid w:val="00303E12"/>
    <w:pPr>
      <w:widowControl/>
      <w:numPr>
        <w:numId w:val="25"/>
      </w:numPr>
      <w:tabs>
        <w:tab w:val="clear" w:pos="1417"/>
        <w:tab w:val="num" w:pos="567"/>
      </w:tabs>
      <w:spacing w:before="120" w:after="120" w:line="360" w:lineRule="auto"/>
      <w:ind w:left="567"/>
    </w:pPr>
    <w:rPr>
      <w:rFonts w:eastAsia="Calibri"/>
      <w:szCs w:val="22"/>
      <w:lang w:eastAsia="en-US"/>
    </w:rPr>
  </w:style>
  <w:style w:type="paragraph" w:customStyle="1" w:styleId="Tiret2">
    <w:name w:val="Tiret 2"/>
    <w:basedOn w:val="Normal"/>
    <w:rsid w:val="00303E12"/>
    <w:pPr>
      <w:widowControl/>
      <w:numPr>
        <w:numId w:val="26"/>
      </w:numPr>
      <w:tabs>
        <w:tab w:val="clear" w:pos="1984"/>
        <w:tab w:val="num" w:pos="567"/>
      </w:tabs>
      <w:spacing w:before="120" w:after="120" w:line="360" w:lineRule="auto"/>
      <w:ind w:left="567"/>
    </w:pPr>
    <w:rPr>
      <w:rFonts w:eastAsia="Calibri"/>
      <w:szCs w:val="22"/>
      <w:lang w:eastAsia="en-US"/>
    </w:rPr>
  </w:style>
  <w:style w:type="paragraph" w:customStyle="1" w:styleId="Tiret3">
    <w:name w:val="Tiret 3"/>
    <w:basedOn w:val="Normal"/>
    <w:rsid w:val="00303E12"/>
    <w:pPr>
      <w:widowControl/>
      <w:numPr>
        <w:numId w:val="27"/>
      </w:numPr>
      <w:tabs>
        <w:tab w:val="clear" w:pos="2551"/>
        <w:tab w:val="num" w:pos="1134"/>
      </w:tabs>
      <w:spacing w:before="120" w:after="120" w:line="360" w:lineRule="auto"/>
      <w:ind w:left="1134"/>
    </w:pPr>
    <w:rPr>
      <w:rFonts w:eastAsia="Calibri"/>
      <w:szCs w:val="22"/>
      <w:lang w:eastAsia="en-US"/>
    </w:rPr>
  </w:style>
  <w:style w:type="paragraph" w:customStyle="1" w:styleId="Tiret4">
    <w:name w:val="Tiret 4"/>
    <w:basedOn w:val="Normal"/>
    <w:rsid w:val="00303E12"/>
    <w:pPr>
      <w:widowControl/>
      <w:numPr>
        <w:numId w:val="28"/>
      </w:numPr>
      <w:tabs>
        <w:tab w:val="clear" w:pos="3118"/>
        <w:tab w:val="num" w:pos="1701"/>
      </w:tabs>
      <w:spacing w:before="120" w:after="120" w:line="360" w:lineRule="auto"/>
      <w:ind w:left="1701"/>
    </w:pPr>
    <w:rPr>
      <w:rFonts w:eastAsia="Calibri"/>
      <w:szCs w:val="22"/>
      <w:lang w:eastAsia="en-US"/>
    </w:rPr>
  </w:style>
  <w:style w:type="paragraph" w:customStyle="1" w:styleId="Tiret5">
    <w:name w:val="Tiret 5"/>
    <w:basedOn w:val="Normal"/>
    <w:rsid w:val="00303E12"/>
    <w:pPr>
      <w:widowControl/>
      <w:numPr>
        <w:numId w:val="29"/>
      </w:numPr>
      <w:tabs>
        <w:tab w:val="clear" w:pos="3685"/>
        <w:tab w:val="num" w:pos="2268"/>
      </w:tabs>
      <w:spacing w:before="120" w:after="120" w:line="360" w:lineRule="auto"/>
      <w:ind w:left="2268"/>
    </w:pPr>
    <w:rPr>
      <w:rFonts w:eastAsia="Calibri"/>
      <w:szCs w:val="22"/>
      <w:lang w:eastAsia="en-US"/>
    </w:rPr>
  </w:style>
  <w:style w:type="paragraph" w:customStyle="1" w:styleId="Tiret6">
    <w:name w:val="Tiret 6"/>
    <w:basedOn w:val="Normal"/>
    <w:rsid w:val="00303E12"/>
    <w:pPr>
      <w:widowControl/>
      <w:numPr>
        <w:numId w:val="30"/>
      </w:numPr>
      <w:tabs>
        <w:tab w:val="clear" w:pos="4252"/>
        <w:tab w:val="num" w:pos="2835"/>
      </w:tabs>
      <w:spacing w:before="120" w:after="120" w:line="360" w:lineRule="auto"/>
      <w:ind w:left="2835"/>
    </w:pPr>
    <w:rPr>
      <w:rFonts w:eastAsia="Calibri"/>
      <w:szCs w:val="22"/>
      <w:lang w:eastAsia="en-US"/>
    </w:rPr>
  </w:style>
  <w:style w:type="paragraph" w:customStyle="1" w:styleId="Tiret7">
    <w:name w:val="Tiret 7"/>
    <w:basedOn w:val="Normal"/>
    <w:rsid w:val="00303E12"/>
    <w:pPr>
      <w:widowControl/>
      <w:numPr>
        <w:numId w:val="31"/>
      </w:numPr>
      <w:tabs>
        <w:tab w:val="clear" w:pos="4819"/>
        <w:tab w:val="num" w:pos="567"/>
      </w:tabs>
      <w:spacing w:before="120" w:after="120" w:line="360" w:lineRule="auto"/>
      <w:ind w:left="567"/>
    </w:pPr>
    <w:rPr>
      <w:rFonts w:eastAsia="Calibri"/>
      <w:szCs w:val="22"/>
      <w:lang w:eastAsia="en-US"/>
    </w:rPr>
  </w:style>
  <w:style w:type="paragraph" w:customStyle="1" w:styleId="Tiret8">
    <w:name w:val="Tiret 8"/>
    <w:basedOn w:val="Normal"/>
    <w:rsid w:val="00303E12"/>
    <w:pPr>
      <w:widowControl/>
      <w:numPr>
        <w:numId w:val="32"/>
      </w:numPr>
      <w:tabs>
        <w:tab w:val="clear" w:pos="5386"/>
        <w:tab w:val="num" w:pos="1134"/>
      </w:tabs>
      <w:spacing w:before="120" w:after="120" w:line="360" w:lineRule="auto"/>
      <w:ind w:left="1134"/>
    </w:pPr>
    <w:rPr>
      <w:rFonts w:eastAsia="Calibri"/>
      <w:szCs w:val="22"/>
      <w:lang w:eastAsia="en-US"/>
    </w:rPr>
  </w:style>
  <w:style w:type="paragraph" w:customStyle="1" w:styleId="NumPar1">
    <w:name w:val="NumPar 1"/>
    <w:basedOn w:val="Normal"/>
    <w:next w:val="Text1"/>
    <w:rsid w:val="00303E12"/>
    <w:pPr>
      <w:widowControl/>
      <w:numPr>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303E12"/>
    <w:pPr>
      <w:widowControl/>
      <w:numPr>
        <w:ilvl w:val="1"/>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303E12"/>
    <w:pPr>
      <w:widowControl/>
      <w:numPr>
        <w:ilvl w:val="2"/>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303E12"/>
    <w:pPr>
      <w:widowControl/>
      <w:numPr>
        <w:ilvl w:val="3"/>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303E12"/>
    <w:pPr>
      <w:widowControl/>
      <w:numPr>
        <w:ilvl w:val="4"/>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303E12"/>
    <w:pPr>
      <w:widowControl/>
      <w:numPr>
        <w:ilvl w:val="5"/>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303E12"/>
    <w:pPr>
      <w:widowControl/>
      <w:numPr>
        <w:ilvl w:val="6"/>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303E12"/>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303E12"/>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303E12"/>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303E12"/>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303E12"/>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303E12"/>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303E12"/>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303E12"/>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303E12"/>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303E12"/>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303E12"/>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303E12"/>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303E12"/>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303E12"/>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303E12"/>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303E12"/>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303E12"/>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303E12"/>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303E12"/>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303E12"/>
    <w:pPr>
      <w:widowControl/>
      <w:numPr>
        <w:numId w:val="34"/>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303E12"/>
    <w:pPr>
      <w:widowControl/>
      <w:numPr>
        <w:ilvl w:val="2"/>
        <w:numId w:val="34"/>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303E12"/>
    <w:pPr>
      <w:widowControl/>
      <w:numPr>
        <w:ilvl w:val="4"/>
        <w:numId w:val="34"/>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303E12"/>
    <w:pPr>
      <w:widowControl/>
      <w:numPr>
        <w:ilvl w:val="6"/>
        <w:numId w:val="34"/>
      </w:numPr>
      <w:tabs>
        <w:tab w:val="clear" w:pos="2551"/>
        <w:tab w:val="num" w:pos="2268"/>
      </w:tabs>
      <w:spacing w:before="120" w:after="120" w:line="360" w:lineRule="auto"/>
      <w:ind w:left="2268"/>
    </w:pPr>
    <w:rPr>
      <w:rFonts w:eastAsia="Calibri"/>
      <w:szCs w:val="22"/>
      <w:lang w:eastAsia="en-US"/>
    </w:rPr>
  </w:style>
  <w:style w:type="paragraph" w:customStyle="1" w:styleId="Point0letter">
    <w:name w:val="Point 0 (letter)"/>
    <w:basedOn w:val="Normal"/>
    <w:rsid w:val="00303E12"/>
    <w:pPr>
      <w:widowControl/>
      <w:numPr>
        <w:ilvl w:val="1"/>
        <w:numId w:val="34"/>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303E12"/>
    <w:pPr>
      <w:widowControl/>
      <w:numPr>
        <w:ilvl w:val="3"/>
        <w:numId w:val="34"/>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303E12"/>
    <w:pPr>
      <w:widowControl/>
      <w:numPr>
        <w:ilvl w:val="5"/>
        <w:numId w:val="34"/>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303E12"/>
    <w:pPr>
      <w:widowControl/>
      <w:numPr>
        <w:ilvl w:val="7"/>
        <w:numId w:val="34"/>
      </w:numPr>
      <w:tabs>
        <w:tab w:val="clear" w:pos="2551"/>
        <w:tab w:val="num" w:pos="2268"/>
      </w:tabs>
      <w:spacing w:before="120" w:after="120" w:line="360" w:lineRule="auto"/>
      <w:ind w:left="2268"/>
    </w:pPr>
    <w:rPr>
      <w:rFonts w:eastAsia="Calibri"/>
      <w:szCs w:val="22"/>
      <w:lang w:eastAsia="en-US"/>
    </w:rPr>
  </w:style>
  <w:style w:type="paragraph" w:customStyle="1" w:styleId="Point4letter">
    <w:name w:val="Point 4 (letter)"/>
    <w:basedOn w:val="Normal"/>
    <w:rsid w:val="00303E12"/>
    <w:pPr>
      <w:widowControl/>
      <w:numPr>
        <w:ilvl w:val="8"/>
        <w:numId w:val="34"/>
      </w:numPr>
      <w:tabs>
        <w:tab w:val="clear" w:pos="3118"/>
        <w:tab w:val="num" w:pos="2268"/>
      </w:tabs>
      <w:spacing w:before="120" w:after="120" w:line="360" w:lineRule="auto"/>
      <w:ind w:left="2268"/>
    </w:pPr>
    <w:rPr>
      <w:rFonts w:eastAsia="Calibri"/>
      <w:szCs w:val="22"/>
      <w:lang w:eastAsia="en-US"/>
    </w:rPr>
  </w:style>
  <w:style w:type="paragraph" w:customStyle="1" w:styleId="Bullet0">
    <w:name w:val="Bullet 0"/>
    <w:basedOn w:val="Normal"/>
    <w:rsid w:val="00303E12"/>
    <w:pPr>
      <w:widowControl/>
      <w:numPr>
        <w:numId w:val="35"/>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303E12"/>
    <w:pPr>
      <w:widowControl/>
      <w:numPr>
        <w:numId w:val="36"/>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303E12"/>
    <w:pPr>
      <w:widowControl/>
      <w:numPr>
        <w:numId w:val="37"/>
      </w:numPr>
      <w:tabs>
        <w:tab w:val="clear" w:pos="4252"/>
        <w:tab w:val="num" w:pos="1134"/>
      </w:tabs>
      <w:spacing w:before="120" w:after="120" w:line="360" w:lineRule="auto"/>
      <w:ind w:left="1134"/>
    </w:pPr>
    <w:rPr>
      <w:rFonts w:eastAsia="Calibri"/>
      <w:szCs w:val="22"/>
      <w:lang w:eastAsia="en-US"/>
    </w:rPr>
  </w:style>
  <w:style w:type="paragraph" w:customStyle="1" w:styleId="Bullet7">
    <w:name w:val="Bullet 7"/>
    <w:basedOn w:val="Normal"/>
    <w:rsid w:val="00303E12"/>
    <w:pPr>
      <w:widowControl/>
      <w:numPr>
        <w:numId w:val="38"/>
      </w:numPr>
      <w:tabs>
        <w:tab w:val="clear" w:pos="4819"/>
        <w:tab w:val="num" w:pos="1701"/>
      </w:tabs>
      <w:spacing w:before="120" w:after="120" w:line="360" w:lineRule="auto"/>
      <w:ind w:left="1701"/>
    </w:pPr>
    <w:rPr>
      <w:rFonts w:eastAsia="Calibri"/>
      <w:szCs w:val="22"/>
      <w:lang w:eastAsia="en-US"/>
    </w:rPr>
  </w:style>
  <w:style w:type="paragraph" w:customStyle="1" w:styleId="Bullet8">
    <w:name w:val="Bullet 8"/>
    <w:basedOn w:val="Normal"/>
    <w:rsid w:val="00303E12"/>
    <w:pPr>
      <w:widowControl/>
      <w:numPr>
        <w:numId w:val="39"/>
      </w:numPr>
      <w:tabs>
        <w:tab w:val="clear" w:pos="5386"/>
        <w:tab w:val="num" w:pos="2268"/>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303E12"/>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303E12"/>
    <w:pPr>
      <w:widowControl/>
      <w:spacing w:before="120" w:after="120" w:line="360" w:lineRule="auto"/>
      <w:jc w:val="center"/>
    </w:pPr>
    <w:rPr>
      <w:rFonts w:eastAsia="Calibri"/>
      <w:b/>
      <w:szCs w:val="22"/>
      <w:u w:val="single"/>
      <w:lang w:eastAsia="en-US"/>
    </w:rPr>
  </w:style>
  <w:style w:type="paragraph" w:customStyle="1" w:styleId="Datedadoption">
    <w:name w:val="Date d'adoption"/>
    <w:basedOn w:val="Normal"/>
    <w:next w:val="Titreobjet"/>
    <w:rsid w:val="00303E12"/>
    <w:pPr>
      <w:widowControl/>
      <w:spacing w:before="360" w:line="360" w:lineRule="auto"/>
      <w:jc w:val="center"/>
    </w:pPr>
    <w:rPr>
      <w:rFonts w:eastAsia="Calibri"/>
      <w:b/>
      <w:szCs w:val="22"/>
      <w:lang w:eastAsia="en-US"/>
    </w:rPr>
  </w:style>
  <w:style w:type="paragraph" w:customStyle="1" w:styleId="ManualConsidrant">
    <w:name w:val="Manual Considérant"/>
    <w:basedOn w:val="Normal"/>
    <w:rsid w:val="00303E12"/>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303E12"/>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303E12"/>
    <w:pPr>
      <w:widowControl/>
      <w:spacing w:line="360" w:lineRule="auto"/>
      <w:jc w:val="center"/>
    </w:pPr>
    <w:rPr>
      <w:rFonts w:eastAsia="Calibri"/>
      <w:b/>
      <w:szCs w:val="22"/>
      <w:lang w:eastAsia="en-US"/>
    </w:rPr>
  </w:style>
  <w:style w:type="paragraph" w:customStyle="1" w:styleId="Lignefinal">
    <w:name w:val="Ligne final"/>
    <w:basedOn w:val="Normal"/>
    <w:next w:val="Normal"/>
    <w:rsid w:val="00303E1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303E1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303E12"/>
    <w:pPr>
      <w:widowControl/>
      <w:spacing w:line="360" w:lineRule="auto"/>
      <w:ind w:left="5103"/>
    </w:pPr>
    <w:rPr>
      <w:rFonts w:eastAsia="Calibri"/>
      <w:szCs w:val="22"/>
      <w:lang w:eastAsia="en-US"/>
    </w:rPr>
  </w:style>
  <w:style w:type="paragraph" w:customStyle="1" w:styleId="EntLogo">
    <w:name w:val="EntLogo"/>
    <w:basedOn w:val="Normal"/>
    <w:rsid w:val="00303E12"/>
    <w:pPr>
      <w:widowControl/>
      <w:tabs>
        <w:tab w:val="right" w:pos="9639"/>
      </w:tabs>
      <w:spacing w:line="360" w:lineRule="auto"/>
    </w:pPr>
    <w:rPr>
      <w:rFonts w:eastAsia="Calibri"/>
      <w:b/>
      <w:szCs w:val="22"/>
      <w:lang w:eastAsia="en-US"/>
    </w:rPr>
  </w:style>
  <w:style w:type="paragraph" w:customStyle="1" w:styleId="EntInstit">
    <w:name w:val="EntInstit"/>
    <w:basedOn w:val="Normal"/>
    <w:rsid w:val="00303E12"/>
    <w:pPr>
      <w:widowControl/>
      <w:jc w:val="right"/>
    </w:pPr>
    <w:rPr>
      <w:rFonts w:eastAsia="Calibri"/>
      <w:b/>
      <w:szCs w:val="22"/>
      <w:lang w:eastAsia="en-US"/>
    </w:rPr>
  </w:style>
  <w:style w:type="paragraph" w:customStyle="1" w:styleId="EntRefer">
    <w:name w:val="EntRefer"/>
    <w:basedOn w:val="Normal"/>
    <w:rsid w:val="00303E12"/>
    <w:pPr>
      <w:widowControl/>
    </w:pPr>
    <w:rPr>
      <w:rFonts w:eastAsia="Calibri"/>
      <w:b/>
      <w:szCs w:val="22"/>
      <w:lang w:eastAsia="en-US"/>
    </w:rPr>
  </w:style>
  <w:style w:type="paragraph" w:customStyle="1" w:styleId="EntEmet">
    <w:name w:val="EntEmet"/>
    <w:basedOn w:val="Normal"/>
    <w:rsid w:val="00303E12"/>
    <w:pPr>
      <w:widowControl/>
      <w:spacing w:before="40"/>
    </w:pPr>
    <w:rPr>
      <w:rFonts w:eastAsia="Calibri"/>
      <w:szCs w:val="22"/>
      <w:lang w:eastAsia="en-US"/>
    </w:rPr>
  </w:style>
  <w:style w:type="paragraph" w:customStyle="1" w:styleId="EntText">
    <w:name w:val="EntText"/>
    <w:basedOn w:val="Normal"/>
    <w:rsid w:val="00303E12"/>
    <w:pPr>
      <w:widowControl/>
      <w:spacing w:before="120" w:after="120" w:line="360" w:lineRule="auto"/>
    </w:pPr>
    <w:rPr>
      <w:rFonts w:eastAsia="Calibri"/>
      <w:szCs w:val="22"/>
      <w:lang w:eastAsia="en-US"/>
    </w:rPr>
  </w:style>
  <w:style w:type="paragraph" w:customStyle="1" w:styleId="EntEU">
    <w:name w:val="EntEU"/>
    <w:basedOn w:val="Normal"/>
    <w:rsid w:val="00303E12"/>
    <w:pPr>
      <w:widowControl/>
      <w:spacing w:before="240" w:after="240"/>
      <w:jc w:val="center"/>
    </w:pPr>
    <w:rPr>
      <w:rFonts w:eastAsia="Calibri"/>
      <w:b/>
      <w:sz w:val="36"/>
      <w:szCs w:val="22"/>
      <w:lang w:eastAsia="en-US"/>
    </w:rPr>
  </w:style>
  <w:style w:type="paragraph" w:customStyle="1" w:styleId="EntASSOC">
    <w:name w:val="EntASSOC"/>
    <w:basedOn w:val="Normal"/>
    <w:rsid w:val="00303E12"/>
    <w:pPr>
      <w:widowControl/>
      <w:jc w:val="center"/>
    </w:pPr>
    <w:rPr>
      <w:rFonts w:eastAsia="Calibri"/>
      <w:b/>
      <w:szCs w:val="22"/>
      <w:lang w:eastAsia="en-US"/>
    </w:rPr>
  </w:style>
  <w:style w:type="paragraph" w:customStyle="1" w:styleId="EntACP">
    <w:name w:val="EntACP"/>
    <w:basedOn w:val="Normal"/>
    <w:rsid w:val="00303E12"/>
    <w:pPr>
      <w:widowControl/>
      <w:spacing w:after="180"/>
      <w:jc w:val="center"/>
    </w:pPr>
    <w:rPr>
      <w:rFonts w:eastAsia="Calibri"/>
      <w:b/>
      <w:spacing w:val="40"/>
      <w:sz w:val="28"/>
      <w:szCs w:val="22"/>
      <w:lang w:eastAsia="en-US"/>
    </w:rPr>
  </w:style>
  <w:style w:type="paragraph" w:customStyle="1" w:styleId="EntInstitACP">
    <w:name w:val="EntInstitACP"/>
    <w:basedOn w:val="Normal"/>
    <w:rsid w:val="00303E12"/>
    <w:pPr>
      <w:widowControl/>
      <w:jc w:val="center"/>
    </w:pPr>
    <w:rPr>
      <w:rFonts w:eastAsia="Calibri"/>
      <w:b/>
      <w:szCs w:val="22"/>
      <w:lang w:eastAsia="en-US"/>
    </w:rPr>
  </w:style>
  <w:style w:type="paragraph" w:customStyle="1" w:styleId="Genredudocument">
    <w:name w:val="Genre du document"/>
    <w:basedOn w:val="EntRefer"/>
    <w:next w:val="EntRefer"/>
    <w:rsid w:val="00303E12"/>
    <w:pPr>
      <w:spacing w:before="240"/>
    </w:pPr>
  </w:style>
  <w:style w:type="paragraph" w:customStyle="1" w:styleId="Accordtitre">
    <w:name w:val="Accord titre"/>
    <w:basedOn w:val="Normal"/>
    <w:rsid w:val="00303E12"/>
    <w:pPr>
      <w:widowControl/>
      <w:spacing w:line="360" w:lineRule="auto"/>
      <w:jc w:val="center"/>
    </w:pPr>
    <w:rPr>
      <w:rFonts w:eastAsia="Calibri"/>
      <w:szCs w:val="22"/>
      <w:lang w:eastAsia="en-US"/>
    </w:rPr>
  </w:style>
  <w:style w:type="paragraph" w:customStyle="1" w:styleId="FooterAccord">
    <w:name w:val="Footer Accord"/>
    <w:basedOn w:val="Normal"/>
    <w:rsid w:val="00303E12"/>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303E12"/>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303E12"/>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303E12"/>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303E12"/>
    <w:pPr>
      <w:spacing w:after="240"/>
    </w:pPr>
  </w:style>
  <w:style w:type="paragraph" w:customStyle="1" w:styleId="DESignature">
    <w:name w:val="DE Signature"/>
    <w:basedOn w:val="Normal"/>
    <w:next w:val="Normal"/>
    <w:rsid w:val="00303E12"/>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303E12"/>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303E12"/>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303E12"/>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303E12"/>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303E12"/>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303E12"/>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303E12"/>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303E12"/>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303E12"/>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303E12"/>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303E12"/>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303E12"/>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303E12"/>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303E12"/>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303E12"/>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303E12"/>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303E12"/>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303E12"/>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303E12"/>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303E12"/>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303E12"/>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303E12"/>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303E12"/>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303E12"/>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303E12"/>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303E12"/>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303E12"/>
    <w:pPr>
      <w:pBdr>
        <w:left w:val="single" w:sz="18" w:space="5" w:color="0070C0"/>
      </w:pBdr>
      <w:spacing w:after="160" w:line="259" w:lineRule="auto"/>
    </w:pPr>
    <w:rPr>
      <w:rFonts w:ascii="Calibri" w:eastAsia="Calibri" w:hAnsi="Calibri" w:cs="Arial"/>
      <w:i/>
      <w:sz w:val="22"/>
      <w:szCs w:val="22"/>
      <w:lang w:val="el-GR" w:eastAsia="en-US"/>
    </w:rPr>
  </w:style>
  <w:style w:type="paragraph" w:customStyle="1" w:styleId="CommentFwdQuotedText">
    <w:name w:val="CommentFwdQuotedText"/>
    <w:basedOn w:val="Normal"/>
    <w:rsid w:val="00303E12"/>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303E12"/>
    <w:pPr>
      <w:pBdr>
        <w:top w:val="none" w:sz="0" w:space="0" w:color="auto"/>
        <w:left w:val="single" w:sz="4" w:space="20" w:color="auto"/>
      </w:pBdr>
    </w:pPr>
  </w:style>
  <w:style w:type="table" w:customStyle="1" w:styleId="TableGrid1">
    <w:name w:val="Table Grid1"/>
    <w:basedOn w:val="TableNormal"/>
    <w:next w:val="TableGrid"/>
    <w:rsid w:val="00303E12"/>
    <w:pPr>
      <w:spacing w:before="120" w:after="120"/>
      <w:jc w:val="both"/>
    </w:pPr>
    <w:rPr>
      <w:lang w:val="el-GR"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303E12"/>
    <w:pPr>
      <w:widowControl/>
      <w:numPr>
        <w:numId w:val="40"/>
      </w:numPr>
      <w:spacing w:before="120" w:after="120"/>
      <w:jc w:val="both"/>
    </w:pPr>
    <w:rPr>
      <w:szCs w:val="22"/>
    </w:rPr>
  </w:style>
  <w:style w:type="character" w:customStyle="1" w:styleId="Hyperlink1">
    <w:name w:val="Hyperlink1"/>
    <w:basedOn w:val="DefaultParagraphFont"/>
    <w:uiPriority w:val="99"/>
    <w:unhideWhenUsed/>
    <w:rsid w:val="00303E12"/>
    <w:rPr>
      <w:color w:val="0000FF"/>
      <w:u w:val="single"/>
    </w:rPr>
  </w:style>
  <w:style w:type="paragraph" w:styleId="Title">
    <w:name w:val="Title"/>
    <w:basedOn w:val="Normal"/>
    <w:next w:val="Normal"/>
    <w:link w:val="TitleChar"/>
    <w:uiPriority w:val="10"/>
    <w:qFormat/>
    <w:rsid w:val="00303E12"/>
    <w:pPr>
      <w:contextualSpacing/>
    </w:pPr>
    <w:rPr>
      <w:rFonts w:ascii="Cambria" w:hAnsi="Cambria"/>
      <w:spacing w:val="-10"/>
      <w:kern w:val="28"/>
      <w:sz w:val="56"/>
      <w:szCs w:val="56"/>
      <w:lang w:val="en-GB"/>
    </w:rPr>
  </w:style>
  <w:style w:type="character" w:customStyle="1" w:styleId="TitleChar1">
    <w:name w:val="Title Char1"/>
    <w:basedOn w:val="DefaultParagraphFont"/>
    <w:rsid w:val="00303E12"/>
    <w:rPr>
      <w:rFonts w:asciiTheme="majorHAnsi" w:eastAsiaTheme="majorEastAsia" w:hAnsiTheme="majorHAnsi" w:cstheme="majorBidi"/>
      <w:spacing w:val="-10"/>
      <w:kern w:val="28"/>
      <w:sz w:val="56"/>
      <w:szCs w:val="56"/>
      <w:lang w:val="el-GR"/>
    </w:rPr>
  </w:style>
  <w:style w:type="paragraph" w:styleId="Subtitle">
    <w:name w:val="Subtitle"/>
    <w:basedOn w:val="Normal"/>
    <w:next w:val="Normal"/>
    <w:link w:val="SubtitleChar"/>
    <w:uiPriority w:val="11"/>
    <w:qFormat/>
    <w:rsid w:val="00303E12"/>
    <w:pPr>
      <w:numPr>
        <w:ilvl w:val="1"/>
      </w:numPr>
      <w:spacing w:after="160"/>
    </w:pPr>
    <w:rPr>
      <w:color w:val="595959"/>
      <w:spacing w:val="15"/>
      <w:sz w:val="28"/>
      <w:szCs w:val="28"/>
      <w:lang w:val="en-GB"/>
    </w:rPr>
  </w:style>
  <w:style w:type="character" w:customStyle="1" w:styleId="SubtitleChar1">
    <w:name w:val="Subtitle Char1"/>
    <w:basedOn w:val="DefaultParagraphFont"/>
    <w:rsid w:val="00303E12"/>
    <w:rPr>
      <w:rFonts w:asciiTheme="minorHAnsi" w:eastAsiaTheme="minorEastAsia" w:hAnsiTheme="minorHAnsi" w:cstheme="minorBidi"/>
      <w:color w:val="5A5A5A" w:themeColor="text1" w:themeTint="A5"/>
      <w:spacing w:val="15"/>
      <w:sz w:val="22"/>
      <w:szCs w:val="22"/>
      <w:lang w:val="el-GR"/>
    </w:rPr>
  </w:style>
  <w:style w:type="paragraph" w:styleId="Quote">
    <w:name w:val="Quote"/>
    <w:basedOn w:val="Normal"/>
    <w:next w:val="Normal"/>
    <w:link w:val="QuoteChar"/>
    <w:uiPriority w:val="29"/>
    <w:qFormat/>
    <w:rsid w:val="00303E12"/>
    <w:pPr>
      <w:spacing w:before="200" w:after="160"/>
      <w:ind w:left="864" w:right="864"/>
      <w:jc w:val="center"/>
    </w:pPr>
    <w:rPr>
      <w:i/>
      <w:iCs/>
      <w:color w:val="404040"/>
      <w:sz w:val="20"/>
      <w:lang w:val="en-GB"/>
    </w:rPr>
  </w:style>
  <w:style w:type="character" w:customStyle="1" w:styleId="QuoteChar1">
    <w:name w:val="Quote Char1"/>
    <w:basedOn w:val="DefaultParagraphFont"/>
    <w:uiPriority w:val="29"/>
    <w:rsid w:val="00303E12"/>
    <w:rPr>
      <w:i/>
      <w:iCs/>
      <w:color w:val="404040" w:themeColor="text1" w:themeTint="BF"/>
      <w:sz w:val="24"/>
      <w:lang w:val="el-GR"/>
    </w:rPr>
  </w:style>
  <w:style w:type="paragraph" w:styleId="ListParagraph">
    <w:name w:val="List Paragraph"/>
    <w:basedOn w:val="Normal"/>
    <w:uiPriority w:val="34"/>
    <w:qFormat/>
    <w:rsid w:val="00303E12"/>
    <w:pPr>
      <w:ind w:left="720"/>
      <w:contextualSpacing/>
    </w:pPr>
  </w:style>
  <w:style w:type="character" w:styleId="IntenseEmphasis">
    <w:name w:val="Intense Emphasis"/>
    <w:basedOn w:val="DefaultParagraphFont"/>
    <w:uiPriority w:val="21"/>
    <w:qFormat/>
    <w:rsid w:val="00303E12"/>
    <w:rPr>
      <w:i/>
      <w:iCs/>
      <w:color w:val="5B9BD5" w:themeColor="accent1"/>
    </w:rPr>
  </w:style>
  <w:style w:type="paragraph" w:styleId="IntenseQuote">
    <w:name w:val="Intense Quote"/>
    <w:basedOn w:val="Normal"/>
    <w:next w:val="Normal"/>
    <w:link w:val="IntenseQuoteChar"/>
    <w:uiPriority w:val="30"/>
    <w:qFormat/>
    <w:rsid w:val="00303E12"/>
    <w:pPr>
      <w:pBdr>
        <w:top w:val="single" w:sz="4" w:space="10" w:color="5B9BD5" w:themeColor="accent1"/>
        <w:bottom w:val="single" w:sz="4" w:space="10" w:color="5B9BD5" w:themeColor="accent1"/>
      </w:pBdr>
      <w:spacing w:before="360" w:after="360"/>
      <w:ind w:left="864" w:right="864"/>
      <w:jc w:val="center"/>
    </w:pPr>
    <w:rPr>
      <w:i/>
      <w:iCs/>
      <w:color w:val="365F91"/>
      <w:sz w:val="20"/>
      <w:lang w:val="en-GB"/>
    </w:rPr>
  </w:style>
  <w:style w:type="character" w:customStyle="1" w:styleId="IntenseQuoteChar1">
    <w:name w:val="Intense Quote Char1"/>
    <w:basedOn w:val="DefaultParagraphFont"/>
    <w:uiPriority w:val="30"/>
    <w:rsid w:val="00303E12"/>
    <w:rPr>
      <w:i/>
      <w:iCs/>
      <w:color w:val="5B9BD5" w:themeColor="accent1"/>
      <w:sz w:val="24"/>
      <w:lang w:val="el-GR"/>
    </w:rPr>
  </w:style>
  <w:style w:type="character" w:styleId="IntenseReference">
    <w:name w:val="Intense Reference"/>
    <w:basedOn w:val="DefaultParagraphFont"/>
    <w:uiPriority w:val="32"/>
    <w:qFormat/>
    <w:rsid w:val="00303E12"/>
    <w:rPr>
      <w:b/>
      <w:bCs/>
      <w:smallCaps/>
      <w:color w:val="5B9BD5" w:themeColor="accent1"/>
      <w:spacing w:val="5"/>
    </w:rPr>
  </w:style>
  <w:style w:type="paragraph" w:customStyle="1" w:styleId="HeadingDocType24a">
    <w:name w:val="HeadingDocType24a"/>
    <w:basedOn w:val="Normal"/>
    <w:rsid w:val="00AF5321"/>
    <w:pPr>
      <w:spacing w:after="480"/>
      <w:jc w:val="center"/>
    </w:pPr>
    <w:rPr>
      <w:rFonts w:ascii="Arial" w:hAnsi="Arial"/>
      <w:b/>
      <w:sz w:val="48"/>
    </w:rPr>
  </w:style>
  <w:style w:type="paragraph" w:customStyle="1" w:styleId="HeadingReferenceERCO">
    <w:name w:val="HeadingReferenceERCO"/>
    <w:basedOn w:val="Normal"/>
    <w:rsid w:val="00AF5321"/>
    <w:pPr>
      <w:spacing w:before="360" w:after="240"/>
      <w:jc w:val="right"/>
    </w:pPr>
    <w:rPr>
      <w:rFonts w:ascii="Arial" w:hAnsi="Arial"/>
      <w:b/>
    </w:rPr>
  </w:style>
  <w:style w:type="paragraph" w:customStyle="1" w:styleId="NormalCenter">
    <w:name w:val="NormalCenter"/>
    <w:basedOn w:val="Normal"/>
    <w:rsid w:val="00AF5321"/>
    <w:pPr>
      <w:jc w:val="center"/>
    </w:pPr>
  </w:style>
  <w:style w:type="paragraph" w:customStyle="1" w:styleId="Normal24a">
    <w:name w:val="Normal24a"/>
    <w:basedOn w:val="Normal"/>
    <w:rsid w:val="00AF5321"/>
    <w:pPr>
      <w:spacing w:after="480"/>
    </w:pPr>
  </w:style>
  <w:style w:type="paragraph" w:customStyle="1" w:styleId="EPBody">
    <w:name w:val="EPBody"/>
    <w:basedOn w:val="Normal"/>
    <w:rsid w:val="00AF5321"/>
    <w:pPr>
      <w:jc w:val="center"/>
    </w:pPr>
    <w:rPr>
      <w:rFonts w:ascii="Arial" w:hAnsi="Arial" w:cs="Arial"/>
      <w:i/>
      <w:sz w:val="22"/>
      <w:szCs w:val="22"/>
    </w:rPr>
  </w:style>
  <w:style w:type="paragraph" w:customStyle="1" w:styleId="LineSingle">
    <w:name w:val="LineSingle"/>
    <w:basedOn w:val="Normal"/>
    <w:next w:val="Normal"/>
    <w:rsid w:val="00AF5321"/>
    <w:pPr>
      <w:pBdr>
        <w:bottom w:val="single" w:sz="4" w:space="1" w:color="auto"/>
      </w:pBdr>
      <w:spacing w:after="240"/>
    </w:pPr>
  </w:style>
  <w:style w:type="paragraph" w:customStyle="1" w:styleId="HeadingDate">
    <w:name w:val="HeadingDate"/>
    <w:basedOn w:val="Normal"/>
    <w:rsid w:val="00AF5321"/>
    <w:pPr>
      <w:spacing w:before="240" w:after="240"/>
    </w:pPr>
  </w:style>
  <w:style w:type="paragraph" w:customStyle="1" w:styleId="Footer1">
    <w:name w:val="Footer1"/>
    <w:basedOn w:val="Normal"/>
    <w:next w:val="Footer"/>
    <w:uiPriority w:val="99"/>
    <w:unhideWhenUsed/>
    <w:rsid w:val="00AF5321"/>
    <w:pPr>
      <w:widowControl/>
      <w:tabs>
        <w:tab w:val="center" w:pos="4819"/>
        <w:tab w:val="center" w:pos="7370"/>
        <w:tab w:val="right" w:pos="9638"/>
      </w:tabs>
    </w:pPr>
    <w:rPr>
      <w:lang w:val="en-GB"/>
    </w:rPr>
  </w:style>
  <w:style w:type="paragraph" w:customStyle="1" w:styleId="FootnoteText1">
    <w:name w:val="Footnote Text1"/>
    <w:basedOn w:val="Normal"/>
    <w:next w:val="FootnoteText"/>
    <w:uiPriority w:val="99"/>
    <w:unhideWhenUsed/>
    <w:rsid w:val="00AF5321"/>
    <w:pPr>
      <w:widowControl/>
      <w:ind w:left="720" w:hanging="720"/>
    </w:pPr>
    <w:rPr>
      <w:lang w:val="en-GB"/>
    </w:rPr>
  </w:style>
  <w:style w:type="paragraph" w:customStyle="1" w:styleId="EndnoteText1">
    <w:name w:val="Endnote Text1"/>
    <w:basedOn w:val="Normal"/>
    <w:next w:val="EndnoteText"/>
    <w:uiPriority w:val="99"/>
    <w:semiHidden/>
    <w:unhideWhenUsed/>
    <w:rsid w:val="00AF5321"/>
    <w:pPr>
      <w:widowControl/>
    </w:pPr>
    <w:rPr>
      <w:sz w:val="20"/>
      <w:lang w:val="en-GB"/>
    </w:rPr>
  </w:style>
  <w:style w:type="paragraph" w:customStyle="1" w:styleId="NormalWeb1">
    <w:name w:val="Normal (Web)1"/>
    <w:basedOn w:val="Normal"/>
    <w:next w:val="NormalWeb"/>
    <w:uiPriority w:val="99"/>
    <w:semiHidden/>
    <w:unhideWhenUsed/>
    <w:rsid w:val="00AF5321"/>
    <w:pPr>
      <w:widowControl/>
      <w:spacing w:before="120" w:after="120" w:line="360" w:lineRule="auto"/>
    </w:pPr>
    <w:rPr>
      <w:rFonts w:eastAsia="Calibri"/>
      <w:szCs w:val="24"/>
      <w:lang w:eastAsia="en-US"/>
    </w:rPr>
  </w:style>
  <w:style w:type="paragraph" w:customStyle="1" w:styleId="CommentText1">
    <w:name w:val="Comment Text1"/>
    <w:basedOn w:val="Normal"/>
    <w:next w:val="CommentText"/>
    <w:uiPriority w:val="99"/>
    <w:unhideWhenUsed/>
    <w:rsid w:val="00AF5321"/>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AF5321"/>
    <w:rPr>
      <w:b/>
      <w:bCs/>
    </w:rPr>
  </w:style>
  <w:style w:type="paragraph" w:customStyle="1" w:styleId="Revision1">
    <w:name w:val="Revision1"/>
    <w:next w:val="Revision"/>
    <w:hidden/>
    <w:uiPriority w:val="99"/>
    <w:semiHidden/>
    <w:rsid w:val="00AF5321"/>
    <w:rPr>
      <w:rFonts w:eastAsia="Calibri"/>
      <w:sz w:val="24"/>
      <w:szCs w:val="22"/>
      <w:lang w:val="el-GR" w:eastAsia="en-US"/>
    </w:rPr>
  </w:style>
  <w:style w:type="paragraph" w:customStyle="1" w:styleId="TOC21">
    <w:name w:val="TOC 21"/>
    <w:basedOn w:val="Normal"/>
    <w:next w:val="Normal"/>
    <w:uiPriority w:val="39"/>
    <w:semiHidden/>
    <w:unhideWhenUsed/>
    <w:rsid w:val="00AF5321"/>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AF5321"/>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AF5321"/>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AF5321"/>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AF5321"/>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AF5321"/>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AF5321"/>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AF5321"/>
    <w:pPr>
      <w:widowControl/>
      <w:tabs>
        <w:tab w:val="right" w:leader="dot" w:pos="9071"/>
      </w:tabs>
      <w:spacing w:before="120" w:after="120" w:line="360" w:lineRule="auto"/>
    </w:pPr>
    <w:rPr>
      <w:rFonts w:eastAsia="Calibri"/>
      <w:szCs w:val="22"/>
      <w:lang w:eastAsia="en-US"/>
    </w:rPr>
  </w:style>
  <w:style w:type="character" w:customStyle="1" w:styleId="FollowedHyperlink1">
    <w:name w:val="FollowedHyperlink1"/>
    <w:basedOn w:val="DefaultParagraphFont"/>
    <w:uiPriority w:val="99"/>
    <w:semiHidden/>
    <w:unhideWhenUsed/>
    <w:rsid w:val="00AF5321"/>
    <w:rPr>
      <w:color w:val="800080"/>
      <w:u w:val="single"/>
    </w:rPr>
  </w:style>
  <w:style w:type="character" w:customStyle="1" w:styleId="FooterChar1">
    <w:name w:val="Footer Char1"/>
    <w:basedOn w:val="DefaultParagraphFont"/>
    <w:semiHidden/>
    <w:rsid w:val="00AF5321"/>
    <w:rPr>
      <w:sz w:val="24"/>
      <w:lang w:val="el-GR"/>
    </w:rPr>
  </w:style>
  <w:style w:type="character" w:customStyle="1" w:styleId="FootnoteTextChar1">
    <w:name w:val="Footnote Text Char1"/>
    <w:basedOn w:val="DefaultParagraphFont"/>
    <w:rsid w:val="00AF5321"/>
    <w:rPr>
      <w:lang w:val="el-GR"/>
    </w:rPr>
  </w:style>
  <w:style w:type="character" w:customStyle="1" w:styleId="EndnoteTextChar1">
    <w:name w:val="Endnote Text Char1"/>
    <w:basedOn w:val="DefaultParagraphFont"/>
    <w:rsid w:val="00AF5321"/>
    <w:rPr>
      <w:lang w:val="el-GR"/>
    </w:rPr>
  </w:style>
  <w:style w:type="character" w:customStyle="1" w:styleId="CommentTextChar1">
    <w:name w:val="Comment Text Char1"/>
    <w:basedOn w:val="DefaultParagraphFont"/>
    <w:rsid w:val="00AF5321"/>
    <w:rPr>
      <w:lang w:val="el-GR"/>
    </w:rPr>
  </w:style>
  <w:style w:type="character" w:customStyle="1" w:styleId="CommentSubjectChar1">
    <w:name w:val="Comment Subject Char1"/>
    <w:basedOn w:val="CommentTextChar1"/>
    <w:semiHidden/>
    <w:rsid w:val="00AF5321"/>
    <w:rPr>
      <w:b/>
      <w:bCs/>
      <w:lang w:val="el-GR"/>
    </w:rPr>
  </w:style>
  <w:style w:type="character" w:styleId="FollowedHyperlink">
    <w:name w:val="FollowedHyperlink"/>
    <w:basedOn w:val="DefaultParagraphFont"/>
    <w:rsid w:val="00AF532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688</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2026-02-13T11:38:00Z</dcterms:created>
  <dcterms:modified xsi:type="dcterms:W3CDTF">2026-02-13T11:38:00Z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P10_TA(2025)0330_</vt:lpwstr>
  </property>
  <property fmtid="{D5CDD505-2E9C-101B-9397-08002B2CF9AE}" pid="4" name="&lt;Type&gt;">
    <vt:lpwstr>RR</vt:lpwstr>
  </property>
</Properties>
</file>