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21D8A" w14:paraId="48E5525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40EBBC" w14:textId="77777777" w:rsidR="00757DD5" w:rsidRPr="00E21D8A" w:rsidRDefault="006165D2" w:rsidP="00425111">
            <w:pPr>
              <w:pStyle w:val="EPName"/>
              <w:rPr>
                <w:lang w:val="en-GB"/>
              </w:rPr>
            </w:pPr>
            <w:r w:rsidRPr="00E21D8A">
              <w:rPr>
                <w:lang w:val="en-GB"/>
              </w:rPr>
              <w:t xml:space="preserve">Parlement </w:t>
            </w:r>
            <w:proofErr w:type="spellStart"/>
            <w:r w:rsidRPr="00E21D8A">
              <w:rPr>
                <w:lang w:val="en-GB"/>
              </w:rPr>
              <w:t>européen</w:t>
            </w:r>
            <w:proofErr w:type="spellEnd"/>
          </w:p>
          <w:p w14:paraId="6BA0418B" w14:textId="77777777" w:rsidR="00757DD5" w:rsidRPr="00E21D8A" w:rsidRDefault="006165D2" w:rsidP="00D3509F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E21D8A">
              <w:rPr>
                <w:lang w:val="en-GB"/>
              </w:rPr>
              <w:t>20</w:t>
            </w:r>
            <w:r w:rsidR="00D3509F">
              <w:rPr>
                <w:lang w:val="en-GB"/>
              </w:rPr>
              <w:t>24</w:t>
            </w:r>
            <w:r w:rsidRPr="00E21D8A">
              <w:rPr>
                <w:lang w:val="en-GB"/>
              </w:rPr>
              <w:t xml:space="preserve"> - 202</w:t>
            </w:r>
            <w:r w:rsidR="00D3509F">
              <w:rPr>
                <w:lang w:val="en-GB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7DFF5ED0" w14:textId="77777777" w:rsidR="00757DD5" w:rsidRPr="00E21D8A" w:rsidRDefault="00172070" w:rsidP="00425111">
            <w:pPr>
              <w:pStyle w:val="EPLogo"/>
            </w:pPr>
            <w:r w:rsidRPr="00E21D8A">
              <w:rPr>
                <w:noProof/>
              </w:rPr>
              <w:drawing>
                <wp:inline distT="0" distB="0" distL="0" distR="0" wp14:anchorId="1A8C3E60" wp14:editId="11419B88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959CEB" w14:textId="77777777" w:rsidR="008E7632" w:rsidRPr="00E21D8A" w:rsidRDefault="008E7632" w:rsidP="008E7632">
      <w:pPr>
        <w:pStyle w:val="LineTop"/>
        <w:rPr>
          <w:lang w:val="en-GB"/>
        </w:rPr>
      </w:pPr>
    </w:p>
    <w:p w14:paraId="26B1A2C3" w14:textId="77777777" w:rsidR="008E7632" w:rsidRPr="00E21D8A" w:rsidRDefault="006165D2" w:rsidP="008E7632">
      <w:pPr>
        <w:pStyle w:val="ZSessionDoc"/>
        <w:rPr>
          <w:b/>
          <w:i w:val="0"/>
          <w:lang w:val="fr-FR"/>
        </w:rPr>
      </w:pPr>
      <w:r w:rsidRPr="00E21D8A">
        <w:rPr>
          <w:b/>
          <w:i w:val="0"/>
          <w:lang w:val="fr-FR"/>
        </w:rPr>
        <w:t>TEXTES ADOPTÉS</w:t>
      </w:r>
    </w:p>
    <w:p w14:paraId="07BDDFF2" w14:textId="77777777" w:rsidR="008E7632" w:rsidRPr="00E21D8A" w:rsidRDefault="006165D2" w:rsidP="008E7632">
      <w:pPr>
        <w:pStyle w:val="LineBottom"/>
        <w:rPr>
          <w:lang w:val="fr-FR"/>
        </w:rPr>
      </w:pPr>
      <w:r w:rsidRPr="00E21D8A">
        <w:rPr>
          <w:rFonts w:cs="Arial"/>
          <w:i/>
          <w:sz w:val="20"/>
          <w:szCs w:val="22"/>
          <w:lang w:val="fr-FR"/>
        </w:rPr>
        <w:t xml:space="preserve"> </w:t>
      </w:r>
    </w:p>
    <w:p w14:paraId="1A44F6DF" w14:textId="5097F599" w:rsidR="009C4014" w:rsidRPr="00E21D8A" w:rsidRDefault="006165D2" w:rsidP="008E7632">
      <w:pPr>
        <w:pStyle w:val="ATHeading1"/>
        <w:spacing w:before="480"/>
      </w:pPr>
      <w:bookmarkStart w:id="0" w:name="TA_Heading"/>
      <w:r w:rsidRPr="00E21D8A">
        <w:t>P</w:t>
      </w:r>
      <w:r w:rsidR="00D3509F">
        <w:t>10</w:t>
      </w:r>
      <w:r w:rsidRPr="00E21D8A">
        <w:t>_TA(202</w:t>
      </w:r>
      <w:r w:rsidR="00D3509F">
        <w:t>5</w:t>
      </w:r>
      <w:r w:rsidRPr="00E21D8A">
        <w:t>)</w:t>
      </w:r>
      <w:bookmarkStart w:id="1" w:name="TANumber"/>
      <w:bookmarkEnd w:id="0"/>
      <w:r w:rsidRPr="00E21D8A">
        <w:t>0</w:t>
      </w:r>
      <w:r w:rsidR="00D34116">
        <w:t>331</w:t>
      </w:r>
      <w:bookmarkEnd w:id="1"/>
    </w:p>
    <w:p w14:paraId="62BF8614" w14:textId="12FC4FD0" w:rsidR="009C4014" w:rsidRPr="00E21D8A" w:rsidRDefault="0029080C" w:rsidP="006165D2">
      <w:pPr>
        <w:pStyle w:val="ATHeading2"/>
      </w:pPr>
      <w:bookmarkStart w:id="2" w:name="title"/>
      <w:r w:rsidRPr="0029080C">
        <w:t>Règlement sur la déforestation: certaines obligations des opérateurs et commerçants</w:t>
      </w:r>
      <w:bookmarkStart w:id="3" w:name="Etoiles"/>
      <w:bookmarkEnd w:id="2"/>
      <w:bookmarkEnd w:id="3"/>
    </w:p>
    <w:p w14:paraId="68878887" w14:textId="369CA639" w:rsidR="009C4014" w:rsidRPr="0029080C" w:rsidRDefault="009C4014" w:rsidP="009C4014">
      <w:pPr>
        <w:rPr>
          <w:i/>
          <w:vanish/>
        </w:rPr>
      </w:pPr>
      <w:r w:rsidRPr="00F10BD2">
        <w:rPr>
          <w:i/>
        </w:rPr>
        <w:fldChar w:fldCharType="begin"/>
      </w:r>
      <w:r w:rsidRPr="00F10BD2">
        <w:rPr>
          <w:i/>
        </w:rPr>
        <w:instrText xml:space="preserve"> TC"</w:instrText>
      </w:r>
      <w:bookmarkStart w:id="4" w:name="DocNumber"/>
      <w:r w:rsidR="006165D2" w:rsidRPr="00F10BD2">
        <w:rPr>
          <w:i/>
        </w:rPr>
        <w:instrText>(C</w:instrText>
      </w:r>
      <w:r w:rsidR="00D3509F" w:rsidRPr="00F10BD2">
        <w:rPr>
          <w:i/>
        </w:rPr>
        <w:instrText>10</w:instrText>
      </w:r>
      <w:r w:rsidR="006165D2" w:rsidRPr="00F10BD2">
        <w:rPr>
          <w:i/>
        </w:rPr>
        <w:instrText>-0</w:instrText>
      </w:r>
      <w:r w:rsidR="0029080C" w:rsidRPr="00F10BD2">
        <w:rPr>
          <w:i/>
        </w:rPr>
        <w:instrText>263</w:instrText>
      </w:r>
      <w:r w:rsidR="006165D2" w:rsidRPr="00F10BD2">
        <w:rPr>
          <w:i/>
        </w:rPr>
        <w:instrText>/202</w:instrText>
      </w:r>
      <w:r w:rsidR="00D3509F" w:rsidRPr="00F10BD2">
        <w:rPr>
          <w:i/>
        </w:rPr>
        <w:instrText>5</w:instrText>
      </w:r>
      <w:r w:rsidR="00F10BD2" w:rsidRPr="00F10BD2">
        <w:rPr>
          <w:i/>
        </w:rPr>
        <w:instrText xml:space="preserve"> </w:instrText>
      </w:r>
      <w:r w:rsidR="00F10BD2" w:rsidRPr="00D34116">
        <w:rPr>
          <w:i/>
          <w:lang w:val="fr-BE"/>
        </w:rPr>
        <w:instrText>- Rapporteur: Christine Schneider</w:instrText>
      </w:r>
      <w:r w:rsidR="006165D2" w:rsidRPr="00F10BD2">
        <w:rPr>
          <w:i/>
        </w:rPr>
        <w:instrText>)</w:instrText>
      </w:r>
      <w:bookmarkEnd w:id="4"/>
      <w:r w:rsidRPr="00F10BD2">
        <w:rPr>
          <w:i/>
        </w:rPr>
        <w:instrText xml:space="preserve">"\l3 \n&gt; \* MERGEFORMAT </w:instrText>
      </w:r>
      <w:r w:rsidRPr="00F10BD2">
        <w:rPr>
          <w:i/>
        </w:rPr>
        <w:fldChar w:fldCharType="end"/>
      </w:r>
    </w:p>
    <w:p w14:paraId="328D8606" w14:textId="1EEDB323" w:rsidR="006165D2" w:rsidRPr="00F10BD2" w:rsidRDefault="00E21D8A" w:rsidP="009C4014">
      <w:pPr>
        <w:rPr>
          <w:vanish/>
        </w:rPr>
      </w:pPr>
      <w:bookmarkStart w:id="5" w:name="Commission"/>
      <w:r w:rsidRPr="00F10BD2">
        <w:rPr>
          <w:vanish/>
        </w:rPr>
        <w:t>Commission d</w:t>
      </w:r>
      <w:r w:rsidR="00D3509F" w:rsidRPr="00F10BD2">
        <w:rPr>
          <w:vanish/>
        </w:rPr>
        <w:t>e</w:t>
      </w:r>
      <w:r w:rsidR="0029080C" w:rsidRPr="00F10BD2">
        <w:rPr>
          <w:vanish/>
        </w:rPr>
        <w:t xml:space="preserve"> l’environnement, du climat et de la sécurité alimentaire</w:t>
      </w:r>
    </w:p>
    <w:p w14:paraId="7A5B6BFE" w14:textId="6298D4E1" w:rsidR="009C4014" w:rsidRPr="00E21D8A" w:rsidRDefault="006165D2" w:rsidP="00D12B1A">
      <w:pPr>
        <w:spacing w:after="120"/>
        <w:rPr>
          <w:vanish/>
        </w:rPr>
      </w:pPr>
      <w:bookmarkStart w:id="6" w:name="PE"/>
      <w:bookmarkEnd w:id="5"/>
      <w:r w:rsidRPr="00F10BD2">
        <w:rPr>
          <w:vanish/>
        </w:rPr>
        <w:t>P</w:t>
      </w:r>
      <w:r w:rsidR="00C84F77" w:rsidRPr="00F10BD2">
        <w:rPr>
          <w:vanish/>
        </w:rPr>
        <w:t>E</w:t>
      </w:r>
      <w:r w:rsidR="00F10BD2" w:rsidRPr="00F10BD2">
        <w:rPr>
          <w:vanish/>
        </w:rPr>
        <w:t>78</w:t>
      </w:r>
      <w:r w:rsidR="00E21D8A" w:rsidRPr="00F10BD2">
        <w:rPr>
          <w:vanish/>
        </w:rPr>
        <w:t>0.0</w:t>
      </w:r>
      <w:r w:rsidR="00F10BD2" w:rsidRPr="00F10BD2">
        <w:rPr>
          <w:vanish/>
        </w:rPr>
        <w:t>35</w:t>
      </w:r>
      <w:bookmarkEnd w:id="6"/>
    </w:p>
    <w:p w14:paraId="204AEAFB" w14:textId="1BA4127E" w:rsidR="00C84F77" w:rsidRPr="001F7244" w:rsidRDefault="006165D2" w:rsidP="00C31CF5">
      <w:pPr>
        <w:pStyle w:val="ATHeading3"/>
      </w:pPr>
      <w:bookmarkStart w:id="7" w:name="Sujet"/>
      <w:r w:rsidRPr="00E21D8A">
        <w:t xml:space="preserve">Résolution législative </w:t>
      </w:r>
      <w:r w:rsidR="00D12B1A" w:rsidRPr="00E21D8A">
        <w:t xml:space="preserve">du Parlement européen </w:t>
      </w:r>
      <w:r w:rsidRPr="00E21D8A">
        <w:t xml:space="preserve">du </w:t>
      </w:r>
      <w:r w:rsidR="00177F9B">
        <w:t>17 décembre</w:t>
      </w:r>
      <w:r w:rsidR="00252B47">
        <w:t xml:space="preserve"> </w:t>
      </w:r>
      <w:r w:rsidRPr="00E21D8A">
        <w:t>202</w:t>
      </w:r>
      <w:r w:rsidR="0029080C">
        <w:t>5</w:t>
      </w:r>
      <w:r w:rsidRPr="00E21D8A">
        <w:t xml:space="preserve"> </w:t>
      </w:r>
      <w:bookmarkStart w:id="8" w:name="References"/>
      <w:bookmarkEnd w:id="7"/>
      <w:r w:rsidR="00A5080E">
        <w:t>sur la p</w:t>
      </w:r>
      <w:r w:rsidR="00A5080E" w:rsidRPr="00A5080E">
        <w:t xml:space="preserve">roposition de </w:t>
      </w:r>
      <w:r w:rsidR="00FC2912">
        <w:t>règlement</w:t>
      </w:r>
      <w:r w:rsidR="00A5080E" w:rsidRPr="00802DE7">
        <w:t xml:space="preserve"> du Parlement</w:t>
      </w:r>
      <w:r w:rsidR="00A5080E">
        <w:t xml:space="preserve"> européen et du Conseil</w:t>
      </w:r>
      <w:r w:rsidR="00A5080E" w:rsidRPr="00A5080E">
        <w:t xml:space="preserve"> </w:t>
      </w:r>
      <w:r w:rsidR="0029080C" w:rsidRPr="0029080C">
        <w:t>modifiant le règlement (UE) 2023/1115 en ce qui concerne certaines obligations incombant aux opérateurs et aux commerçants</w:t>
      </w:r>
      <w:r w:rsidR="0029080C">
        <w:t xml:space="preserve"> </w:t>
      </w:r>
      <w:r w:rsidR="00D12B1A" w:rsidRPr="00E21D8A">
        <w:t>(COM(</w:t>
      </w:r>
      <w:r w:rsidR="0029080C">
        <w:t>2025</w:t>
      </w:r>
      <w:r w:rsidR="00D12B1A" w:rsidRPr="00E21D8A">
        <w:t>)0</w:t>
      </w:r>
      <w:r w:rsidR="0029080C">
        <w:t>652</w:t>
      </w:r>
      <w:r w:rsidR="00D12B1A" w:rsidRPr="00E21D8A">
        <w:t xml:space="preserve"> </w:t>
      </w:r>
      <w:r w:rsidR="00D12B1A" w:rsidRPr="001F7244">
        <w:t>– C</w:t>
      </w:r>
      <w:r w:rsidR="00D3509F" w:rsidRPr="001F7244">
        <w:t>10</w:t>
      </w:r>
      <w:r w:rsidR="00D12B1A" w:rsidRPr="001F7244">
        <w:t>-0</w:t>
      </w:r>
      <w:r w:rsidR="0029080C">
        <w:t>263</w:t>
      </w:r>
      <w:r w:rsidR="00D3509F" w:rsidRPr="001F7244">
        <w:t>/2025</w:t>
      </w:r>
      <w:r w:rsidR="00C84F77" w:rsidRPr="001F7244">
        <w:t xml:space="preserve"> – </w:t>
      </w:r>
      <w:r w:rsidR="0029080C">
        <w:t>2025</w:t>
      </w:r>
      <w:r w:rsidR="00244D7C">
        <w:t>/</w:t>
      </w:r>
      <w:r w:rsidR="0029080C">
        <w:t>0329</w:t>
      </w:r>
      <w:r w:rsidR="00C84F77" w:rsidRPr="001F7244">
        <w:t>(COD))</w:t>
      </w:r>
    </w:p>
    <w:p w14:paraId="752574D3" w14:textId="77777777" w:rsidR="009C4014" w:rsidRPr="001F7244" w:rsidRDefault="006165D2" w:rsidP="00D12B1A">
      <w:pPr>
        <w:pStyle w:val="ATHeading3"/>
        <w:keepNext w:val="0"/>
        <w:keepLines w:val="0"/>
        <w:widowControl w:val="0"/>
        <w:spacing w:before="240"/>
      </w:pPr>
      <w:r w:rsidRPr="001F7244">
        <w:t>(Procédure</w:t>
      </w:r>
      <w:r w:rsidR="00C84F77" w:rsidRPr="001F7244">
        <w:t xml:space="preserve"> législative ordinaire: première lecture</w:t>
      </w:r>
      <w:r w:rsidRPr="001F7244">
        <w:t>)</w:t>
      </w:r>
      <w:bookmarkEnd w:id="8"/>
    </w:p>
    <w:p w14:paraId="38FFB418" w14:textId="77777777" w:rsidR="006E5420" w:rsidRPr="00177F9B" w:rsidRDefault="006165D2" w:rsidP="008B1C2E">
      <w:pPr>
        <w:pStyle w:val="Normal12"/>
        <w:spacing w:before="360"/>
        <w:rPr>
          <w:i/>
          <w:szCs w:val="24"/>
          <w:lang w:val="fr-FR"/>
        </w:rPr>
      </w:pPr>
      <w:bookmarkStart w:id="9" w:name="TextBodyBegin"/>
      <w:bookmarkEnd w:id="9"/>
      <w:r w:rsidRPr="00177F9B">
        <w:rPr>
          <w:i/>
          <w:szCs w:val="24"/>
          <w:lang w:val="fr-FR"/>
        </w:rPr>
        <w:t>Le Parlement européen,</w:t>
      </w:r>
    </w:p>
    <w:p w14:paraId="44ACD6DC" w14:textId="78C8A77C" w:rsidR="00C84F77" w:rsidRPr="00177F9B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</w:rPr>
      </w:pPr>
      <w:r w:rsidRPr="00177F9B">
        <w:rPr>
          <w:szCs w:val="24"/>
        </w:rPr>
        <w:t>–</w:t>
      </w:r>
      <w:r w:rsidRPr="00177F9B">
        <w:rPr>
          <w:szCs w:val="24"/>
        </w:rPr>
        <w:tab/>
        <w:t>vu la proposition de la Commission au Parlement européen et au Conseil (COM(20</w:t>
      </w:r>
      <w:r w:rsidR="00D12B1A" w:rsidRPr="00177F9B">
        <w:rPr>
          <w:szCs w:val="24"/>
        </w:rPr>
        <w:t>2</w:t>
      </w:r>
      <w:r w:rsidR="00D3509F" w:rsidRPr="00177F9B">
        <w:rPr>
          <w:szCs w:val="24"/>
        </w:rPr>
        <w:t>5</w:t>
      </w:r>
      <w:r w:rsidR="00D12B1A" w:rsidRPr="00177F9B">
        <w:rPr>
          <w:szCs w:val="24"/>
        </w:rPr>
        <w:t>)0</w:t>
      </w:r>
      <w:r w:rsidR="0029080C" w:rsidRPr="00177F9B">
        <w:rPr>
          <w:szCs w:val="24"/>
        </w:rPr>
        <w:t>652</w:t>
      </w:r>
      <w:r w:rsidRPr="00177F9B">
        <w:rPr>
          <w:szCs w:val="24"/>
        </w:rPr>
        <w:t>),</w:t>
      </w:r>
    </w:p>
    <w:p w14:paraId="35BB7D1B" w14:textId="1F30DEE2" w:rsidR="00C84F77" w:rsidRPr="00177F9B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  <w:shd w:val="pct12" w:color="auto" w:fill="FFFFFF"/>
        </w:rPr>
      </w:pPr>
      <w:r w:rsidRPr="00177F9B">
        <w:rPr>
          <w:szCs w:val="24"/>
        </w:rPr>
        <w:t>–</w:t>
      </w:r>
      <w:r w:rsidRPr="00177F9B">
        <w:rPr>
          <w:szCs w:val="24"/>
        </w:rPr>
        <w:tab/>
        <w:t xml:space="preserve">vu l’article 294, paragraphe 2, et l’article </w:t>
      </w:r>
      <w:r w:rsidR="00863382" w:rsidRPr="00177F9B">
        <w:rPr>
          <w:szCs w:val="24"/>
        </w:rPr>
        <w:t>1</w:t>
      </w:r>
      <w:r w:rsidR="00D12B1A" w:rsidRPr="00177F9B">
        <w:rPr>
          <w:szCs w:val="24"/>
        </w:rPr>
        <w:t>1</w:t>
      </w:r>
      <w:r w:rsidR="00863382" w:rsidRPr="00177F9B">
        <w:rPr>
          <w:szCs w:val="24"/>
        </w:rPr>
        <w:t>4</w:t>
      </w:r>
      <w:r w:rsidR="00D12B1A" w:rsidRPr="00177F9B">
        <w:rPr>
          <w:szCs w:val="24"/>
        </w:rPr>
        <w:t>,</w:t>
      </w:r>
      <w:r w:rsidRPr="00177F9B">
        <w:rPr>
          <w:szCs w:val="24"/>
        </w:rPr>
        <w:t xml:space="preserve"> du traité sur le fonctionnement de l’Union européenne, conformément auxquels la proposition lui a été présentée par la Commission (C</w:t>
      </w:r>
      <w:r w:rsidR="00D3509F" w:rsidRPr="00177F9B">
        <w:rPr>
          <w:szCs w:val="24"/>
        </w:rPr>
        <w:t>10</w:t>
      </w:r>
      <w:r w:rsidRPr="00177F9B">
        <w:rPr>
          <w:szCs w:val="24"/>
        </w:rPr>
        <w:noBreakHyphen/>
        <w:t>0</w:t>
      </w:r>
      <w:r w:rsidR="00177F9B" w:rsidRPr="00177F9B">
        <w:rPr>
          <w:szCs w:val="24"/>
        </w:rPr>
        <w:t>263</w:t>
      </w:r>
      <w:r w:rsidRPr="00177F9B">
        <w:rPr>
          <w:szCs w:val="24"/>
        </w:rPr>
        <w:t>/20</w:t>
      </w:r>
      <w:r w:rsidR="00D12B1A" w:rsidRPr="00177F9B">
        <w:rPr>
          <w:szCs w:val="24"/>
        </w:rPr>
        <w:t>2</w:t>
      </w:r>
      <w:r w:rsidR="00D3509F" w:rsidRPr="00177F9B">
        <w:rPr>
          <w:szCs w:val="24"/>
        </w:rPr>
        <w:t>5</w:t>
      </w:r>
      <w:r w:rsidRPr="00177F9B">
        <w:rPr>
          <w:szCs w:val="24"/>
        </w:rPr>
        <w:t>),</w:t>
      </w:r>
    </w:p>
    <w:p w14:paraId="74BB3DB6" w14:textId="77777777" w:rsidR="00D12B1A" w:rsidRPr="00177F9B" w:rsidRDefault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</w:rPr>
      </w:pPr>
      <w:r w:rsidRPr="00177F9B">
        <w:rPr>
          <w:szCs w:val="24"/>
        </w:rPr>
        <w:t>–</w:t>
      </w:r>
      <w:r w:rsidRPr="00177F9B">
        <w:rPr>
          <w:szCs w:val="24"/>
        </w:rPr>
        <w:tab/>
        <w:t>vu l’article 294, paragraphe 3, du traité sur le fonctionnement de l’Union européenne,</w:t>
      </w:r>
    </w:p>
    <w:p w14:paraId="4E3B6534" w14:textId="683C076C" w:rsidR="00D12B1A" w:rsidRPr="00177F9B" w:rsidRDefault="00D12B1A" w:rsidP="00D12B1A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</w:rPr>
      </w:pPr>
      <w:r w:rsidRPr="00177F9B">
        <w:rPr>
          <w:szCs w:val="24"/>
        </w:rPr>
        <w:t>–</w:t>
      </w:r>
      <w:r w:rsidRPr="00177F9B">
        <w:rPr>
          <w:szCs w:val="24"/>
        </w:rPr>
        <w:tab/>
        <w:t>vu l’avis du Comité économique et social européen du</w:t>
      </w:r>
      <w:r w:rsidR="00863382" w:rsidRPr="00177F9B">
        <w:rPr>
          <w:szCs w:val="24"/>
        </w:rPr>
        <w:t xml:space="preserve"> </w:t>
      </w:r>
      <w:r w:rsidR="00177F9B" w:rsidRPr="00177F9B">
        <w:rPr>
          <w:szCs w:val="24"/>
        </w:rPr>
        <w:t>3 décembre 2025</w:t>
      </w:r>
      <w:r w:rsidRPr="00177F9B">
        <w:rPr>
          <w:rStyle w:val="FootnoteReference"/>
          <w:szCs w:val="24"/>
        </w:rPr>
        <w:footnoteReference w:id="1"/>
      </w:r>
      <w:r w:rsidRPr="00177F9B">
        <w:rPr>
          <w:szCs w:val="24"/>
        </w:rPr>
        <w:t>,</w:t>
      </w:r>
    </w:p>
    <w:p w14:paraId="57A65FEB" w14:textId="77777777" w:rsidR="00D12B1A" w:rsidRDefault="00D12B1A" w:rsidP="00D12B1A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</w:rPr>
      </w:pPr>
      <w:r w:rsidRPr="00177F9B">
        <w:rPr>
          <w:szCs w:val="24"/>
        </w:rPr>
        <w:t>–</w:t>
      </w:r>
      <w:r w:rsidRPr="00177F9B">
        <w:rPr>
          <w:szCs w:val="24"/>
        </w:rPr>
        <w:tab/>
        <w:t xml:space="preserve">après consultation du Comité des régions, </w:t>
      </w:r>
    </w:p>
    <w:p w14:paraId="7FD59BD4" w14:textId="5A4DD3C0" w:rsidR="00F10BD2" w:rsidRPr="00177F9B" w:rsidRDefault="00F10BD2" w:rsidP="00F10BD2">
      <w:pPr>
        <w:ind w:left="567" w:hanging="567"/>
        <w:rPr>
          <w:szCs w:val="24"/>
        </w:rPr>
      </w:pPr>
      <w:bookmarkStart w:id="10" w:name="_Hlk208304882"/>
      <w:r w:rsidRPr="0070765D">
        <w:t>–</w:t>
      </w:r>
      <w:r w:rsidRPr="0070765D">
        <w:tab/>
        <w:t xml:space="preserve">vu l’accord </w:t>
      </w:r>
      <w:r w:rsidRPr="00F10BD2">
        <w:t xml:space="preserve">provisoire approuvé en vertu de l’article 75, paragraphe 4, de son règlement intérieur par </w:t>
      </w:r>
      <w:r w:rsidRPr="00D34116">
        <w:t>la commission compétente</w:t>
      </w:r>
      <w:r w:rsidRPr="00F10BD2">
        <w:t xml:space="preserve"> et l’engagement pris par le représentant du Conseil, par lettre du 10 décembre 2025, d’approuver la </w:t>
      </w:r>
      <w:r w:rsidRPr="00D34116">
        <w:t>position du Parlement européen</w:t>
      </w:r>
      <w:r w:rsidRPr="00F10BD2">
        <w:t>, conformément à l’article 294, paragraphe 4, du traité sur le</w:t>
      </w:r>
      <w:r w:rsidRPr="0070765D">
        <w:t xml:space="preserve"> fonctionnement de l’Union européenne,</w:t>
      </w:r>
      <w:bookmarkEnd w:id="10"/>
    </w:p>
    <w:p w14:paraId="27A62CD4" w14:textId="531097D8" w:rsidR="00C84F77" w:rsidRPr="00177F9B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 w:line="360" w:lineRule="auto"/>
        <w:ind w:left="567" w:hanging="567"/>
        <w:rPr>
          <w:szCs w:val="24"/>
        </w:rPr>
      </w:pPr>
      <w:r w:rsidRPr="00177F9B">
        <w:rPr>
          <w:szCs w:val="24"/>
          <w:lang w:val="fr-BE"/>
        </w:rPr>
        <w:t>–</w:t>
      </w:r>
      <w:r w:rsidRPr="00177F9B">
        <w:rPr>
          <w:szCs w:val="24"/>
          <w:lang w:val="fr-BE"/>
        </w:rPr>
        <w:tab/>
        <w:t xml:space="preserve">vu les articles </w:t>
      </w:r>
      <w:r w:rsidR="00863382" w:rsidRPr="00177F9B">
        <w:rPr>
          <w:szCs w:val="24"/>
          <w:lang w:val="fr-BE"/>
        </w:rPr>
        <w:t>60</w:t>
      </w:r>
      <w:r w:rsidRPr="00177F9B">
        <w:rPr>
          <w:szCs w:val="24"/>
          <w:lang w:val="fr-BE"/>
        </w:rPr>
        <w:t xml:space="preserve"> et 1</w:t>
      </w:r>
      <w:r w:rsidR="00863382" w:rsidRPr="00177F9B">
        <w:rPr>
          <w:szCs w:val="24"/>
          <w:lang w:val="fr-BE"/>
        </w:rPr>
        <w:t>70</w:t>
      </w:r>
      <w:r w:rsidRPr="00177F9B">
        <w:rPr>
          <w:szCs w:val="24"/>
          <w:lang w:val="fr-BE"/>
        </w:rPr>
        <w:t xml:space="preserve"> de son règlement intérieur, </w:t>
      </w:r>
    </w:p>
    <w:p w14:paraId="2D129BD5" w14:textId="61F5B591" w:rsidR="00C84F77" w:rsidRPr="00177F9B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</w:rPr>
      </w:pPr>
      <w:r w:rsidRPr="00177F9B">
        <w:rPr>
          <w:szCs w:val="24"/>
        </w:rPr>
        <w:lastRenderedPageBreak/>
        <w:t>1.</w:t>
      </w:r>
      <w:r w:rsidRPr="00177F9B">
        <w:rPr>
          <w:szCs w:val="24"/>
        </w:rPr>
        <w:tab/>
        <w:t>arrête la position en première lecture figurant ci-après</w:t>
      </w:r>
      <w:r w:rsidR="00177F9B" w:rsidRPr="00177F9B">
        <w:rPr>
          <w:rStyle w:val="FootnoteReference"/>
          <w:szCs w:val="24"/>
        </w:rPr>
        <w:footnoteReference w:id="2"/>
      </w:r>
      <w:r w:rsidRPr="00177F9B">
        <w:rPr>
          <w:szCs w:val="24"/>
        </w:rPr>
        <w:t>;</w:t>
      </w:r>
    </w:p>
    <w:p w14:paraId="3DF0F38D" w14:textId="5E61B433" w:rsidR="00C84F77" w:rsidRPr="00177F9B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</w:rPr>
      </w:pPr>
      <w:r w:rsidRPr="00177F9B">
        <w:rPr>
          <w:szCs w:val="24"/>
        </w:rPr>
        <w:t>2</w:t>
      </w:r>
      <w:r w:rsidR="00177F9B">
        <w:rPr>
          <w:szCs w:val="24"/>
        </w:rPr>
        <w:t>.</w:t>
      </w:r>
      <w:r w:rsidRPr="00177F9B">
        <w:rPr>
          <w:szCs w:val="24"/>
        </w:rPr>
        <w:tab/>
        <w:t>demande à la Commission de le saisir à nouveau, si elle remplace, modifie de manière substantielle ou entend modifier de manière substantielle sa proposition;</w:t>
      </w:r>
    </w:p>
    <w:p w14:paraId="2D4E1A4F" w14:textId="28542709" w:rsidR="00277E81" w:rsidRDefault="00C84F77" w:rsidP="00D34116">
      <w:pPr>
        <w:pStyle w:val="FootnoteText"/>
        <w:ind w:left="567" w:hanging="567"/>
        <w:rPr>
          <w:i/>
          <w:szCs w:val="24"/>
        </w:rPr>
      </w:pPr>
      <w:r w:rsidRPr="00177F9B">
        <w:rPr>
          <w:sz w:val="24"/>
          <w:szCs w:val="24"/>
        </w:rPr>
        <w:t>3.</w:t>
      </w:r>
      <w:r w:rsidRPr="00177F9B">
        <w:rPr>
          <w:sz w:val="24"/>
          <w:szCs w:val="24"/>
        </w:rPr>
        <w:tab/>
        <w:t>charge s</w:t>
      </w:r>
      <w:r w:rsidR="00277E81" w:rsidRPr="00177F9B">
        <w:rPr>
          <w:sz w:val="24"/>
          <w:szCs w:val="24"/>
        </w:rPr>
        <w:t>a</w:t>
      </w:r>
      <w:r w:rsidRPr="00177F9B">
        <w:rPr>
          <w:sz w:val="24"/>
          <w:szCs w:val="24"/>
        </w:rPr>
        <w:t xml:space="preserve"> Président</w:t>
      </w:r>
      <w:r w:rsidR="00277E81" w:rsidRPr="00177F9B">
        <w:rPr>
          <w:sz w:val="24"/>
          <w:szCs w:val="24"/>
        </w:rPr>
        <w:t>e</w:t>
      </w:r>
      <w:r w:rsidRPr="00177F9B">
        <w:rPr>
          <w:sz w:val="24"/>
          <w:szCs w:val="24"/>
        </w:rPr>
        <w:t xml:space="preserve"> de transmettre la position du Parlement au Conseil et à la Commission ainsi qu’aux parlements nationaux.</w:t>
      </w:r>
    </w:p>
    <w:p w14:paraId="51E66C83" w14:textId="77777777" w:rsidR="00D34116" w:rsidRPr="00E21D8A" w:rsidRDefault="00D34116">
      <w:pPr>
        <w:rPr>
          <w:i/>
          <w:szCs w:val="24"/>
        </w:rPr>
        <w:sectPr w:rsidR="00D34116" w:rsidRPr="00E21D8A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0FDDC84A" w14:textId="7504618C" w:rsidR="00D12B1A" w:rsidRPr="00E21D8A" w:rsidRDefault="00D12B1A" w:rsidP="00D12B1A">
      <w:pPr>
        <w:spacing w:after="240"/>
        <w:rPr>
          <w:b/>
        </w:rPr>
      </w:pPr>
      <w:r w:rsidRPr="00E21D8A">
        <w:rPr>
          <w:b/>
        </w:rPr>
        <w:lastRenderedPageBreak/>
        <w:t>P</w:t>
      </w:r>
      <w:r w:rsidR="0071399A">
        <w:rPr>
          <w:b/>
        </w:rPr>
        <w:t>10</w:t>
      </w:r>
      <w:r w:rsidRPr="00E21D8A">
        <w:rPr>
          <w:b/>
        </w:rPr>
        <w:t>_</w:t>
      </w:r>
      <w:r w:rsidRPr="00A5080E">
        <w:rPr>
          <w:b/>
        </w:rPr>
        <w:t>TC1-COD(20</w:t>
      </w:r>
      <w:r w:rsidR="00252B47" w:rsidRPr="00A5080E">
        <w:rPr>
          <w:b/>
        </w:rPr>
        <w:t>2</w:t>
      </w:r>
      <w:r w:rsidR="00D3509F">
        <w:rPr>
          <w:b/>
        </w:rPr>
        <w:t>5</w:t>
      </w:r>
      <w:r w:rsidRPr="00A5080E">
        <w:rPr>
          <w:b/>
        </w:rPr>
        <w:t>)0</w:t>
      </w:r>
      <w:r w:rsidR="0029080C">
        <w:rPr>
          <w:b/>
        </w:rPr>
        <w:t>329</w:t>
      </w:r>
    </w:p>
    <w:p w14:paraId="2B4BDFB0" w14:textId="7673FB51" w:rsidR="00177F9B" w:rsidRDefault="00D12B1A" w:rsidP="00177F9B">
      <w:pPr>
        <w:pStyle w:val="Normal12"/>
        <w:spacing w:before="120"/>
        <w:rPr>
          <w:rFonts w:eastAsia="Calibri"/>
          <w:b/>
          <w:noProof/>
          <w:szCs w:val="22"/>
          <w:lang w:val="fr-BE" w:eastAsia="en-US"/>
        </w:rPr>
      </w:pPr>
      <w:r w:rsidRPr="00E21D8A">
        <w:rPr>
          <w:b/>
          <w:lang w:val="fr-BE"/>
        </w:rPr>
        <w:t xml:space="preserve">Position du Parlement européen arrêtée en première lecture le </w:t>
      </w:r>
      <w:r w:rsidR="00177F9B">
        <w:rPr>
          <w:b/>
          <w:lang w:val="fr-BE"/>
        </w:rPr>
        <w:t>17 décemb</w:t>
      </w:r>
      <w:r w:rsidR="0029080C">
        <w:rPr>
          <w:b/>
          <w:lang w:val="fr-BE"/>
        </w:rPr>
        <w:t>re</w:t>
      </w:r>
      <w:r w:rsidR="00A5080E">
        <w:rPr>
          <w:b/>
          <w:lang w:val="fr-BE"/>
        </w:rPr>
        <w:t xml:space="preserve"> 202</w:t>
      </w:r>
      <w:r w:rsidR="00D3509F">
        <w:rPr>
          <w:b/>
          <w:lang w:val="fr-BE"/>
        </w:rPr>
        <w:t>5</w:t>
      </w:r>
      <w:r w:rsidR="00275B68">
        <w:rPr>
          <w:b/>
          <w:lang w:val="fr-BE"/>
        </w:rPr>
        <w:t xml:space="preserve"> en vue de l’adoption d</w:t>
      </w:r>
      <w:r w:rsidR="0029080C">
        <w:rPr>
          <w:b/>
          <w:lang w:val="fr-BE"/>
        </w:rPr>
        <w:t>u règlement</w:t>
      </w:r>
      <w:r w:rsidRPr="00802DE7">
        <w:rPr>
          <w:b/>
          <w:lang w:val="fr-BE"/>
        </w:rPr>
        <w:t xml:space="preserve"> (UE) 202</w:t>
      </w:r>
      <w:r w:rsidR="008D56DA">
        <w:rPr>
          <w:b/>
          <w:lang w:val="fr-BE"/>
        </w:rPr>
        <w:t>5</w:t>
      </w:r>
      <w:r w:rsidRPr="00802DE7">
        <w:rPr>
          <w:b/>
          <w:lang w:val="fr-BE"/>
        </w:rPr>
        <w:t xml:space="preserve">/... du Parlement européen et du </w:t>
      </w:r>
      <w:bookmarkStart w:id="11" w:name="_Hlk194847095"/>
      <w:r w:rsidR="00863382">
        <w:rPr>
          <w:b/>
          <w:lang w:val="fr-BE"/>
        </w:rPr>
        <w:t xml:space="preserve">Conseil </w:t>
      </w:r>
      <w:r w:rsidR="00177F9B" w:rsidRPr="00177F9B">
        <w:rPr>
          <w:rFonts w:eastAsia="Calibri"/>
          <w:b/>
          <w:noProof/>
          <w:szCs w:val="22"/>
          <w:lang w:val="fr-BE" w:eastAsia="en-US"/>
        </w:rPr>
        <w:t>modifiant le règlement (UE) 2023/1115 en ce qui concerne certaines obligations incombant aux opérateurs et aux commerçants</w:t>
      </w:r>
    </w:p>
    <w:p w14:paraId="317E41A6" w14:textId="073FFF29" w:rsidR="008D56DA" w:rsidRPr="008D56DA" w:rsidRDefault="008D56DA" w:rsidP="008D56DA">
      <w:pPr>
        <w:pStyle w:val="Datedadoption"/>
        <w:spacing w:after="240" w:line="240" w:lineRule="auto"/>
        <w:jc w:val="left"/>
        <w:rPr>
          <w:rFonts w:eastAsia="Calibri"/>
          <w:b w:val="0"/>
          <w:noProof/>
          <w:szCs w:val="22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2025/</w:t>
      </w:r>
      <w:r>
        <w:rPr>
          <w:b w:val="0"/>
          <w:i/>
          <w:szCs w:val="24"/>
        </w:rPr>
        <w:t>2650</w:t>
      </w:r>
      <w:r w:rsidRPr="0070765D">
        <w:rPr>
          <w:b w:val="0"/>
          <w:i/>
          <w:szCs w:val="24"/>
        </w:rPr>
        <w:t>.)</w:t>
      </w:r>
    </w:p>
    <w:bookmarkEnd w:id="11"/>
    <w:sectPr w:rsidR="008D56DA" w:rsidRPr="008D56DA" w:rsidSect="008D56DA"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8953A" w14:textId="77777777" w:rsidR="006165D2" w:rsidRDefault="006165D2" w:rsidP="009C4014">
      <w:r>
        <w:separator/>
      </w:r>
    </w:p>
  </w:endnote>
  <w:endnote w:type="continuationSeparator" w:id="0">
    <w:p w14:paraId="6027009E" w14:textId="77777777" w:rsidR="006165D2" w:rsidRDefault="006165D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D7CAD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35641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26B39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634BD" w14:textId="77777777" w:rsidR="006165D2" w:rsidRDefault="006165D2" w:rsidP="009C4014">
      <w:r>
        <w:separator/>
      </w:r>
    </w:p>
  </w:footnote>
  <w:footnote w:type="continuationSeparator" w:id="0">
    <w:p w14:paraId="7C23E930" w14:textId="77777777" w:rsidR="006165D2" w:rsidRDefault="006165D2" w:rsidP="009C4014">
      <w:r>
        <w:continuationSeparator/>
      </w:r>
    </w:p>
  </w:footnote>
  <w:footnote w:id="1">
    <w:p w14:paraId="2A27D732" w14:textId="77777777" w:rsidR="00D12B1A" w:rsidRPr="00177F9B" w:rsidRDefault="00D12B1A" w:rsidP="00D12B1A">
      <w:pPr>
        <w:pStyle w:val="FootnoteText"/>
        <w:rPr>
          <w:sz w:val="24"/>
          <w:szCs w:val="24"/>
        </w:rPr>
      </w:pPr>
      <w:r w:rsidRPr="00177F9B">
        <w:rPr>
          <w:rStyle w:val="FootnoteReference"/>
          <w:sz w:val="24"/>
          <w:szCs w:val="24"/>
        </w:rPr>
        <w:footnoteRef/>
      </w:r>
      <w:r w:rsidRPr="00177F9B">
        <w:rPr>
          <w:sz w:val="24"/>
          <w:szCs w:val="24"/>
        </w:rPr>
        <w:t xml:space="preserve"> </w:t>
      </w:r>
      <w:r w:rsidRPr="00177F9B">
        <w:rPr>
          <w:sz w:val="24"/>
          <w:szCs w:val="24"/>
        </w:rPr>
        <w:tab/>
        <w:t>Non encore paru au Journal officiel.</w:t>
      </w:r>
    </w:p>
  </w:footnote>
  <w:footnote w:id="2">
    <w:p w14:paraId="2A4354C4" w14:textId="6E8B223C" w:rsidR="00177F9B" w:rsidRPr="00177F9B" w:rsidRDefault="00177F9B">
      <w:pPr>
        <w:pStyle w:val="FootnoteText"/>
        <w:rPr>
          <w:sz w:val="24"/>
          <w:szCs w:val="24"/>
          <w:lang w:val="fr-BE"/>
        </w:rPr>
      </w:pPr>
      <w:r w:rsidRPr="00177F9B">
        <w:rPr>
          <w:rStyle w:val="FootnoteReference"/>
          <w:sz w:val="24"/>
          <w:szCs w:val="24"/>
        </w:rPr>
        <w:footnoteRef/>
      </w:r>
      <w:r w:rsidRPr="00177F9B">
        <w:rPr>
          <w:sz w:val="24"/>
          <w:szCs w:val="24"/>
        </w:rPr>
        <w:t xml:space="preserve"> </w:t>
      </w:r>
      <w:r w:rsidRPr="00177F9B">
        <w:rPr>
          <w:sz w:val="24"/>
          <w:szCs w:val="24"/>
          <w:lang w:val="fr-BE"/>
        </w:rPr>
        <w:tab/>
        <w:t>La présente position remplace les amendements adoptés le 26 novembre 2025 (textes adoptés de cette date, P10_TA(2025)0295).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5C6D7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4808D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64F46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AC530B9"/>
    <w:multiLevelType w:val="hybridMultilevel"/>
    <w:tmpl w:val="4A088614"/>
    <w:lvl w:ilvl="0" w:tplc="A7B44EB0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17F5FF9"/>
    <w:multiLevelType w:val="hybridMultilevel"/>
    <w:tmpl w:val="1090E29A"/>
    <w:lvl w:ilvl="0" w:tplc="5F1E6A3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7D2701AA"/>
    <w:multiLevelType w:val="hybridMultilevel"/>
    <w:tmpl w:val="6C28B0E0"/>
    <w:lvl w:ilvl="0" w:tplc="36829DA0">
      <w:start w:val="1"/>
      <w:numFmt w:val="decimal"/>
      <w:lvlText w:val="%1."/>
      <w:lvlJc w:val="left"/>
      <w:pPr>
        <w:ind w:left="1015" w:hanging="360"/>
      </w:pPr>
    </w:lvl>
    <w:lvl w:ilvl="1" w:tplc="A5FAF38E">
      <w:start w:val="1"/>
      <w:numFmt w:val="lowerLetter"/>
      <w:lvlText w:val="%2."/>
      <w:lvlJc w:val="left"/>
      <w:pPr>
        <w:ind w:left="1735" w:hanging="360"/>
      </w:pPr>
    </w:lvl>
    <w:lvl w:ilvl="2" w:tplc="51348FEA">
      <w:start w:val="1"/>
      <w:numFmt w:val="lowerRoman"/>
      <w:lvlText w:val="%3."/>
      <w:lvlJc w:val="right"/>
      <w:pPr>
        <w:ind w:left="2455" w:hanging="180"/>
      </w:pPr>
    </w:lvl>
    <w:lvl w:ilvl="3" w:tplc="7B2E204C">
      <w:start w:val="1"/>
      <w:numFmt w:val="decimal"/>
      <w:lvlText w:val="%4."/>
      <w:lvlJc w:val="left"/>
      <w:pPr>
        <w:ind w:left="3175" w:hanging="360"/>
      </w:pPr>
    </w:lvl>
    <w:lvl w:ilvl="4" w:tplc="7182EB8C">
      <w:start w:val="1"/>
      <w:numFmt w:val="lowerLetter"/>
      <w:lvlText w:val="%5."/>
      <w:lvlJc w:val="left"/>
      <w:pPr>
        <w:ind w:left="3895" w:hanging="360"/>
      </w:pPr>
    </w:lvl>
    <w:lvl w:ilvl="5" w:tplc="E91A2406">
      <w:start w:val="1"/>
      <w:numFmt w:val="lowerRoman"/>
      <w:lvlText w:val="%6."/>
      <w:lvlJc w:val="right"/>
      <w:pPr>
        <w:ind w:left="4615" w:hanging="180"/>
      </w:pPr>
    </w:lvl>
    <w:lvl w:ilvl="6" w:tplc="3B4AF6D4">
      <w:start w:val="1"/>
      <w:numFmt w:val="decimal"/>
      <w:lvlText w:val="%7."/>
      <w:lvlJc w:val="left"/>
      <w:pPr>
        <w:ind w:left="5335" w:hanging="360"/>
      </w:pPr>
    </w:lvl>
    <w:lvl w:ilvl="7" w:tplc="C192B5E4">
      <w:start w:val="1"/>
      <w:numFmt w:val="lowerLetter"/>
      <w:lvlText w:val="%8."/>
      <w:lvlJc w:val="left"/>
      <w:pPr>
        <w:ind w:left="6055" w:hanging="360"/>
      </w:pPr>
    </w:lvl>
    <w:lvl w:ilvl="8" w:tplc="65F85E10">
      <w:start w:val="1"/>
      <w:numFmt w:val="lowerRoman"/>
      <w:lvlText w:val="%9."/>
      <w:lvlJc w:val="right"/>
      <w:pPr>
        <w:ind w:left="6775" w:hanging="180"/>
      </w:pPr>
    </w:lvl>
  </w:abstractNum>
  <w:abstractNum w:abstractNumId="10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32189212">
    <w:abstractNumId w:val="4"/>
  </w:num>
  <w:num w:numId="2" w16cid:durableId="1475679427">
    <w:abstractNumId w:val="2"/>
  </w:num>
  <w:num w:numId="3" w16cid:durableId="679770551">
    <w:abstractNumId w:val="1"/>
  </w:num>
  <w:num w:numId="4" w16cid:durableId="172577639">
    <w:abstractNumId w:val="0"/>
  </w:num>
  <w:num w:numId="5" w16cid:durableId="84041273">
    <w:abstractNumId w:val="8"/>
  </w:num>
  <w:num w:numId="6" w16cid:durableId="425539592">
    <w:abstractNumId w:val="7"/>
  </w:num>
  <w:num w:numId="7" w16cid:durableId="923339138">
    <w:abstractNumId w:val="5"/>
  </w:num>
  <w:num w:numId="8" w16cid:durableId="1020624260">
    <w:abstractNumId w:val="10"/>
  </w:num>
  <w:num w:numId="9" w16cid:durableId="338503600">
    <w:abstractNumId w:val="10"/>
  </w:num>
  <w:num w:numId="10" w16cid:durableId="1599370992">
    <w:abstractNumId w:val="9"/>
  </w:num>
  <w:num w:numId="11" w16cid:durableId="1325285117">
    <w:abstractNumId w:val="6"/>
  </w:num>
  <w:num w:numId="12" w16cid:durableId="13933872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5D2"/>
    <w:rsid w:val="00013B2A"/>
    <w:rsid w:val="000C2BFE"/>
    <w:rsid w:val="000F27A9"/>
    <w:rsid w:val="000F6208"/>
    <w:rsid w:val="00125CBC"/>
    <w:rsid w:val="00172070"/>
    <w:rsid w:val="00177F9B"/>
    <w:rsid w:val="00185E15"/>
    <w:rsid w:val="001D4BBF"/>
    <w:rsid w:val="001D63A8"/>
    <w:rsid w:val="001E04BD"/>
    <w:rsid w:val="001F4463"/>
    <w:rsid w:val="001F7244"/>
    <w:rsid w:val="002107FD"/>
    <w:rsid w:val="00244D7C"/>
    <w:rsid w:val="00252B47"/>
    <w:rsid w:val="00270EC3"/>
    <w:rsid w:val="00275B68"/>
    <w:rsid w:val="00277E81"/>
    <w:rsid w:val="0029080C"/>
    <w:rsid w:val="002924A9"/>
    <w:rsid w:val="002A1D4E"/>
    <w:rsid w:val="002B4BCF"/>
    <w:rsid w:val="002F1925"/>
    <w:rsid w:val="00300C61"/>
    <w:rsid w:val="00312A38"/>
    <w:rsid w:val="003202DD"/>
    <w:rsid w:val="00371341"/>
    <w:rsid w:val="003775B9"/>
    <w:rsid w:val="00397B2A"/>
    <w:rsid w:val="003D40F5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165D2"/>
    <w:rsid w:val="006656E5"/>
    <w:rsid w:val="00666512"/>
    <w:rsid w:val="00683F78"/>
    <w:rsid w:val="006A1E82"/>
    <w:rsid w:val="006A7C85"/>
    <w:rsid w:val="006A7CE5"/>
    <w:rsid w:val="006B1646"/>
    <w:rsid w:val="006C4306"/>
    <w:rsid w:val="006E5420"/>
    <w:rsid w:val="006E6C38"/>
    <w:rsid w:val="006F135E"/>
    <w:rsid w:val="00700F63"/>
    <w:rsid w:val="0071399A"/>
    <w:rsid w:val="00742568"/>
    <w:rsid w:val="00751383"/>
    <w:rsid w:val="00757DD5"/>
    <w:rsid w:val="00760EC5"/>
    <w:rsid w:val="007713FD"/>
    <w:rsid w:val="00774A9B"/>
    <w:rsid w:val="007906DB"/>
    <w:rsid w:val="007B16FE"/>
    <w:rsid w:val="007C3388"/>
    <w:rsid w:val="007D11E3"/>
    <w:rsid w:val="00802DE7"/>
    <w:rsid w:val="00815181"/>
    <w:rsid w:val="008512F3"/>
    <w:rsid w:val="00857458"/>
    <w:rsid w:val="00863382"/>
    <w:rsid w:val="00873A0F"/>
    <w:rsid w:val="00895FA0"/>
    <w:rsid w:val="008A7294"/>
    <w:rsid w:val="008B1C2E"/>
    <w:rsid w:val="008D56DA"/>
    <w:rsid w:val="008D7C16"/>
    <w:rsid w:val="008E7632"/>
    <w:rsid w:val="008F0108"/>
    <w:rsid w:val="008F7F1C"/>
    <w:rsid w:val="00907FE0"/>
    <w:rsid w:val="00916CEE"/>
    <w:rsid w:val="009865B7"/>
    <w:rsid w:val="009B7E10"/>
    <w:rsid w:val="009C4014"/>
    <w:rsid w:val="009F28EF"/>
    <w:rsid w:val="00A1739E"/>
    <w:rsid w:val="00A5080E"/>
    <w:rsid w:val="00AC161E"/>
    <w:rsid w:val="00B0484F"/>
    <w:rsid w:val="00B54C72"/>
    <w:rsid w:val="00B668E5"/>
    <w:rsid w:val="00B85C1E"/>
    <w:rsid w:val="00C15516"/>
    <w:rsid w:val="00C16C81"/>
    <w:rsid w:val="00C31CF5"/>
    <w:rsid w:val="00C57739"/>
    <w:rsid w:val="00C65BE8"/>
    <w:rsid w:val="00C84F77"/>
    <w:rsid w:val="00C97764"/>
    <w:rsid w:val="00CB21B9"/>
    <w:rsid w:val="00CB451F"/>
    <w:rsid w:val="00CC4897"/>
    <w:rsid w:val="00D12B1A"/>
    <w:rsid w:val="00D202A4"/>
    <w:rsid w:val="00D34116"/>
    <w:rsid w:val="00D3509F"/>
    <w:rsid w:val="00D91669"/>
    <w:rsid w:val="00DE0964"/>
    <w:rsid w:val="00DF097A"/>
    <w:rsid w:val="00DF53A8"/>
    <w:rsid w:val="00E039BF"/>
    <w:rsid w:val="00E11822"/>
    <w:rsid w:val="00E21D8A"/>
    <w:rsid w:val="00E73B02"/>
    <w:rsid w:val="00E74BF3"/>
    <w:rsid w:val="00EF3610"/>
    <w:rsid w:val="00F10BD2"/>
    <w:rsid w:val="00F177A4"/>
    <w:rsid w:val="00F24C65"/>
    <w:rsid w:val="00F54CF4"/>
    <w:rsid w:val="00F97E29"/>
    <w:rsid w:val="00FB1507"/>
    <w:rsid w:val="00FB3609"/>
    <w:rsid w:val="00FC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CA3B6"/>
  <w15:chartTrackingRefBased/>
  <w15:docId w15:val="{2CEB02FE-4BF1-400A-BC24-56C5622E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link w:val="Heading5Char"/>
    <w:uiPriority w:val="9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F9B"/>
    <w:pPr>
      <w:spacing w:before="240" w:after="60"/>
      <w:jc w:val="both"/>
      <w:outlineLvl w:val="5"/>
    </w:pPr>
    <w:rPr>
      <w:rFonts w:eastAsia="Aptos"/>
      <w:b/>
      <w:bCs/>
      <w:kern w:val="2"/>
      <w:sz w:val="22"/>
      <w:szCs w:val="2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F9B"/>
    <w:pPr>
      <w:spacing w:before="240" w:after="60"/>
      <w:jc w:val="both"/>
      <w:outlineLvl w:val="6"/>
    </w:pPr>
    <w:rPr>
      <w:rFonts w:eastAsia="Aptos"/>
      <w:kern w:val="2"/>
      <w:szCs w:val="24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F9B"/>
    <w:pPr>
      <w:spacing w:before="240" w:after="60"/>
      <w:jc w:val="both"/>
      <w:outlineLvl w:val="7"/>
    </w:pPr>
    <w:rPr>
      <w:rFonts w:eastAsia="Aptos"/>
      <w:i/>
      <w:iCs/>
      <w:kern w:val="2"/>
      <w:szCs w:val="24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F9B"/>
    <w:pPr>
      <w:keepNext/>
      <w:keepLines/>
      <w:spacing w:before="40"/>
      <w:outlineLvl w:val="8"/>
    </w:pPr>
    <w:rPr>
      <w:rFonts w:ascii="Aptos Display" w:hAnsi="Aptos Display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uiPriority w:val="99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1A"/>
    <w:rPr>
      <w:sz w:val="22"/>
      <w:lang w:val="fr-FR"/>
    </w:rPr>
  </w:style>
  <w:style w:type="character" w:styleId="Hyperlink">
    <w:name w:val="Hyperlink"/>
    <w:uiPriority w:val="99"/>
    <w:rsid w:val="00802DE7"/>
    <w:rPr>
      <w:color w:val="0000FF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F9B"/>
    <w:rPr>
      <w:rFonts w:eastAsia="Aptos"/>
      <w:b/>
      <w:bCs/>
      <w:kern w:val="2"/>
      <w:sz w:val="22"/>
      <w:szCs w:val="22"/>
      <w:lang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F9B"/>
    <w:rPr>
      <w:rFonts w:eastAsia="Aptos"/>
      <w:kern w:val="2"/>
      <w:sz w:val="24"/>
      <w:szCs w:val="24"/>
      <w:lang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F9B"/>
    <w:rPr>
      <w:rFonts w:eastAsia="Aptos"/>
      <w:i/>
      <w:iCs/>
      <w:kern w:val="2"/>
      <w:sz w:val="24"/>
      <w:szCs w:val="24"/>
      <w:lang w:eastAsia="en-US"/>
      <w14:ligatures w14:val="standardContextual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177F9B"/>
    <w:pPr>
      <w:spacing w:before="240" w:after="60"/>
      <w:jc w:val="both"/>
      <w:outlineLvl w:val="8"/>
    </w:pPr>
    <w:rPr>
      <w:rFonts w:ascii="Aptos Display" w:hAnsi="Aptos Display"/>
      <w:kern w:val="2"/>
      <w:sz w:val="22"/>
      <w:szCs w:val="22"/>
      <w:lang w:val="en-GB" w:eastAsia="en-US"/>
      <w14:ligatures w14:val="standardContextual"/>
    </w:rPr>
  </w:style>
  <w:style w:type="numbering" w:customStyle="1" w:styleId="NoList1">
    <w:name w:val="No List1"/>
    <w:next w:val="NoList"/>
    <w:uiPriority w:val="99"/>
    <w:semiHidden/>
    <w:unhideWhenUsed/>
    <w:rsid w:val="00177F9B"/>
  </w:style>
  <w:style w:type="character" w:customStyle="1" w:styleId="Heading1Char">
    <w:name w:val="Heading 1 Char"/>
    <w:basedOn w:val="DefaultParagraphFont"/>
    <w:link w:val="Heading1"/>
    <w:uiPriority w:val="9"/>
    <w:rsid w:val="00177F9B"/>
    <w:rPr>
      <w:b/>
      <w:kern w:val="28"/>
      <w:sz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177F9B"/>
    <w:rPr>
      <w:sz w:val="24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177F9B"/>
    <w:rPr>
      <w:rFonts w:ascii="Arial" w:hAnsi="Arial"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rsid w:val="00177F9B"/>
    <w:rPr>
      <w:sz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177F9B"/>
    <w:rPr>
      <w:sz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F9B"/>
    <w:rPr>
      <w:rFonts w:ascii="Aptos Display" w:eastAsia="Times New Roman" w:hAnsi="Aptos Display"/>
    </w:rPr>
  </w:style>
  <w:style w:type="paragraph" w:customStyle="1" w:styleId="Title1">
    <w:name w:val="Title1"/>
    <w:basedOn w:val="Normal"/>
    <w:next w:val="Normal"/>
    <w:uiPriority w:val="10"/>
    <w:qFormat/>
    <w:rsid w:val="00177F9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77F9B"/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177F9B"/>
    <w:pPr>
      <w:spacing w:after="60"/>
      <w:jc w:val="center"/>
      <w:outlineLvl w:val="1"/>
    </w:pPr>
    <w:rPr>
      <w:rFonts w:ascii="Arial" w:hAnsi="Arial" w:cs="Arial"/>
      <w:kern w:val="2"/>
      <w:szCs w:val="24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77F9B"/>
    <w:rPr>
      <w:rFonts w:ascii="Arial" w:eastAsia="Times New Roman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177F9B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177F9B"/>
    <w:rPr>
      <w:rFonts w:ascii="Aptos" w:hAnsi="Aptos"/>
      <w:b/>
      <w:i/>
      <w:iCs/>
    </w:rPr>
  </w:style>
  <w:style w:type="paragraph" w:styleId="NoSpacing">
    <w:name w:val="No Spacing"/>
    <w:basedOn w:val="Normal"/>
    <w:uiPriority w:val="1"/>
    <w:qFormat/>
    <w:rsid w:val="00177F9B"/>
    <w:pPr>
      <w:jc w:val="both"/>
    </w:pPr>
    <w:rPr>
      <w:rFonts w:eastAsia="Aptos"/>
      <w:kern w:val="2"/>
      <w:szCs w:val="32"/>
      <w:lang w:val="en-GB"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177F9B"/>
    <w:pPr>
      <w:ind w:left="720"/>
      <w:contextualSpacing/>
      <w:jc w:val="both"/>
    </w:pPr>
    <w:rPr>
      <w:rFonts w:eastAsia="Aptos"/>
      <w:kern w:val="2"/>
      <w:szCs w:val="24"/>
      <w:lang w:val="en-GB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177F9B"/>
    <w:pPr>
      <w:jc w:val="both"/>
    </w:pPr>
    <w:rPr>
      <w:rFonts w:eastAsia="Aptos"/>
      <w:i/>
      <w:kern w:val="2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77F9B"/>
    <w:rPr>
      <w:rFonts w:eastAsia="Aptos"/>
      <w:i/>
      <w:kern w:val="2"/>
      <w:sz w:val="24"/>
      <w:szCs w:val="24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F9B"/>
    <w:pPr>
      <w:ind w:left="720" w:right="720"/>
      <w:jc w:val="both"/>
    </w:pPr>
    <w:rPr>
      <w:rFonts w:eastAsia="Aptos"/>
      <w:b/>
      <w:i/>
      <w:kern w:val="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F9B"/>
    <w:rPr>
      <w:rFonts w:eastAsia="Aptos"/>
      <w:b/>
      <w:i/>
      <w:kern w:val="2"/>
      <w:sz w:val="24"/>
      <w:szCs w:val="22"/>
      <w:lang w:eastAsia="en-US"/>
      <w14:ligatures w14:val="standardContextual"/>
    </w:rPr>
  </w:style>
  <w:style w:type="character" w:customStyle="1" w:styleId="SubtleEmphasis1">
    <w:name w:val="Subtle Emphasis1"/>
    <w:uiPriority w:val="19"/>
    <w:qFormat/>
    <w:rsid w:val="00177F9B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177F9B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77F9B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77F9B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177F9B"/>
    <w:rPr>
      <w:rFonts w:ascii="Aptos Display" w:eastAsia="Times New Roman" w:hAnsi="Aptos Display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7F9B"/>
    <w:pPr>
      <w:keepLines w:val="0"/>
      <w:spacing w:before="240" w:after="60"/>
      <w:ind w:left="0" w:firstLine="0"/>
      <w:jc w:val="both"/>
      <w:outlineLvl w:val="9"/>
    </w:pPr>
    <w:rPr>
      <w:rFonts w:ascii="Arial" w:hAnsi="Arial" w:cs="Arial"/>
      <w:bCs/>
      <w:kern w:val="32"/>
      <w:sz w:val="32"/>
      <w:szCs w:val="32"/>
      <w:lang w:val="en-GB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177F9B"/>
    <w:rPr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177F9B"/>
    <w:rPr>
      <w:sz w:val="22"/>
      <w:lang w:val="fr-FR"/>
    </w:rPr>
  </w:style>
  <w:style w:type="paragraph" w:styleId="Revision">
    <w:name w:val="Revision"/>
    <w:hidden/>
    <w:uiPriority w:val="99"/>
    <w:semiHidden/>
    <w:rsid w:val="00177F9B"/>
    <w:rPr>
      <w:rFonts w:eastAsia="Aptos"/>
      <w:kern w:val="2"/>
      <w:sz w:val="24"/>
      <w:szCs w:val="24"/>
      <w:lang w:eastAsia="en-US"/>
      <w14:ligatures w14:val="standardContextual"/>
    </w:rPr>
  </w:style>
  <w:style w:type="paragraph" w:customStyle="1" w:styleId="Annexetitre">
    <w:name w:val="Annexe titre"/>
    <w:basedOn w:val="Normal"/>
    <w:next w:val="Normal"/>
    <w:rsid w:val="00177F9B"/>
    <w:pPr>
      <w:spacing w:before="120" w:after="120"/>
      <w:jc w:val="center"/>
    </w:pPr>
    <w:rPr>
      <w:rFonts w:eastAsia="Aptos"/>
      <w:b/>
      <w:szCs w:val="22"/>
      <w:u w:val="single"/>
      <w:lang w:eastAsia="en-US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177F9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177F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7F9B"/>
    <w:pPr>
      <w:jc w:val="both"/>
    </w:pPr>
    <w:rPr>
      <w:rFonts w:eastAsia="Aptos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7F9B"/>
    <w:rPr>
      <w:rFonts w:eastAsia="Aptos"/>
      <w:kern w:val="2"/>
      <w:lang w:eastAsia="en-US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77F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77F9B"/>
    <w:rPr>
      <w:rFonts w:eastAsia="Aptos"/>
      <w:b/>
      <w:bCs/>
      <w:kern w:val="2"/>
      <w:lang w:eastAsia="en-US"/>
      <w14:ligatures w14:val="standardContextual"/>
    </w:rPr>
  </w:style>
  <w:style w:type="character" w:customStyle="1" w:styleId="Heading9Char1">
    <w:name w:val="Heading 9 Char1"/>
    <w:basedOn w:val="DefaultParagraphFont"/>
    <w:semiHidden/>
    <w:rsid w:val="00177F9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177F9B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177F9B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F9B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177F9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r-FR"/>
    </w:rPr>
  </w:style>
  <w:style w:type="character" w:styleId="Emphasis">
    <w:name w:val="Emphasis"/>
    <w:basedOn w:val="DefaultParagraphFont"/>
    <w:qFormat/>
    <w:rsid w:val="00177F9B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177F9B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177F9B"/>
    <w:rPr>
      <w:b/>
      <w:bCs/>
      <w:i/>
      <w:iCs/>
      <w:spacing w:val="5"/>
    </w:rPr>
  </w:style>
  <w:style w:type="paragraph" w:customStyle="1" w:styleId="Datedadoption">
    <w:name w:val="Date d'adoption"/>
    <w:basedOn w:val="Normal"/>
    <w:next w:val="Normal"/>
    <w:rsid w:val="008D56DA"/>
    <w:pPr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0EB55-C090-4BA5-B251-C6993EB6D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324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DELECROIX Dorothee</dc:creator>
  <cp:keywords/>
  <cp:lastModifiedBy>DELECROIX Dorothee</cp:lastModifiedBy>
  <cp:revision>2</cp:revision>
  <cp:lastPrinted>2014-08-07T13:15:00Z</cp:lastPrinted>
  <dcterms:created xsi:type="dcterms:W3CDTF">2026-02-17T10:32:00Z</dcterms:created>
  <dcterms:modified xsi:type="dcterms:W3CDTF">2026-02-17T10:32:00Z</dcterms:modified>
</cp:coreProperties>
</file>