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00C0155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DF6200" w14:textId="77777777" w:rsidR="00757DD5" w:rsidRPr="00695D15" w:rsidRDefault="00822E7E" w:rsidP="00425111">
            <w:pPr>
              <w:pStyle w:val="EPName"/>
              <w:rPr>
                <w:lang w:val="en-GB"/>
              </w:rPr>
            </w:pPr>
            <w:r>
              <w:rPr>
                <w:lang w:val="en-GB"/>
              </w:rPr>
              <w:t xml:space="preserve">Europos </w:t>
            </w:r>
            <w:proofErr w:type="spellStart"/>
            <w:r>
              <w:rPr>
                <w:lang w:val="en-GB"/>
              </w:rPr>
              <w:t>Parlamentas</w:t>
            </w:r>
            <w:proofErr w:type="spellEnd"/>
          </w:p>
          <w:p w14:paraId="0DBF6921" w14:textId="77777777" w:rsidR="00757DD5" w:rsidRPr="00695D15" w:rsidRDefault="00822E7E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330C346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7104702C" wp14:editId="52503B3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FEA9CE" w14:textId="77777777" w:rsidR="008E7632" w:rsidRPr="00061199" w:rsidRDefault="008E7632" w:rsidP="008E7632">
      <w:pPr>
        <w:pStyle w:val="LineTop"/>
        <w:rPr>
          <w:lang w:val="en-GB"/>
        </w:rPr>
      </w:pPr>
    </w:p>
    <w:p w14:paraId="3BC52B75" w14:textId="77777777" w:rsidR="008E7632" w:rsidRPr="00822E7E" w:rsidRDefault="00822E7E" w:rsidP="008E7632">
      <w:pPr>
        <w:pStyle w:val="ZSessionDoc"/>
        <w:rPr>
          <w:b/>
          <w:i w:val="0"/>
        </w:rPr>
      </w:pPr>
      <w:r w:rsidRPr="00822E7E">
        <w:rPr>
          <w:b/>
          <w:i w:val="0"/>
        </w:rPr>
        <w:t>PRIIMTI TEKSTAI</w:t>
      </w:r>
    </w:p>
    <w:p w14:paraId="1620F642" w14:textId="77777777" w:rsidR="008E7632" w:rsidRPr="00061199" w:rsidRDefault="00822E7E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0993F1C9" w14:textId="33208F92" w:rsidR="009C4014" w:rsidRPr="006E5420" w:rsidRDefault="00822E7E" w:rsidP="008E7632">
      <w:pPr>
        <w:pStyle w:val="ATHeading1"/>
        <w:spacing w:before="480"/>
        <w:rPr>
          <w:lang w:val="en-GB"/>
        </w:rPr>
      </w:pPr>
      <w:bookmarkStart w:id="0" w:name="TA_Heading"/>
      <w:r w:rsidRPr="00322B8F">
        <w:rPr>
          <w:lang w:val="en-GB"/>
        </w:rPr>
        <w:t>P10_TA(2025)</w:t>
      </w:r>
      <w:bookmarkStart w:id="1" w:name="TANumber"/>
      <w:bookmarkEnd w:id="0"/>
      <w:r w:rsidRPr="00322B8F">
        <w:rPr>
          <w:lang w:val="en-GB"/>
        </w:rPr>
        <w:t>0</w:t>
      </w:r>
      <w:r w:rsidR="007645D9">
        <w:rPr>
          <w:lang w:val="en-GB"/>
        </w:rPr>
        <w:t>331</w:t>
      </w:r>
      <w:bookmarkEnd w:id="1"/>
    </w:p>
    <w:p w14:paraId="0BAF5B27" w14:textId="47B3B933" w:rsidR="009C4014" w:rsidRPr="00822E7E" w:rsidRDefault="003255F1" w:rsidP="00822E7E">
      <w:pPr>
        <w:pStyle w:val="ATHeading2"/>
        <w:rPr>
          <w:lang w:val="en-GB"/>
        </w:rPr>
      </w:pPr>
      <w:bookmarkStart w:id="2" w:name="Etoiles"/>
      <w:bookmarkEnd w:id="2"/>
      <w:r w:rsidRPr="003255F1">
        <w:rPr>
          <w:lang w:val="en-GB"/>
        </w:rPr>
        <w:t>Kovos su miškų naikinimu reglamentas: tam tikros veiklos vykdytojų ir prekiautojų pareigos</w:t>
      </w:r>
    </w:p>
    <w:p w14:paraId="6148A44F" w14:textId="2DEF4642" w:rsidR="009C4014" w:rsidRPr="006E5420" w:rsidRDefault="009C4014" w:rsidP="009C4014">
      <w:pPr>
        <w:rPr>
          <w:i/>
          <w:vanish/>
          <w:lang w:val="en-GB"/>
        </w:rPr>
      </w:pPr>
      <w:r>
        <w:rPr>
          <w:i/>
        </w:rPr>
        <w:fldChar w:fldCharType="begin"/>
      </w:r>
      <w:r w:rsidRPr="006E5420">
        <w:rPr>
          <w:i/>
          <w:lang w:val="en-GB"/>
        </w:rPr>
        <w:instrText xml:space="preserve"> TC"</w:instrText>
      </w:r>
      <w:bookmarkStart w:id="3" w:name="DocNumber"/>
      <w:r w:rsidR="00822E7E" w:rsidRPr="00822E7E">
        <w:rPr>
          <w:i/>
          <w:lang w:val="en-GB"/>
        </w:rPr>
        <w:instrText>(C10-0263/2025</w:instrText>
      </w:r>
      <w:r w:rsidR="00EE1A2E">
        <w:rPr>
          <w:i/>
          <w:lang w:val="en-GB"/>
        </w:rPr>
        <w:instrText xml:space="preserve"> </w:instrText>
      </w:r>
      <w:r w:rsidR="00EE1A2E" w:rsidRPr="00EE1A2E">
        <w:rPr>
          <w:i/>
          <w:lang w:val="en-GB"/>
        </w:rPr>
        <w:instrText>- Pranešėja: Christine Schneider</w:instrText>
      </w:r>
      <w:r w:rsidR="00822E7E" w:rsidRPr="00822E7E">
        <w:rPr>
          <w:i/>
          <w:lang w:val="en-GB"/>
        </w:rPr>
        <w:instrText>)</w:instrText>
      </w:r>
      <w:bookmarkEnd w:id="3"/>
      <w:r w:rsidRPr="006E5420">
        <w:rPr>
          <w:i/>
          <w:lang w:val="en-GB"/>
        </w:rPr>
        <w:instrText xml:space="preserve">"\l3 \n&gt; \* MERGEFORMAT </w:instrText>
      </w:r>
      <w:r>
        <w:rPr>
          <w:i/>
        </w:rPr>
        <w:fldChar w:fldCharType="end"/>
      </w:r>
    </w:p>
    <w:p w14:paraId="3AD44CEE" w14:textId="77777777" w:rsidR="00822E7E" w:rsidRPr="00822E7E" w:rsidRDefault="00822E7E" w:rsidP="009C4014">
      <w:pPr>
        <w:rPr>
          <w:vanish/>
          <w:lang w:val="en-GB"/>
        </w:rPr>
      </w:pPr>
      <w:bookmarkStart w:id="4" w:name="Commission"/>
      <w:r w:rsidRPr="00822E7E">
        <w:rPr>
          <w:vanish/>
          <w:lang w:val="en-GB"/>
        </w:rPr>
        <w:t>Biudžeto komitetas, Ekonomikos ir pinigų politikos komitetas</w:t>
      </w:r>
    </w:p>
    <w:p w14:paraId="7D982551" w14:textId="73CDBB5A" w:rsidR="009C4014" w:rsidRPr="006E5420" w:rsidRDefault="00822E7E" w:rsidP="009C4014">
      <w:pPr>
        <w:rPr>
          <w:vanish/>
          <w:lang w:val="en-GB"/>
        </w:rPr>
      </w:pPr>
      <w:bookmarkStart w:id="5" w:name="PE"/>
      <w:bookmarkEnd w:id="4"/>
      <w:r w:rsidRPr="00322B8F">
        <w:rPr>
          <w:vanish/>
          <w:lang w:val="en-GB"/>
        </w:rPr>
        <w:t>PE</w:t>
      </w:r>
      <w:r w:rsidR="00EE1A2E">
        <w:rPr>
          <w:vanish/>
          <w:lang w:val="en-GB"/>
        </w:rPr>
        <w:t>78</w:t>
      </w:r>
      <w:r w:rsidRPr="00322B8F">
        <w:rPr>
          <w:vanish/>
          <w:lang w:val="en-GB"/>
        </w:rPr>
        <w:t>0.0</w:t>
      </w:r>
      <w:r w:rsidR="00EE1A2E">
        <w:rPr>
          <w:vanish/>
          <w:lang w:val="en-GB"/>
        </w:rPr>
        <w:t>35</w:t>
      </w:r>
      <w:bookmarkEnd w:id="5"/>
    </w:p>
    <w:p w14:paraId="50DC92FB" w14:textId="334EC865" w:rsidR="009C4014" w:rsidRPr="00822E7E" w:rsidRDefault="00822E7E" w:rsidP="00822E7E">
      <w:pPr>
        <w:pStyle w:val="ATHeading3"/>
        <w:rPr>
          <w:lang w:val="en-GB"/>
        </w:rPr>
      </w:pPr>
      <w:bookmarkStart w:id="6" w:name="Sujet"/>
      <w:r w:rsidRPr="00822E7E">
        <w:rPr>
          <w:lang w:val="en-GB"/>
        </w:rPr>
        <w:t xml:space="preserve">2025 m. </w:t>
      </w:r>
      <w:r w:rsidR="003255F1">
        <w:rPr>
          <w:lang w:val="en-GB"/>
        </w:rPr>
        <w:t xml:space="preserve">gruodžio </w:t>
      </w:r>
      <w:r w:rsidR="00671F67">
        <w:rPr>
          <w:lang w:val="en-GB"/>
        </w:rPr>
        <w:t>17</w:t>
      </w:r>
      <w:r w:rsidR="00671F67" w:rsidRPr="00822E7E">
        <w:rPr>
          <w:lang w:val="en-GB"/>
        </w:rPr>
        <w:t xml:space="preserve"> </w:t>
      </w:r>
      <w:r w:rsidRPr="00822E7E">
        <w:rPr>
          <w:lang w:val="en-GB"/>
        </w:rPr>
        <w:t xml:space="preserve">d. Europos Parlamento teisėkūros rezoliucija dėl pasiūlymo dėl Europos Parlamento ir Tarybos reglamento, </w:t>
      </w:r>
      <w:bookmarkEnd w:id="6"/>
      <w:r w:rsidR="003255F1" w:rsidRPr="003255F1">
        <w:rPr>
          <w:lang w:val="en-GB"/>
        </w:rPr>
        <w:t>kuriuo dėl veiklos vykdytojų ir prekiautojų tam tikrų pareigų iš dalies keičiamas Reglamentas (ES) 2023/1115</w:t>
      </w:r>
      <w:r w:rsidR="00E73B02" w:rsidRPr="00822E7E">
        <w:rPr>
          <w:lang w:val="en-GB"/>
        </w:rPr>
        <w:t xml:space="preserve"> </w:t>
      </w:r>
      <w:bookmarkStart w:id="7" w:name="References"/>
      <w:r w:rsidRPr="00322B8F">
        <w:rPr>
          <w:lang w:val="en-GB"/>
        </w:rPr>
        <w:t>(COM(2025)0</w:t>
      </w:r>
      <w:r w:rsidR="003255F1" w:rsidRPr="00322B8F">
        <w:rPr>
          <w:lang w:val="en-GB"/>
        </w:rPr>
        <w:t>652</w:t>
      </w:r>
      <w:r w:rsidRPr="00322B8F">
        <w:rPr>
          <w:lang w:val="en-GB"/>
        </w:rPr>
        <w:t xml:space="preserve"> - C10-0</w:t>
      </w:r>
      <w:r w:rsidR="003255F1" w:rsidRPr="00322B8F">
        <w:rPr>
          <w:lang w:val="en-GB"/>
        </w:rPr>
        <w:t>263</w:t>
      </w:r>
      <w:r w:rsidRPr="00322B8F">
        <w:rPr>
          <w:lang w:val="en-GB"/>
        </w:rPr>
        <w:t>/2025 - 2025/0</w:t>
      </w:r>
      <w:r w:rsidR="003255F1" w:rsidRPr="00322B8F">
        <w:rPr>
          <w:lang w:val="en-GB"/>
        </w:rPr>
        <w:t>329</w:t>
      </w:r>
      <w:r w:rsidRPr="00322B8F">
        <w:rPr>
          <w:lang w:val="en-GB"/>
        </w:rPr>
        <w:t>(COD))</w:t>
      </w:r>
      <w:bookmarkEnd w:id="7"/>
    </w:p>
    <w:p w14:paraId="51F1E0AB" w14:textId="77777777" w:rsidR="003255F1" w:rsidRPr="003255F1" w:rsidRDefault="003255F1" w:rsidP="003255F1">
      <w:pPr>
        <w:pStyle w:val="Normal12"/>
        <w:rPr>
          <w:b/>
          <w:szCs w:val="24"/>
          <w:lang w:val="lt-LT"/>
        </w:rPr>
      </w:pPr>
      <w:bookmarkStart w:id="8" w:name="TextBodyBegin"/>
      <w:bookmarkEnd w:id="8"/>
      <w:r w:rsidRPr="003255F1">
        <w:rPr>
          <w:b/>
          <w:szCs w:val="24"/>
          <w:lang w:val="lt-LT"/>
        </w:rPr>
        <w:t>(Įprasta teisėkūros procedūra: pirmasis svarstymas)</w:t>
      </w:r>
    </w:p>
    <w:p w14:paraId="4744EA4B" w14:textId="77777777" w:rsidR="003255F1" w:rsidRPr="003255F1" w:rsidRDefault="003255F1" w:rsidP="003255F1">
      <w:pPr>
        <w:pStyle w:val="Normal12"/>
        <w:rPr>
          <w:i/>
          <w:szCs w:val="24"/>
          <w:lang w:val="lt-LT"/>
        </w:rPr>
      </w:pPr>
      <w:r w:rsidRPr="003255F1">
        <w:rPr>
          <w:i/>
          <w:szCs w:val="24"/>
          <w:lang w:val="lt-LT"/>
        </w:rPr>
        <w:t>Europos Parlamentas,</w:t>
      </w:r>
    </w:p>
    <w:p w14:paraId="39DD27D9" w14:textId="165CB548" w:rsidR="003255F1" w:rsidRPr="003255F1" w:rsidRDefault="003255F1" w:rsidP="003255F1">
      <w:pPr>
        <w:pStyle w:val="Normal12"/>
        <w:ind w:left="567" w:hanging="567"/>
        <w:rPr>
          <w:szCs w:val="24"/>
          <w:lang w:val="lt-LT"/>
        </w:rPr>
      </w:pPr>
      <w:r w:rsidRPr="003255F1">
        <w:rPr>
          <w:szCs w:val="24"/>
          <w:lang w:val="lt-LT"/>
        </w:rPr>
        <w:t>–</w:t>
      </w:r>
      <w:r w:rsidRPr="003255F1">
        <w:rPr>
          <w:szCs w:val="24"/>
          <w:lang w:val="lt-LT"/>
        </w:rPr>
        <w:tab/>
        <w:t>atsižvelgdamas į Komisijos pasiūlymą Europos Parlamentui ir Tarybai (COM(2025)0</w:t>
      </w:r>
      <w:r>
        <w:rPr>
          <w:szCs w:val="24"/>
          <w:lang w:val="lt-LT"/>
        </w:rPr>
        <w:t>652</w:t>
      </w:r>
      <w:r w:rsidRPr="003255F1">
        <w:rPr>
          <w:szCs w:val="24"/>
          <w:lang w:val="lt-LT"/>
        </w:rPr>
        <w:t>),</w:t>
      </w:r>
    </w:p>
    <w:p w14:paraId="744E792F" w14:textId="52D0DD8C" w:rsidR="003255F1" w:rsidRPr="003255F1" w:rsidRDefault="003255F1" w:rsidP="003255F1">
      <w:pPr>
        <w:pStyle w:val="Normal12"/>
        <w:ind w:left="567" w:hanging="567"/>
        <w:rPr>
          <w:szCs w:val="24"/>
          <w:lang w:val="lt-LT"/>
        </w:rPr>
      </w:pPr>
      <w:r w:rsidRPr="003255F1">
        <w:rPr>
          <w:szCs w:val="24"/>
          <w:lang w:val="lt-LT"/>
        </w:rPr>
        <w:t>–</w:t>
      </w:r>
      <w:r w:rsidRPr="003255F1">
        <w:rPr>
          <w:szCs w:val="24"/>
          <w:lang w:val="lt-LT"/>
        </w:rPr>
        <w:tab/>
        <w:t xml:space="preserve">atsižvelgdamas į Sutarties dėl Europos Sąjungos veikimo 294 straipsnio 2 dalį ir </w:t>
      </w:r>
      <w:r>
        <w:rPr>
          <w:szCs w:val="24"/>
          <w:lang w:val="lt-LT"/>
        </w:rPr>
        <w:t>192</w:t>
      </w:r>
      <w:r w:rsidRPr="003255F1">
        <w:rPr>
          <w:szCs w:val="24"/>
          <w:lang w:val="lt-LT"/>
        </w:rPr>
        <w:t> straipsn</w:t>
      </w:r>
      <w:r>
        <w:rPr>
          <w:szCs w:val="24"/>
          <w:lang w:val="lt-LT"/>
        </w:rPr>
        <w:t>io 1 dal</w:t>
      </w:r>
      <w:r w:rsidRPr="003255F1">
        <w:rPr>
          <w:szCs w:val="24"/>
          <w:lang w:val="lt-LT"/>
        </w:rPr>
        <w:t>į, pagal kuri</w:t>
      </w:r>
      <w:r>
        <w:rPr>
          <w:szCs w:val="24"/>
          <w:lang w:val="lt-LT"/>
        </w:rPr>
        <w:t>a</w:t>
      </w:r>
      <w:r w:rsidRPr="003255F1">
        <w:rPr>
          <w:szCs w:val="24"/>
          <w:lang w:val="lt-LT"/>
        </w:rPr>
        <w:t>s Komisija pateikė pasiūlymą Parlamentui (C10</w:t>
      </w:r>
      <w:r w:rsidRPr="003255F1">
        <w:rPr>
          <w:szCs w:val="24"/>
          <w:lang w:val="lt-LT"/>
        </w:rPr>
        <w:noBreakHyphen/>
        <w:t>0</w:t>
      </w:r>
      <w:r>
        <w:rPr>
          <w:szCs w:val="24"/>
          <w:lang w:val="lt-LT"/>
        </w:rPr>
        <w:t>263</w:t>
      </w:r>
      <w:r w:rsidRPr="003255F1">
        <w:rPr>
          <w:szCs w:val="24"/>
          <w:lang w:val="lt-LT"/>
        </w:rPr>
        <w:t>/2025),</w:t>
      </w:r>
    </w:p>
    <w:p w14:paraId="018BF99D" w14:textId="77777777" w:rsidR="003255F1" w:rsidRPr="003255F1" w:rsidRDefault="003255F1" w:rsidP="003255F1">
      <w:pPr>
        <w:pStyle w:val="Normal12"/>
        <w:ind w:left="567" w:hanging="567"/>
        <w:rPr>
          <w:szCs w:val="24"/>
          <w:lang w:val="lt-LT"/>
        </w:rPr>
      </w:pPr>
      <w:r w:rsidRPr="003255F1">
        <w:rPr>
          <w:szCs w:val="24"/>
          <w:lang w:val="lt-LT"/>
        </w:rPr>
        <w:t>–</w:t>
      </w:r>
      <w:r w:rsidRPr="003255F1">
        <w:rPr>
          <w:szCs w:val="24"/>
          <w:lang w:val="lt-LT"/>
        </w:rPr>
        <w:tab/>
        <w:t>atsižvelgdamas į Sutarties dėl Europos Sąjungos veikimo 294 straipsnio 3 dalį,</w:t>
      </w:r>
    </w:p>
    <w:p w14:paraId="71F3A11F" w14:textId="0535F853" w:rsidR="003255F1" w:rsidRDefault="003255F1" w:rsidP="003255F1">
      <w:pPr>
        <w:pStyle w:val="Normal12"/>
        <w:ind w:left="567" w:hanging="567"/>
        <w:rPr>
          <w:szCs w:val="24"/>
          <w:lang w:val="lt-LT"/>
        </w:rPr>
      </w:pPr>
      <w:r w:rsidRPr="003255F1">
        <w:rPr>
          <w:szCs w:val="24"/>
          <w:lang w:val="lt-LT"/>
        </w:rPr>
        <w:t>–</w:t>
      </w:r>
      <w:r w:rsidRPr="003255F1">
        <w:rPr>
          <w:szCs w:val="24"/>
          <w:lang w:val="lt-LT"/>
        </w:rPr>
        <w:tab/>
        <w:t xml:space="preserve">atsižvelgdamas į 2025 m. </w:t>
      </w:r>
      <w:r>
        <w:rPr>
          <w:szCs w:val="24"/>
          <w:lang w:val="lt-LT"/>
        </w:rPr>
        <w:t xml:space="preserve">gruodžio </w:t>
      </w:r>
      <w:r w:rsidR="00086424">
        <w:rPr>
          <w:szCs w:val="24"/>
          <w:lang w:val="lt-LT"/>
        </w:rPr>
        <w:t>3</w:t>
      </w:r>
      <w:r w:rsidR="00812514" w:rsidRPr="003255F1">
        <w:rPr>
          <w:szCs w:val="24"/>
          <w:lang w:val="lt-LT"/>
        </w:rPr>
        <w:t> </w:t>
      </w:r>
      <w:r w:rsidRPr="003255F1">
        <w:rPr>
          <w:szCs w:val="24"/>
          <w:lang w:val="lt-LT"/>
        </w:rPr>
        <w:t>d. Europos ekonomikos ir socialinių reikalų komiteto nuomonę</w:t>
      </w:r>
      <w:r w:rsidRPr="003255F1">
        <w:rPr>
          <w:szCs w:val="24"/>
          <w:vertAlign w:val="superscript"/>
          <w:lang w:val="lt-LT"/>
        </w:rPr>
        <w:footnoteReference w:id="1"/>
      </w:r>
      <w:r w:rsidRPr="003255F1">
        <w:rPr>
          <w:szCs w:val="24"/>
          <w:lang w:val="lt-LT"/>
        </w:rPr>
        <w:t>,</w:t>
      </w:r>
    </w:p>
    <w:p w14:paraId="36A78F96" w14:textId="2FC016E2" w:rsidR="003255F1" w:rsidRDefault="003255F1" w:rsidP="003255F1">
      <w:pPr>
        <w:pStyle w:val="Normal12"/>
        <w:ind w:left="567" w:hanging="567"/>
        <w:rPr>
          <w:szCs w:val="24"/>
          <w:lang w:val="lt-LT"/>
        </w:rPr>
      </w:pPr>
      <w:r w:rsidRPr="003255F1">
        <w:rPr>
          <w:szCs w:val="24"/>
          <w:lang w:val="lt-LT"/>
        </w:rPr>
        <w:t>–</w:t>
      </w:r>
      <w:r w:rsidRPr="003255F1">
        <w:rPr>
          <w:szCs w:val="24"/>
          <w:lang w:val="lt-LT"/>
        </w:rPr>
        <w:tab/>
      </w:r>
      <w:r>
        <w:rPr>
          <w:szCs w:val="24"/>
          <w:lang w:val="lt-LT"/>
        </w:rPr>
        <w:t>pasikonsultavęs su Regionų komitetu,</w:t>
      </w:r>
    </w:p>
    <w:p w14:paraId="30AFEA91" w14:textId="27F1A89E" w:rsidR="00EE1A2E" w:rsidRPr="00EE1A2E" w:rsidRDefault="00EE1A2E" w:rsidP="00EE1A2E">
      <w:pPr>
        <w:pStyle w:val="Normal12"/>
        <w:ind w:left="567" w:hanging="567"/>
        <w:rPr>
          <w:szCs w:val="24"/>
          <w:lang w:val="lt-LT"/>
        </w:rPr>
      </w:pPr>
      <w:r w:rsidRPr="00EE1A2E">
        <w:rPr>
          <w:szCs w:val="24"/>
          <w:lang w:val="lt-LT"/>
        </w:rPr>
        <w:t>–</w:t>
      </w:r>
      <w:r w:rsidRPr="00EE1A2E">
        <w:rPr>
          <w:szCs w:val="24"/>
          <w:lang w:val="lt-LT"/>
        </w:rPr>
        <w:tab/>
        <w:t xml:space="preserve">atsižvelgdamas į preliminarų susitarimą, kurį atsakingas komitetas patvirtino pagal Darbo tvarkos taisyklių 75 straipsnio 4 dalį, ir į 2025 m. </w:t>
      </w:r>
      <w:r>
        <w:rPr>
          <w:szCs w:val="24"/>
          <w:lang w:val="lt-LT"/>
        </w:rPr>
        <w:t>gruodžio</w:t>
      </w:r>
      <w:r w:rsidRPr="00EE1A2E">
        <w:rPr>
          <w:szCs w:val="24"/>
          <w:lang w:val="lt-LT"/>
        </w:rPr>
        <w:t xml:space="preserve"> 10 d. laišku Tarybos atstovo prisiimtą įsipareigojimą pritarti Parlamento pozicijai pagal Sutarties dėl Europos Sąjungos veikimo 294 straipsnio 4 dalį,</w:t>
      </w:r>
    </w:p>
    <w:p w14:paraId="2A791F18" w14:textId="77777777" w:rsidR="003255F1" w:rsidRPr="003255F1" w:rsidRDefault="003255F1" w:rsidP="003255F1">
      <w:pPr>
        <w:pStyle w:val="Normal12"/>
        <w:ind w:left="567" w:hanging="567"/>
        <w:rPr>
          <w:szCs w:val="24"/>
          <w:lang w:val="lt-LT"/>
        </w:rPr>
      </w:pPr>
      <w:r w:rsidRPr="003255F1">
        <w:rPr>
          <w:szCs w:val="24"/>
          <w:lang w:val="lt-LT"/>
        </w:rPr>
        <w:t>–</w:t>
      </w:r>
      <w:r w:rsidRPr="003255F1">
        <w:rPr>
          <w:szCs w:val="24"/>
          <w:lang w:val="lt-LT"/>
        </w:rPr>
        <w:tab/>
        <w:t>atsižvelgdamas į Darbo tvarkos taisyklių 60 ir 170 straipsnius,</w:t>
      </w:r>
    </w:p>
    <w:p w14:paraId="03AAB244" w14:textId="3DE9032C" w:rsidR="003255F1" w:rsidRPr="003255F1" w:rsidRDefault="003255F1" w:rsidP="003255F1">
      <w:pPr>
        <w:pStyle w:val="Normal12"/>
        <w:ind w:left="567" w:hanging="567"/>
        <w:rPr>
          <w:szCs w:val="24"/>
          <w:lang w:val="lt-LT"/>
        </w:rPr>
      </w:pPr>
      <w:r w:rsidRPr="003255F1">
        <w:rPr>
          <w:szCs w:val="24"/>
          <w:lang w:val="lt-LT"/>
        </w:rPr>
        <w:lastRenderedPageBreak/>
        <w:t>1.</w:t>
      </w:r>
      <w:r w:rsidRPr="003255F1">
        <w:rPr>
          <w:szCs w:val="24"/>
          <w:lang w:val="lt-LT"/>
        </w:rPr>
        <w:tab/>
        <w:t>priima per pirmąjį svarstymą toliau pateiktą poziciją</w:t>
      </w:r>
      <w:r w:rsidR="00812514">
        <w:rPr>
          <w:rStyle w:val="FootnoteReference"/>
          <w:szCs w:val="24"/>
          <w:lang w:val="lt-LT"/>
        </w:rPr>
        <w:footnoteReference w:id="2"/>
      </w:r>
      <w:r w:rsidRPr="003255F1">
        <w:rPr>
          <w:szCs w:val="24"/>
          <w:lang w:val="lt-LT"/>
        </w:rPr>
        <w:t>;</w:t>
      </w:r>
    </w:p>
    <w:p w14:paraId="46858650" w14:textId="77777777" w:rsidR="003255F1" w:rsidRPr="003255F1" w:rsidRDefault="003255F1" w:rsidP="003255F1">
      <w:pPr>
        <w:pStyle w:val="Normal12"/>
        <w:ind w:left="567" w:hanging="567"/>
        <w:rPr>
          <w:szCs w:val="24"/>
          <w:lang w:val="lt-LT"/>
        </w:rPr>
      </w:pPr>
      <w:r w:rsidRPr="003255F1">
        <w:rPr>
          <w:szCs w:val="24"/>
          <w:lang w:val="lt-LT"/>
        </w:rPr>
        <w:t>2.</w:t>
      </w:r>
      <w:r w:rsidRPr="003255F1">
        <w:rPr>
          <w:szCs w:val="24"/>
          <w:lang w:val="lt-LT"/>
        </w:rPr>
        <w:tab/>
        <w:t>ragina Komisiją dar kartą perduoti klausimą svarstyti Parlamentui, jei ji savo pasiūlymą pakeičia nauju tekstu, jį keičia iš esmės arba ketina jį keisti iš esmės;</w:t>
      </w:r>
    </w:p>
    <w:p w14:paraId="5488528C" w14:textId="0C67261A" w:rsidR="003255F1" w:rsidRDefault="003255F1" w:rsidP="003255F1">
      <w:pPr>
        <w:pStyle w:val="Normal12"/>
        <w:ind w:left="567" w:hanging="567"/>
        <w:rPr>
          <w:szCs w:val="24"/>
          <w:lang w:val="lt-LT"/>
        </w:rPr>
      </w:pPr>
      <w:r w:rsidRPr="003255F1">
        <w:rPr>
          <w:szCs w:val="24"/>
          <w:lang w:val="lt-LT"/>
        </w:rPr>
        <w:t>3.</w:t>
      </w:r>
      <w:r w:rsidRPr="003255F1">
        <w:rPr>
          <w:szCs w:val="24"/>
          <w:lang w:val="lt-LT"/>
        </w:rPr>
        <w:tab/>
        <w:t>paveda Pirmininkei perduoti Parlamento poziciją Tarybai, Komisijai ir nacionaliniams parlamentams.</w:t>
      </w:r>
    </w:p>
    <w:p w14:paraId="0E19B67A" w14:textId="77777777" w:rsidR="003255F1" w:rsidRPr="003255F1" w:rsidRDefault="003255F1" w:rsidP="003255F1">
      <w:pPr>
        <w:pStyle w:val="Normal12"/>
        <w:rPr>
          <w:szCs w:val="24"/>
          <w:lang w:val="lt-LT"/>
        </w:rPr>
        <w:sectPr w:rsidR="003255F1" w:rsidRPr="003255F1" w:rsidSect="003255F1">
          <w:footnotePr>
            <w:numRestart w:val="eachSect"/>
          </w:footnotePr>
          <w:endnotePr>
            <w:numFmt w:val="decimal"/>
          </w:endnotePr>
          <w:type w:val="continuous"/>
          <w:pgSz w:w="11905" w:h="16837"/>
          <w:pgMar w:top="1134" w:right="1418" w:bottom="1418" w:left="1418" w:header="720" w:footer="397" w:gutter="0"/>
          <w:cols w:space="720"/>
        </w:sectPr>
      </w:pPr>
    </w:p>
    <w:p w14:paraId="0B7A0D36" w14:textId="3AEEB11A" w:rsidR="003255F1" w:rsidRPr="003255F1" w:rsidRDefault="003255F1" w:rsidP="003255F1">
      <w:pPr>
        <w:pStyle w:val="Normal12"/>
        <w:rPr>
          <w:b/>
          <w:bCs/>
          <w:szCs w:val="24"/>
          <w:lang w:val="lt-LT"/>
        </w:rPr>
      </w:pPr>
      <w:r w:rsidRPr="003255F1">
        <w:rPr>
          <w:b/>
          <w:bCs/>
          <w:szCs w:val="24"/>
          <w:lang w:val="lt-LT"/>
        </w:rPr>
        <w:lastRenderedPageBreak/>
        <w:t>P10_TC1-COD(2025)0</w:t>
      </w:r>
      <w:r>
        <w:rPr>
          <w:b/>
          <w:bCs/>
          <w:szCs w:val="24"/>
          <w:lang w:val="lt-LT"/>
        </w:rPr>
        <w:t>329</w:t>
      </w:r>
    </w:p>
    <w:p w14:paraId="127D5DC5" w14:textId="77777777" w:rsidR="001840C8" w:rsidRDefault="003255F1" w:rsidP="001840C8">
      <w:pPr>
        <w:pStyle w:val="Normal12"/>
        <w:rPr>
          <w:rFonts w:eastAsia="Calibri"/>
          <w:b/>
          <w:szCs w:val="22"/>
          <w:lang w:val="lt-LT"/>
        </w:rPr>
      </w:pPr>
      <w:r w:rsidRPr="003255F1">
        <w:rPr>
          <w:b/>
          <w:szCs w:val="24"/>
          <w:lang w:val="lt-LT"/>
        </w:rPr>
        <w:t xml:space="preserve">Europos </w:t>
      </w:r>
      <w:r w:rsidRPr="003255F1">
        <w:rPr>
          <w:b/>
          <w:bCs/>
          <w:szCs w:val="24"/>
          <w:lang w:val="lt-LT"/>
        </w:rPr>
        <w:t>Parlamento</w:t>
      </w:r>
      <w:r w:rsidRPr="003255F1">
        <w:rPr>
          <w:b/>
          <w:szCs w:val="24"/>
          <w:lang w:val="lt-LT"/>
        </w:rPr>
        <w:t xml:space="preserve"> pozicija, priimta 2025 m. </w:t>
      </w:r>
      <w:r>
        <w:rPr>
          <w:b/>
          <w:szCs w:val="24"/>
          <w:lang w:val="lt-LT"/>
        </w:rPr>
        <w:t xml:space="preserve">gruodžio </w:t>
      </w:r>
      <w:r w:rsidR="00671F67">
        <w:rPr>
          <w:b/>
          <w:szCs w:val="24"/>
          <w:lang w:val="lt-LT"/>
        </w:rPr>
        <w:t>17</w:t>
      </w:r>
      <w:r w:rsidR="00671F67" w:rsidRPr="003255F1">
        <w:rPr>
          <w:b/>
          <w:szCs w:val="24"/>
          <w:lang w:val="lt-LT"/>
        </w:rPr>
        <w:t> </w:t>
      </w:r>
      <w:r w:rsidRPr="003255F1">
        <w:rPr>
          <w:b/>
          <w:szCs w:val="24"/>
          <w:lang w:val="lt-LT"/>
        </w:rPr>
        <w:t>d. per pirmąjį svarstymą, siekiant priimti Europos Parlamento ir Tarybos reglamentą (ES) 202</w:t>
      </w:r>
      <w:r w:rsidR="00FC77F7">
        <w:rPr>
          <w:b/>
          <w:szCs w:val="24"/>
          <w:lang w:val="lt-LT"/>
        </w:rPr>
        <w:t>5</w:t>
      </w:r>
      <w:r w:rsidRPr="003255F1">
        <w:rPr>
          <w:b/>
          <w:szCs w:val="24"/>
          <w:lang w:val="lt-LT"/>
        </w:rPr>
        <w:t xml:space="preserve">/..., </w:t>
      </w:r>
      <w:r w:rsidR="00671F67" w:rsidRPr="00671F67">
        <w:rPr>
          <w:rFonts w:eastAsia="Calibri"/>
          <w:b/>
          <w:szCs w:val="22"/>
          <w:lang w:val="lt-LT"/>
        </w:rPr>
        <w:t>kuriuo dėl veiklos vykdytojų ir prekiautojų tam tikrų pareigų iš dalies keičiamas Reglamentas (ES) 2023/1115</w:t>
      </w:r>
    </w:p>
    <w:p w14:paraId="2367EDBD" w14:textId="63A38049" w:rsidR="00FC77F7" w:rsidRPr="001840C8" w:rsidRDefault="00FC77F7" w:rsidP="001840C8">
      <w:pPr>
        <w:pStyle w:val="Normal12"/>
        <w:spacing w:before="120"/>
        <w:rPr>
          <w:rFonts w:eastAsia="Calibri"/>
          <w:b/>
          <w:szCs w:val="22"/>
          <w:lang w:val="lt-LT"/>
        </w:rPr>
      </w:pPr>
      <w:r w:rsidRPr="00B53ACB">
        <w:rPr>
          <w:rStyle w:val="italic"/>
          <w:color w:val="000000"/>
          <w:lang w:val="lt-LT"/>
        </w:rPr>
        <w:t xml:space="preserve">(Kadangi Parlamentas ir Taryba pasiekė susitarimą, Parlamento pozicija atitinka galutinį teisės </w:t>
      </w:r>
      <w:r w:rsidRPr="00FC77F7">
        <w:rPr>
          <w:rStyle w:val="italic"/>
          <w:color w:val="000000"/>
          <w:lang w:val="lt-LT"/>
        </w:rPr>
        <w:t>aktą, Reglamentą (ES) 202</w:t>
      </w:r>
      <w:r w:rsidRPr="00FC77F7">
        <w:rPr>
          <w:rStyle w:val="italic"/>
          <w:color w:val="000000"/>
          <w:lang w:val="lt-LT"/>
        </w:rPr>
        <w:t>5</w:t>
      </w:r>
      <w:r w:rsidRPr="00FC77F7">
        <w:rPr>
          <w:rStyle w:val="italic"/>
          <w:color w:val="000000"/>
          <w:lang w:val="lt-LT"/>
        </w:rPr>
        <w:t>/</w:t>
      </w:r>
      <w:r w:rsidRPr="00FC77F7">
        <w:rPr>
          <w:rStyle w:val="italic"/>
          <w:color w:val="000000"/>
          <w:lang w:val="lt-LT"/>
        </w:rPr>
        <w:t>2650</w:t>
      </w:r>
      <w:r w:rsidRPr="00FC77F7">
        <w:rPr>
          <w:rStyle w:val="italic"/>
          <w:color w:val="000000"/>
          <w:lang w:val="lt-LT"/>
        </w:rPr>
        <w:t>.)</w:t>
      </w:r>
    </w:p>
    <w:sectPr w:rsidR="00FC77F7" w:rsidRPr="001840C8" w:rsidSect="001840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type w:val="continuous"/>
      <w:pgSz w:w="11907" w:h="16839"/>
      <w:pgMar w:top="1134" w:right="1417" w:bottom="1134" w:left="141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657F6" w14:textId="77777777" w:rsidR="00822E7E" w:rsidRDefault="00822E7E" w:rsidP="009C4014">
      <w:r>
        <w:separator/>
      </w:r>
    </w:p>
  </w:endnote>
  <w:endnote w:type="continuationSeparator" w:id="0">
    <w:p w14:paraId="0B4B7EA7" w14:textId="77777777" w:rsidR="00822E7E" w:rsidRDefault="00822E7E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D896F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D91CA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F388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E7F17" w14:textId="77777777" w:rsidR="00822E7E" w:rsidRDefault="00822E7E" w:rsidP="009C4014">
      <w:r>
        <w:separator/>
      </w:r>
    </w:p>
  </w:footnote>
  <w:footnote w:type="continuationSeparator" w:id="0">
    <w:p w14:paraId="6C9F4CCB" w14:textId="77777777" w:rsidR="00822E7E" w:rsidRDefault="00822E7E" w:rsidP="009C4014">
      <w:r>
        <w:continuationSeparator/>
      </w:r>
    </w:p>
  </w:footnote>
  <w:footnote w:id="1">
    <w:p w14:paraId="5ABCEC6A" w14:textId="77777777" w:rsidR="003255F1" w:rsidRDefault="003255F1" w:rsidP="003255F1">
      <w:pPr>
        <w:pStyle w:val="FootnoteText"/>
        <w:ind w:left="567" w:hanging="567"/>
        <w:rPr>
          <w:sz w:val="24"/>
          <w:szCs w:val="24"/>
          <w:lang w:val="lt-LT"/>
        </w:rPr>
      </w:pPr>
      <w:r>
        <w:rPr>
          <w:rStyle w:val="FootnoteReference"/>
          <w:sz w:val="24"/>
          <w:szCs w:val="24"/>
          <w:lang w:val="lt-LT"/>
        </w:rPr>
        <w:footnoteRef/>
      </w:r>
      <w:r>
        <w:rPr>
          <w:sz w:val="24"/>
          <w:szCs w:val="24"/>
          <w:lang w:val="lt-LT"/>
        </w:rPr>
        <w:t xml:space="preserve"> </w:t>
      </w:r>
      <w:r>
        <w:rPr>
          <w:sz w:val="24"/>
          <w:szCs w:val="24"/>
          <w:lang w:val="lt-LT"/>
        </w:rPr>
        <w:tab/>
      </w:r>
      <w:r>
        <w:rPr>
          <w:rFonts w:eastAsia="Calibri"/>
          <w:sz w:val="24"/>
          <w:szCs w:val="24"/>
          <w:lang w:val="lt-LT"/>
        </w:rPr>
        <w:t>Dar nepaskelbta Oficialiajame leidinyje.</w:t>
      </w:r>
    </w:p>
  </w:footnote>
  <w:footnote w:id="2">
    <w:p w14:paraId="2F2B909E" w14:textId="3912A158" w:rsidR="00812514" w:rsidRPr="00322B8F" w:rsidRDefault="00812514" w:rsidP="00322B8F">
      <w:pPr>
        <w:pStyle w:val="FootnoteText"/>
        <w:ind w:left="567" w:hanging="567"/>
        <w:rPr>
          <w:sz w:val="24"/>
          <w:szCs w:val="24"/>
          <w:lang w:val="lt-LT"/>
        </w:rPr>
      </w:pPr>
      <w:r w:rsidRPr="00322B8F">
        <w:rPr>
          <w:rStyle w:val="FootnoteReference"/>
          <w:sz w:val="24"/>
          <w:szCs w:val="24"/>
        </w:rPr>
        <w:footnoteRef/>
      </w:r>
      <w:r w:rsidRPr="00322B8F">
        <w:rPr>
          <w:sz w:val="24"/>
          <w:szCs w:val="24"/>
        </w:rPr>
        <w:t xml:space="preserve"> </w:t>
      </w:r>
      <w:r w:rsidRPr="00322B8F">
        <w:rPr>
          <w:sz w:val="24"/>
          <w:szCs w:val="24"/>
          <w:lang w:val="lt-LT"/>
        </w:rPr>
        <w:tab/>
        <w:t>Ši pozicija pakeičia 2025 m. lapkričio 26 d. priimtus pakeitimus (Priimti tekstai, P10_TA(2025)0295).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86B15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7CE6C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E266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4A446306"/>
    <w:multiLevelType w:val="hybridMultilevel"/>
    <w:tmpl w:val="93802CC8"/>
    <w:lvl w:ilvl="0" w:tplc="631A670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E14285B"/>
    <w:multiLevelType w:val="hybridMultilevel"/>
    <w:tmpl w:val="B7524B78"/>
    <w:lvl w:ilvl="0" w:tplc="B75CBB08">
      <w:start w:val="1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730147DB"/>
    <w:multiLevelType w:val="hybridMultilevel"/>
    <w:tmpl w:val="CB4015EC"/>
    <w:lvl w:ilvl="0" w:tplc="5652ED72">
      <w:start w:val="1"/>
      <w:numFmt w:val="bullet"/>
      <w:lvlText w:val=""/>
      <w:lvlJc w:val="left"/>
      <w:pPr>
        <w:ind w:left="1778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7D2701AA"/>
    <w:multiLevelType w:val="hybridMultilevel"/>
    <w:tmpl w:val="6C28B0E0"/>
    <w:lvl w:ilvl="0" w:tplc="36829DA0">
      <w:start w:val="1"/>
      <w:numFmt w:val="decimal"/>
      <w:lvlText w:val="%1."/>
      <w:lvlJc w:val="left"/>
      <w:pPr>
        <w:ind w:left="1015" w:hanging="360"/>
      </w:pPr>
    </w:lvl>
    <w:lvl w:ilvl="1" w:tplc="A5FAF38E">
      <w:start w:val="1"/>
      <w:numFmt w:val="lowerLetter"/>
      <w:lvlText w:val="%2."/>
      <w:lvlJc w:val="left"/>
      <w:pPr>
        <w:ind w:left="1735" w:hanging="360"/>
      </w:pPr>
    </w:lvl>
    <w:lvl w:ilvl="2" w:tplc="51348FEA">
      <w:start w:val="1"/>
      <w:numFmt w:val="lowerRoman"/>
      <w:lvlText w:val="%3."/>
      <w:lvlJc w:val="right"/>
      <w:pPr>
        <w:ind w:left="2455" w:hanging="180"/>
      </w:pPr>
    </w:lvl>
    <w:lvl w:ilvl="3" w:tplc="7B2E204C">
      <w:start w:val="1"/>
      <w:numFmt w:val="decimal"/>
      <w:lvlText w:val="%4."/>
      <w:lvlJc w:val="left"/>
      <w:pPr>
        <w:ind w:left="3175" w:hanging="360"/>
      </w:pPr>
    </w:lvl>
    <w:lvl w:ilvl="4" w:tplc="7182EB8C">
      <w:start w:val="1"/>
      <w:numFmt w:val="lowerLetter"/>
      <w:lvlText w:val="%5."/>
      <w:lvlJc w:val="left"/>
      <w:pPr>
        <w:ind w:left="3895" w:hanging="360"/>
      </w:pPr>
    </w:lvl>
    <w:lvl w:ilvl="5" w:tplc="E91A2406">
      <w:start w:val="1"/>
      <w:numFmt w:val="lowerRoman"/>
      <w:lvlText w:val="%6."/>
      <w:lvlJc w:val="right"/>
      <w:pPr>
        <w:ind w:left="4615" w:hanging="180"/>
      </w:pPr>
    </w:lvl>
    <w:lvl w:ilvl="6" w:tplc="3B4AF6D4">
      <w:start w:val="1"/>
      <w:numFmt w:val="decimal"/>
      <w:lvlText w:val="%7."/>
      <w:lvlJc w:val="left"/>
      <w:pPr>
        <w:ind w:left="5335" w:hanging="360"/>
      </w:pPr>
    </w:lvl>
    <w:lvl w:ilvl="7" w:tplc="C192B5E4">
      <w:start w:val="1"/>
      <w:numFmt w:val="lowerLetter"/>
      <w:lvlText w:val="%8."/>
      <w:lvlJc w:val="left"/>
      <w:pPr>
        <w:ind w:left="6055" w:hanging="360"/>
      </w:pPr>
    </w:lvl>
    <w:lvl w:ilvl="8" w:tplc="65F85E10">
      <w:start w:val="1"/>
      <w:numFmt w:val="lowerRoman"/>
      <w:lvlText w:val="%9."/>
      <w:lvlJc w:val="right"/>
      <w:pPr>
        <w:ind w:left="6775" w:hanging="180"/>
      </w:pPr>
    </w:lvl>
  </w:abstractNum>
  <w:abstractNum w:abstractNumId="21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40592749">
    <w:abstractNumId w:val="13"/>
  </w:num>
  <w:num w:numId="2" w16cid:durableId="1398279701">
    <w:abstractNumId w:val="12"/>
  </w:num>
  <w:num w:numId="3" w16cid:durableId="2039501992">
    <w:abstractNumId w:val="11"/>
  </w:num>
  <w:num w:numId="4" w16cid:durableId="1385712866">
    <w:abstractNumId w:val="10"/>
  </w:num>
  <w:num w:numId="5" w16cid:durableId="1828127232">
    <w:abstractNumId w:val="18"/>
  </w:num>
  <w:num w:numId="6" w16cid:durableId="644511956">
    <w:abstractNumId w:val="16"/>
  </w:num>
  <w:num w:numId="7" w16cid:durableId="1813862515">
    <w:abstractNumId w:val="14"/>
  </w:num>
  <w:num w:numId="8" w16cid:durableId="380397678">
    <w:abstractNumId w:val="21"/>
  </w:num>
  <w:num w:numId="9" w16cid:durableId="901328921">
    <w:abstractNumId w:val="21"/>
  </w:num>
  <w:num w:numId="10" w16cid:durableId="1423185205">
    <w:abstractNumId w:val="9"/>
  </w:num>
  <w:num w:numId="11" w16cid:durableId="1200430860">
    <w:abstractNumId w:val="7"/>
  </w:num>
  <w:num w:numId="12" w16cid:durableId="620573289">
    <w:abstractNumId w:val="6"/>
  </w:num>
  <w:num w:numId="13" w16cid:durableId="774204213">
    <w:abstractNumId w:val="5"/>
  </w:num>
  <w:num w:numId="14" w16cid:durableId="1981378161">
    <w:abstractNumId w:val="4"/>
  </w:num>
  <w:num w:numId="15" w16cid:durableId="645083937">
    <w:abstractNumId w:val="8"/>
  </w:num>
  <w:num w:numId="16" w16cid:durableId="789319138">
    <w:abstractNumId w:val="3"/>
  </w:num>
  <w:num w:numId="17" w16cid:durableId="2080400440">
    <w:abstractNumId w:val="2"/>
  </w:num>
  <w:num w:numId="18" w16cid:durableId="1008406368">
    <w:abstractNumId w:val="1"/>
  </w:num>
  <w:num w:numId="19" w16cid:durableId="729117328">
    <w:abstractNumId w:val="0"/>
  </w:num>
  <w:num w:numId="20" w16cid:durableId="3200134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79321097">
    <w:abstractNumId w:val="17"/>
  </w:num>
  <w:num w:numId="22" w16cid:durableId="1125001546">
    <w:abstractNumId w:val="19"/>
  </w:num>
  <w:num w:numId="23" w16cid:durableId="16498936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E7E"/>
    <w:rsid w:val="00013B2A"/>
    <w:rsid w:val="00086424"/>
    <w:rsid w:val="000C1904"/>
    <w:rsid w:val="000C2BFE"/>
    <w:rsid w:val="000F27A9"/>
    <w:rsid w:val="000F6208"/>
    <w:rsid w:val="00125CBC"/>
    <w:rsid w:val="00135506"/>
    <w:rsid w:val="00172070"/>
    <w:rsid w:val="001840C8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171ED"/>
    <w:rsid w:val="003202DD"/>
    <w:rsid w:val="00322B8F"/>
    <w:rsid w:val="003255F1"/>
    <w:rsid w:val="003775B9"/>
    <w:rsid w:val="00397B2A"/>
    <w:rsid w:val="003E1189"/>
    <w:rsid w:val="003F4DFE"/>
    <w:rsid w:val="00425111"/>
    <w:rsid w:val="00451C48"/>
    <w:rsid w:val="0047030E"/>
    <w:rsid w:val="004A6149"/>
    <w:rsid w:val="004E6A17"/>
    <w:rsid w:val="004F2EA7"/>
    <w:rsid w:val="00520780"/>
    <w:rsid w:val="00525ED0"/>
    <w:rsid w:val="00534CAB"/>
    <w:rsid w:val="00547BB1"/>
    <w:rsid w:val="00591365"/>
    <w:rsid w:val="0059197D"/>
    <w:rsid w:val="005A2421"/>
    <w:rsid w:val="005B23C9"/>
    <w:rsid w:val="005E10C6"/>
    <w:rsid w:val="005F0CA1"/>
    <w:rsid w:val="005F35F8"/>
    <w:rsid w:val="00603B14"/>
    <w:rsid w:val="00623BEA"/>
    <w:rsid w:val="00646D85"/>
    <w:rsid w:val="006656E5"/>
    <w:rsid w:val="00666512"/>
    <w:rsid w:val="00671F67"/>
    <w:rsid w:val="00683F78"/>
    <w:rsid w:val="006A1E82"/>
    <w:rsid w:val="006A7C85"/>
    <w:rsid w:val="006A7CE5"/>
    <w:rsid w:val="006B1646"/>
    <w:rsid w:val="006B73AE"/>
    <w:rsid w:val="006E5420"/>
    <w:rsid w:val="006F135E"/>
    <w:rsid w:val="00751383"/>
    <w:rsid w:val="00757DD5"/>
    <w:rsid w:val="00760EC5"/>
    <w:rsid w:val="007645D9"/>
    <w:rsid w:val="007713FD"/>
    <w:rsid w:val="00774A9B"/>
    <w:rsid w:val="007906DB"/>
    <w:rsid w:val="007B16FE"/>
    <w:rsid w:val="007C3388"/>
    <w:rsid w:val="00812514"/>
    <w:rsid w:val="00822E7E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D6422"/>
    <w:rsid w:val="009F28EF"/>
    <w:rsid w:val="00A1739E"/>
    <w:rsid w:val="00B54C72"/>
    <w:rsid w:val="00B85C1E"/>
    <w:rsid w:val="00C15516"/>
    <w:rsid w:val="00C16C81"/>
    <w:rsid w:val="00C57739"/>
    <w:rsid w:val="00C6415F"/>
    <w:rsid w:val="00C65BE8"/>
    <w:rsid w:val="00CB451F"/>
    <w:rsid w:val="00CC4897"/>
    <w:rsid w:val="00CD6E1E"/>
    <w:rsid w:val="00D202A4"/>
    <w:rsid w:val="00D91669"/>
    <w:rsid w:val="00DF097A"/>
    <w:rsid w:val="00DF53A8"/>
    <w:rsid w:val="00E039BF"/>
    <w:rsid w:val="00E11822"/>
    <w:rsid w:val="00E73B02"/>
    <w:rsid w:val="00E74BF3"/>
    <w:rsid w:val="00EE1A2E"/>
    <w:rsid w:val="00EF3610"/>
    <w:rsid w:val="00F177A4"/>
    <w:rsid w:val="00F97E29"/>
    <w:rsid w:val="00FB1507"/>
    <w:rsid w:val="00FB3609"/>
    <w:rsid w:val="00FC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BABC3F"/>
  <w15:chartTrackingRefBased/>
  <w15:docId w15:val="{BE9EF26B-AF43-4F0F-9BDA-22613389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71F67"/>
    <w:pPr>
      <w:widowControl w:val="0"/>
      <w:spacing w:before="240" w:after="60"/>
      <w:outlineLvl w:val="5"/>
    </w:pPr>
    <w:rPr>
      <w:i/>
      <w:sz w:val="22"/>
      <w:lang w:val="lt-LT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71F67"/>
    <w:pPr>
      <w:widowControl w:val="0"/>
      <w:spacing w:before="240" w:after="60"/>
      <w:outlineLvl w:val="6"/>
    </w:pPr>
    <w:rPr>
      <w:rFonts w:ascii="Arial" w:hAnsi="Arial"/>
      <w:lang w:val="lt-LT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71F67"/>
    <w:pPr>
      <w:widowControl w:val="0"/>
      <w:spacing w:before="240" w:after="60"/>
      <w:outlineLvl w:val="7"/>
    </w:pPr>
    <w:rPr>
      <w:rFonts w:ascii="Arial" w:hAnsi="Arial"/>
      <w:i/>
      <w:lang w:val="lt-LT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71F67"/>
    <w:pPr>
      <w:widowControl w:val="0"/>
      <w:spacing w:before="240" w:after="60"/>
      <w:outlineLvl w:val="8"/>
    </w:pPr>
    <w:rPr>
      <w:rFonts w:ascii="Arial" w:hAnsi="Arial"/>
      <w:b/>
      <w:i/>
      <w:sz w:val="18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F67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F67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F67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F67"/>
    <w:rPr>
      <w:rFonts w:ascii="Arial" w:hAnsi="Arial"/>
      <w:b/>
      <w:i/>
      <w:sz w:val="18"/>
      <w:lang w:val="lt-LT"/>
    </w:rPr>
  </w:style>
  <w:style w:type="numbering" w:customStyle="1" w:styleId="NoList1">
    <w:name w:val="No List1"/>
    <w:next w:val="NoList"/>
    <w:uiPriority w:val="99"/>
    <w:semiHidden/>
    <w:unhideWhenUsed/>
    <w:rsid w:val="00671F67"/>
  </w:style>
  <w:style w:type="character" w:customStyle="1" w:styleId="Heading1Char">
    <w:name w:val="Heading 1 Char"/>
    <w:basedOn w:val="DefaultParagraphFont"/>
    <w:link w:val="Heading1"/>
    <w:uiPriority w:val="9"/>
    <w:rsid w:val="00671F67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671F67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671F67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671F67"/>
    <w:rPr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671F67"/>
    <w:rPr>
      <w:sz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71F67"/>
    <w:rPr>
      <w:sz w:val="24"/>
      <w:lang w:val="fr-FR"/>
    </w:rPr>
  </w:style>
  <w:style w:type="paragraph" w:customStyle="1" w:styleId="AmDocTypeTab">
    <w:name w:val="AmDocTypeTab"/>
    <w:basedOn w:val="Normal"/>
    <w:rsid w:val="00671F67"/>
    <w:pPr>
      <w:widowControl w:val="0"/>
      <w:tabs>
        <w:tab w:val="right" w:pos="9072"/>
      </w:tabs>
    </w:pPr>
    <w:rPr>
      <w:b/>
      <w:lang w:val="lt-LT"/>
    </w:rPr>
  </w:style>
  <w:style w:type="paragraph" w:customStyle="1" w:styleId="Normal12a">
    <w:name w:val="Normal12a"/>
    <w:basedOn w:val="Normal"/>
    <w:rsid w:val="00671F67"/>
    <w:pPr>
      <w:widowControl w:val="0"/>
      <w:spacing w:after="240"/>
    </w:pPr>
    <w:rPr>
      <w:lang w:val="lt-LT"/>
    </w:rPr>
  </w:style>
  <w:style w:type="paragraph" w:customStyle="1" w:styleId="EPFooter2">
    <w:name w:val="EPFooter2"/>
    <w:basedOn w:val="Normal"/>
    <w:next w:val="Normal"/>
    <w:rsid w:val="00671F67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lt-LT"/>
    </w:rPr>
  </w:style>
  <w:style w:type="character" w:customStyle="1" w:styleId="HideTWBInt">
    <w:name w:val="HideTWBInt"/>
    <w:rsid w:val="00671F67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671F67"/>
    <w:pPr>
      <w:widowControl w:val="0"/>
      <w:spacing w:before="240" w:after="240"/>
      <w:jc w:val="right"/>
    </w:pPr>
    <w:rPr>
      <w:lang w:val="lt-LT"/>
    </w:rPr>
  </w:style>
  <w:style w:type="paragraph" w:customStyle="1" w:styleId="NormalCenter12a">
    <w:name w:val="NormalCenter12a"/>
    <w:basedOn w:val="Normal"/>
    <w:rsid w:val="00671F67"/>
    <w:pPr>
      <w:widowControl w:val="0"/>
      <w:spacing w:after="240"/>
      <w:jc w:val="center"/>
    </w:pPr>
    <w:rPr>
      <w:lang w:val="lt-LT"/>
    </w:rPr>
  </w:style>
  <w:style w:type="paragraph" w:customStyle="1" w:styleId="AmDateTab">
    <w:name w:val="AmDateTab"/>
    <w:basedOn w:val="Normal"/>
    <w:rsid w:val="00671F67"/>
    <w:pPr>
      <w:widowControl w:val="0"/>
      <w:tabs>
        <w:tab w:val="right" w:pos="9072"/>
      </w:tabs>
    </w:pPr>
    <w:rPr>
      <w:lang w:val="lt-LT"/>
    </w:rPr>
  </w:style>
  <w:style w:type="paragraph" w:customStyle="1" w:styleId="AmNumberTabs">
    <w:name w:val="AmNumberTabs"/>
    <w:basedOn w:val="Normal"/>
    <w:rsid w:val="00671F67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lt-LT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1F67"/>
    <w:rPr>
      <w:sz w:val="22"/>
      <w:lang w:val="fr-FR"/>
    </w:rPr>
  </w:style>
  <w:style w:type="paragraph" w:customStyle="1" w:styleId="AmHeadingConsam">
    <w:name w:val="AmHeadingConsam"/>
    <w:basedOn w:val="Normal"/>
    <w:next w:val="NormalCenter12a"/>
    <w:rsid w:val="00671F67"/>
    <w:pPr>
      <w:widowControl w:val="0"/>
      <w:spacing w:before="720" w:after="240"/>
      <w:jc w:val="center"/>
    </w:pPr>
    <w:rPr>
      <w:lang w:val="lt-LT"/>
    </w:rPr>
  </w:style>
  <w:style w:type="paragraph" w:customStyle="1" w:styleId="EPFooter">
    <w:name w:val="EPFooter"/>
    <w:basedOn w:val="Normal"/>
    <w:rsid w:val="00671F67"/>
    <w:pPr>
      <w:widowControl w:val="0"/>
      <w:tabs>
        <w:tab w:val="center" w:pos="4535"/>
        <w:tab w:val="right" w:pos="9071"/>
      </w:tabs>
      <w:spacing w:before="240" w:after="240"/>
    </w:pPr>
    <w:rPr>
      <w:color w:val="010000"/>
      <w:sz w:val="22"/>
      <w:lang w:val="lt-LT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71F67"/>
    <w:pPr>
      <w:keepLines/>
      <w:widowControl w:val="0"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val="lt-LT"/>
    </w:rPr>
  </w:style>
  <w:style w:type="character" w:customStyle="1" w:styleId="FooterChar">
    <w:name w:val="Footer Char"/>
    <w:basedOn w:val="DefaultParagraphFont"/>
    <w:link w:val="Footer"/>
    <w:uiPriority w:val="99"/>
    <w:rsid w:val="00671F67"/>
    <w:rPr>
      <w:sz w:val="22"/>
      <w:lang w:val="fr-FR"/>
    </w:rPr>
  </w:style>
  <w:style w:type="paragraph" w:styleId="Title">
    <w:name w:val="Title"/>
    <w:basedOn w:val="Normal"/>
    <w:next w:val="Normal"/>
    <w:link w:val="TitleChar"/>
    <w:uiPriority w:val="10"/>
    <w:qFormat/>
    <w:rsid w:val="00671F67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1F67"/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F67"/>
    <w:pPr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1F67"/>
    <w:rPr>
      <w:rFonts w:ascii="Arial" w:eastAsiaTheme="majorEastAsia" w:hAnsi="Arial" w:cs="Arial"/>
      <w:kern w:val="2"/>
      <w:sz w:val="24"/>
      <w:szCs w:val="24"/>
      <w:lang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671F67"/>
    <w:rPr>
      <w:b/>
      <w:bCs/>
    </w:rPr>
  </w:style>
  <w:style w:type="character" w:styleId="Emphasis">
    <w:name w:val="Emphasis"/>
    <w:basedOn w:val="DefaultParagraphFont"/>
    <w:uiPriority w:val="20"/>
    <w:qFormat/>
    <w:rsid w:val="00671F67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71F67"/>
    <w:pPr>
      <w:jc w:val="both"/>
    </w:pPr>
    <w:rPr>
      <w:rFonts w:eastAsiaTheme="minorHAnsi"/>
      <w:kern w:val="2"/>
      <w:szCs w:val="32"/>
      <w:lang w:val="en-GB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671F67"/>
    <w:pPr>
      <w:ind w:left="720"/>
      <w:contextualSpacing/>
      <w:jc w:val="both"/>
    </w:pPr>
    <w:rPr>
      <w:rFonts w:eastAsiaTheme="minorHAnsi"/>
      <w:kern w:val="2"/>
      <w:szCs w:val="24"/>
      <w:lang w:val="en-GB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671F67"/>
    <w:pPr>
      <w:jc w:val="both"/>
    </w:pPr>
    <w:rPr>
      <w:rFonts w:eastAsiaTheme="minorHAnsi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1F67"/>
    <w:rPr>
      <w:rFonts w:eastAsiaTheme="minorHAnsi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F67"/>
    <w:pPr>
      <w:ind w:left="720" w:right="720"/>
      <w:jc w:val="both"/>
    </w:pPr>
    <w:rPr>
      <w:rFonts w:eastAsiaTheme="minorHAnsi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F67"/>
    <w:rPr>
      <w:rFonts w:eastAsiaTheme="minorHAnsi"/>
      <w:b/>
      <w:i/>
      <w:kern w:val="2"/>
      <w:sz w:val="24"/>
      <w:szCs w:val="22"/>
      <w:lang w:eastAsia="en-US"/>
      <w14:ligatures w14:val="standardContextual"/>
    </w:rPr>
  </w:style>
  <w:style w:type="character" w:styleId="SubtleEmphasis">
    <w:name w:val="Subtle Emphasis"/>
    <w:uiPriority w:val="19"/>
    <w:qFormat/>
    <w:rsid w:val="00671F67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71F67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71F67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71F67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71F67"/>
    <w:rPr>
      <w:rFonts w:asciiTheme="majorHAnsi" w:eastAsiaTheme="majorEastAsia" w:hAnsiTheme="majorHAnsi"/>
      <w:b/>
      <w:i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71F6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71F67"/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CommentReference">
    <w:name w:val="annotation reference"/>
    <w:basedOn w:val="DefaultParagraphFont"/>
    <w:uiPriority w:val="99"/>
    <w:unhideWhenUsed/>
    <w:rsid w:val="00671F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1F67"/>
    <w:pPr>
      <w:jc w:val="both"/>
    </w:pPr>
    <w:rPr>
      <w:rFonts w:eastAsiaTheme="minorHAnsi"/>
      <w:kern w:val="2"/>
      <w:sz w:val="20"/>
      <w:lang w:val="en-GB" w:eastAsia="en-US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1F67"/>
    <w:rPr>
      <w:rFonts w:eastAsiaTheme="minorHAnsi"/>
      <w:kern w:val="2"/>
      <w:lang w:eastAsia="en-US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71F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71F67"/>
    <w:rPr>
      <w:rFonts w:eastAsiaTheme="minorHAnsi"/>
      <w:b/>
      <w:bCs/>
      <w:kern w:val="2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671F67"/>
    <w:rPr>
      <w:color w:val="605E5C"/>
      <w:shd w:val="clear" w:color="auto" w:fill="E1DFDD"/>
    </w:rPr>
  </w:style>
  <w:style w:type="character" w:customStyle="1" w:styleId="italic">
    <w:name w:val="italic"/>
    <w:rsid w:val="00FC77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272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BINKEVICIUTE Aurelija</dc:creator>
  <cp:keywords/>
  <cp:lastModifiedBy>SKEIVYTE Silvija</cp:lastModifiedBy>
  <cp:revision>2</cp:revision>
  <cp:lastPrinted>2014-08-07T13:15:00Z</cp:lastPrinted>
  <dcterms:created xsi:type="dcterms:W3CDTF">2026-02-18T11:51:00Z</dcterms:created>
  <dcterms:modified xsi:type="dcterms:W3CDTF">2026-02-18T11:51:00Z</dcterms:modified>
</cp:coreProperties>
</file>