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0B8B" w14:paraId="709D32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B388A6" w14:textId="77777777" w:rsidR="00751A4A" w:rsidRPr="00CA0B8B" w:rsidRDefault="0008698F" w:rsidP="0010095E">
            <w:pPr>
              <w:pStyle w:val="EPName"/>
            </w:pPr>
            <w:r w:rsidRPr="00CA0B8B">
              <w:t>Evropský parlament</w:t>
            </w:r>
          </w:p>
          <w:p w14:paraId="358E1F86" w14:textId="77777777" w:rsidR="00751A4A" w:rsidRPr="00CA0B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0B8B">
              <w:t>2024</w:t>
            </w:r>
            <w:r w:rsidR="00817416" w:rsidRPr="00CA0B8B">
              <w:t>-202</w:t>
            </w:r>
            <w:r w:rsidRPr="00CA0B8B">
              <w:t>9</w:t>
            </w:r>
          </w:p>
        </w:tc>
        <w:tc>
          <w:tcPr>
            <w:tcW w:w="2268" w:type="dxa"/>
            <w:shd w:val="clear" w:color="auto" w:fill="auto"/>
          </w:tcPr>
          <w:p w14:paraId="285C1BA4" w14:textId="77777777" w:rsidR="00751A4A" w:rsidRPr="00CA0B8B" w:rsidRDefault="00187494" w:rsidP="0010095E">
            <w:pPr>
              <w:pStyle w:val="EPLogo"/>
            </w:pPr>
            <w:r w:rsidRPr="00CA0B8B">
              <w:rPr>
                <w:noProof/>
                <w:lang w:eastAsia="ja-JP"/>
              </w:rPr>
              <w:drawing>
                <wp:inline distT="0" distB="0" distL="0" distR="0" wp14:anchorId="0761104C" wp14:editId="31BAD8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B0D73A" w14:textId="77777777" w:rsidR="00D058B8" w:rsidRPr="00CA0B8B" w:rsidRDefault="00D058B8" w:rsidP="004C5D52">
      <w:pPr>
        <w:pStyle w:val="LineTop"/>
      </w:pPr>
    </w:p>
    <w:p w14:paraId="703DA010" w14:textId="77777777" w:rsidR="00680577" w:rsidRPr="00CA0B8B" w:rsidRDefault="0008698F" w:rsidP="00680577">
      <w:pPr>
        <w:pStyle w:val="EPBodyTA1"/>
      </w:pPr>
      <w:r w:rsidRPr="00CA0B8B">
        <w:t>PŘIJATÉ TEXTY</w:t>
      </w:r>
    </w:p>
    <w:p w14:paraId="07327768" w14:textId="77777777" w:rsidR="00D058B8" w:rsidRPr="00CA0B8B" w:rsidRDefault="00D058B8" w:rsidP="00D058B8">
      <w:pPr>
        <w:pStyle w:val="LineBottom"/>
      </w:pPr>
    </w:p>
    <w:p w14:paraId="361B9258" w14:textId="1EDAE2AD" w:rsidR="0008698F" w:rsidRPr="00CA0B8B" w:rsidRDefault="0008698F" w:rsidP="0008698F">
      <w:pPr>
        <w:pStyle w:val="ATHeading1"/>
      </w:pPr>
      <w:bookmarkStart w:id="0" w:name="TANumber"/>
      <w:r w:rsidRPr="00CA0B8B">
        <w:t>P10_TA(2025)0</w:t>
      </w:r>
      <w:bookmarkEnd w:id="0"/>
      <w:r w:rsidR="00D21141">
        <w:t>333</w:t>
      </w:r>
    </w:p>
    <w:p w14:paraId="5ACA1155" w14:textId="3C7B8124" w:rsidR="0008698F" w:rsidRPr="00CA0B8B" w:rsidRDefault="006A7857" w:rsidP="0008698F">
      <w:pPr>
        <w:pStyle w:val="ATHeading2"/>
      </w:pPr>
      <w:r w:rsidRPr="006A7857">
        <w:t>Společný podnik pro evropskou vysoce výkonnou výpočetní techniku (</w:t>
      </w:r>
      <w:proofErr w:type="spellStart"/>
      <w:r w:rsidRPr="006A7857">
        <w:t>EuroHPC</w:t>
      </w:r>
      <w:proofErr w:type="spellEnd"/>
      <w:r w:rsidRPr="006A7857">
        <w:t>)</w:t>
      </w:r>
    </w:p>
    <w:p w14:paraId="1507E224" w14:textId="77777777" w:rsidR="0008698F" w:rsidRPr="00CA0B8B" w:rsidRDefault="0008698F" w:rsidP="0008698F">
      <w:pPr>
        <w:rPr>
          <w:i/>
          <w:vanish/>
        </w:rPr>
      </w:pPr>
      <w:r w:rsidRPr="00CA0B8B">
        <w:rPr>
          <w:i/>
        </w:rPr>
        <w:fldChar w:fldCharType="begin"/>
      </w:r>
      <w:r w:rsidRPr="00CA0B8B">
        <w:rPr>
          <w:i/>
        </w:rPr>
        <w:instrText xml:space="preserve"> TC"(</w:instrText>
      </w:r>
      <w:bookmarkStart w:id="1" w:name="DocNumber"/>
      <w:r w:rsidRPr="00CA0B8B">
        <w:rPr>
          <w:i/>
        </w:rPr>
        <w:instrText>A10-0241/2025</w:instrText>
      </w:r>
      <w:bookmarkEnd w:id="1"/>
      <w:r w:rsidRPr="00CA0B8B">
        <w:rPr>
          <w:i/>
        </w:rPr>
        <w:instrText xml:space="preserve"> - Zpravodaj: Borys Budka)"\l3 \n&gt; \* MERGEFORMAT </w:instrText>
      </w:r>
      <w:r w:rsidRPr="00CA0B8B">
        <w:rPr>
          <w:i/>
        </w:rPr>
        <w:fldChar w:fldCharType="end"/>
      </w:r>
    </w:p>
    <w:p w14:paraId="6A7B4702" w14:textId="77777777" w:rsidR="0008698F" w:rsidRPr="00CA0B8B" w:rsidRDefault="0008698F" w:rsidP="0008698F">
      <w:pPr>
        <w:rPr>
          <w:vanish/>
        </w:rPr>
      </w:pPr>
      <w:bookmarkStart w:id="2" w:name="Commission"/>
      <w:r w:rsidRPr="00CA0B8B">
        <w:rPr>
          <w:vanish/>
        </w:rPr>
        <w:t>Výbor pro průmysl, výzkum a energetiku</w:t>
      </w:r>
      <w:bookmarkEnd w:id="2"/>
    </w:p>
    <w:p w14:paraId="165FFFF4" w14:textId="77777777" w:rsidR="0008698F" w:rsidRPr="00CA0B8B" w:rsidRDefault="0008698F" w:rsidP="0008698F">
      <w:pPr>
        <w:rPr>
          <w:vanish/>
        </w:rPr>
      </w:pPr>
      <w:bookmarkStart w:id="3" w:name="PE"/>
      <w:r w:rsidRPr="00CA0B8B">
        <w:rPr>
          <w:vanish/>
        </w:rPr>
        <w:t>PE779.752</w:t>
      </w:r>
      <w:bookmarkEnd w:id="3"/>
    </w:p>
    <w:p w14:paraId="7BEB0084" w14:textId="063A961D" w:rsidR="0008698F" w:rsidRPr="00CA0B8B" w:rsidRDefault="0008698F" w:rsidP="0008698F">
      <w:pPr>
        <w:pStyle w:val="ATHeading3"/>
      </w:pPr>
      <w:bookmarkStart w:id="4" w:name="Sujet"/>
      <w:r w:rsidRPr="00CA0B8B">
        <w:t>Legislativní usnesení Evropského parlamentu ze dne</w:t>
      </w:r>
      <w:r w:rsidR="006A7857">
        <w:t xml:space="preserve"> </w:t>
      </w:r>
      <w:r w:rsidR="00963802">
        <w:t>17</w:t>
      </w:r>
      <w:r w:rsidR="006A7857">
        <w:t>. prosince</w:t>
      </w:r>
      <w:r w:rsidRPr="00CA0B8B">
        <w:t xml:space="preserve"> 2025 o návrhu nařízení Rady o změně nařízení Rady (EU) 2021/1173 ze dne 13. července 2021, kterým se zřizuje společný podnik pro evropskou vysoce výkonnou výpočetní techniku a zrušuje nařízení (EU) 2018/1488</w:t>
      </w:r>
      <w:bookmarkEnd w:id="4"/>
      <w:r w:rsidRPr="00CA0B8B">
        <w:t xml:space="preserve"> </w:t>
      </w:r>
      <w:bookmarkStart w:id="5" w:name="References"/>
      <w:r w:rsidRPr="00CA0B8B">
        <w:t>(</w:t>
      </w:r>
      <w:proofErr w:type="gramStart"/>
      <w:r w:rsidRPr="00CA0B8B">
        <w:t>COM(</w:t>
      </w:r>
      <w:proofErr w:type="gramEnd"/>
      <w:r w:rsidRPr="00CA0B8B">
        <w:t>2025)0414 – C10-0204/2025 – 2025/0229(NLE))</w:t>
      </w:r>
      <w:bookmarkEnd w:id="5"/>
    </w:p>
    <w:p w14:paraId="017FAFBC" w14:textId="77777777" w:rsidR="0008698F" w:rsidRPr="00CA0B8B" w:rsidRDefault="0008698F" w:rsidP="0008698F"/>
    <w:p w14:paraId="6E591849" w14:textId="77777777" w:rsidR="00690C2E" w:rsidRPr="00CA0B8B" w:rsidRDefault="00690C2E" w:rsidP="00690C2E">
      <w:pPr>
        <w:pStyle w:val="NormalBold"/>
      </w:pPr>
      <w:bookmarkStart w:id="6" w:name="TextBodyBegin"/>
      <w:bookmarkEnd w:id="6"/>
      <w:r w:rsidRPr="00CA0B8B">
        <w:t>(Konzultace)</w:t>
      </w:r>
    </w:p>
    <w:p w14:paraId="6B058EDF" w14:textId="77777777" w:rsidR="00690C2E" w:rsidRPr="00CA0B8B" w:rsidRDefault="00690C2E" w:rsidP="00690C2E">
      <w:pPr>
        <w:pStyle w:val="EPComma"/>
      </w:pPr>
      <w:r w:rsidRPr="00CA0B8B">
        <w:rPr>
          <w:i/>
        </w:rPr>
        <w:t>Evropský parlament</w:t>
      </w:r>
      <w:r w:rsidRPr="00CA0B8B">
        <w:t>,</w:t>
      </w:r>
    </w:p>
    <w:p w14:paraId="4F46DFA5" w14:textId="77777777" w:rsidR="00690C2E" w:rsidRPr="00CA0B8B" w:rsidRDefault="00690C2E" w:rsidP="00690C2E">
      <w:pPr>
        <w:pStyle w:val="NormalHanging12a"/>
      </w:pPr>
      <w:r w:rsidRPr="00CA0B8B">
        <w:t>–</w:t>
      </w:r>
      <w:r w:rsidRPr="00CA0B8B">
        <w:tab/>
        <w:t>s ohledem na návrh Komise předložený Radě (</w:t>
      </w:r>
      <w:proofErr w:type="gramStart"/>
      <w:r w:rsidRPr="00CA0B8B">
        <w:t>COM(</w:t>
      </w:r>
      <w:proofErr w:type="gramEnd"/>
      <w:r w:rsidRPr="00CA0B8B">
        <w:t>2025)0414),</w:t>
      </w:r>
    </w:p>
    <w:p w14:paraId="6CFEA6AA" w14:textId="77777777" w:rsidR="00690C2E" w:rsidRPr="00CA0B8B" w:rsidRDefault="00690C2E" w:rsidP="00690C2E">
      <w:pPr>
        <w:pStyle w:val="NormalHanging12a"/>
      </w:pPr>
      <w:r w:rsidRPr="00CA0B8B">
        <w:t>–</w:t>
      </w:r>
      <w:r w:rsidRPr="00CA0B8B">
        <w:tab/>
        <w:t>s ohledem na článek 187 a čl. 188 odst. 1 Smlouvy o fungování Evropské unie, podle nichž Rada konzultovala s Parlamentem (C10</w:t>
      </w:r>
      <w:r w:rsidRPr="00CA0B8B">
        <w:noBreakHyphen/>
        <w:t>0204/2025),</w:t>
      </w:r>
    </w:p>
    <w:p w14:paraId="004CACEA" w14:textId="77777777" w:rsidR="00690C2E" w:rsidRPr="00CA0B8B" w:rsidRDefault="00690C2E" w:rsidP="00690C2E">
      <w:pPr>
        <w:pStyle w:val="NormalHanging12a"/>
      </w:pPr>
      <w:r w:rsidRPr="00CA0B8B">
        <w:t>–</w:t>
      </w:r>
      <w:r w:rsidRPr="00CA0B8B">
        <w:tab/>
        <w:t>s ohledem na článek 84 jednacího řádu,</w:t>
      </w:r>
    </w:p>
    <w:p w14:paraId="189248E1" w14:textId="77777777" w:rsidR="00690C2E" w:rsidRPr="00CA0B8B" w:rsidRDefault="00690C2E" w:rsidP="00690C2E">
      <w:pPr>
        <w:pStyle w:val="NormalHanging12a"/>
      </w:pPr>
      <w:r w:rsidRPr="00CA0B8B">
        <w:t>–</w:t>
      </w:r>
      <w:r w:rsidRPr="00CA0B8B">
        <w:tab/>
        <w:t>s ohledem na zprávu Výboru pro průmysl, výzkum a energetiku (A10</w:t>
      </w:r>
      <w:r w:rsidRPr="00CA0B8B">
        <w:noBreakHyphen/>
        <w:t>0241/2025),</w:t>
      </w:r>
    </w:p>
    <w:p w14:paraId="3F02983C" w14:textId="77777777" w:rsidR="00690C2E" w:rsidRPr="00CA0B8B" w:rsidRDefault="00690C2E" w:rsidP="00690C2E">
      <w:pPr>
        <w:pStyle w:val="NormalHanging12a"/>
      </w:pPr>
      <w:r w:rsidRPr="00CA0B8B">
        <w:t>1.</w:t>
      </w:r>
      <w:r w:rsidRPr="00CA0B8B">
        <w:tab/>
        <w:t>schvaluje pozměněný návrh Komise;</w:t>
      </w:r>
    </w:p>
    <w:p w14:paraId="61971C5A" w14:textId="77777777" w:rsidR="00690C2E" w:rsidRPr="00CA0B8B" w:rsidRDefault="00690C2E" w:rsidP="00690C2E">
      <w:pPr>
        <w:pStyle w:val="NormalHanging12a"/>
      </w:pPr>
      <w:r w:rsidRPr="00CA0B8B">
        <w:t>2.</w:t>
      </w:r>
      <w:r w:rsidRPr="00CA0B8B">
        <w:tab/>
        <w:t>vyzývá Komisi, aby návrh v souladu s čl. 293 odst. 2 Smlouvy o fungování Evropské unie změnila odpovídajícím způsobem;</w:t>
      </w:r>
    </w:p>
    <w:p w14:paraId="7D27A3F3" w14:textId="77777777" w:rsidR="00690C2E" w:rsidRPr="00CA0B8B" w:rsidRDefault="00690C2E" w:rsidP="00690C2E">
      <w:pPr>
        <w:pStyle w:val="NormalHanging12a"/>
      </w:pPr>
      <w:r w:rsidRPr="00CA0B8B">
        <w:t>3.</w:t>
      </w:r>
      <w:r w:rsidRPr="00CA0B8B">
        <w:tab/>
        <w:t>vyzývá Radu, aby informovala Parlament, bude-li mít v úmyslu odchýlit se od znění schváleného Parlamentem;</w:t>
      </w:r>
    </w:p>
    <w:p w14:paraId="74C999C2" w14:textId="77777777" w:rsidR="00690C2E" w:rsidRPr="00CA0B8B" w:rsidRDefault="00690C2E" w:rsidP="00690C2E">
      <w:pPr>
        <w:pStyle w:val="NormalHanging12a"/>
      </w:pPr>
      <w:r w:rsidRPr="00CA0B8B">
        <w:t>4.</w:t>
      </w:r>
      <w:r w:rsidRPr="00CA0B8B">
        <w:tab/>
        <w:t>vyzývá Radu, aby znovu konzultovala s Parlamentem, bude-li mít v úmyslu podstatně změnit návrh Komise;</w:t>
      </w:r>
    </w:p>
    <w:p w14:paraId="751CAAAC" w14:textId="77777777" w:rsidR="00690C2E" w:rsidRPr="00CA0B8B" w:rsidRDefault="00690C2E" w:rsidP="00690C2E">
      <w:pPr>
        <w:pStyle w:val="NormalHanging12a"/>
      </w:pPr>
      <w:r w:rsidRPr="00CA0B8B">
        <w:t>5.</w:t>
      </w:r>
      <w:r w:rsidRPr="00CA0B8B">
        <w:tab/>
        <w:t>pověřuje svou předsedkyni, aby předala postoj Parlamentu Radě a Komisi.</w:t>
      </w:r>
    </w:p>
    <w:p w14:paraId="67CC8AC8" w14:textId="77777777" w:rsidR="00690C2E" w:rsidRPr="00CA0B8B" w:rsidRDefault="00690C2E" w:rsidP="00690C2E"/>
    <w:p w14:paraId="5BA4969B" w14:textId="77777777" w:rsidR="00690C2E" w:rsidRPr="00CA0B8B" w:rsidRDefault="00690C2E" w:rsidP="00690C2E">
      <w:pPr>
        <w:widowControl/>
      </w:pPr>
      <w:r w:rsidRPr="00CA0B8B">
        <w:br w:type="page"/>
      </w:r>
    </w:p>
    <w:p w14:paraId="543294EB" w14:textId="77777777" w:rsidR="00690C2E" w:rsidRPr="00CA0B8B" w:rsidRDefault="00690C2E" w:rsidP="00690C2E">
      <w:pPr>
        <w:pStyle w:val="AmNumberTabs"/>
        <w:keepNext/>
      </w:pPr>
      <w:r w:rsidRPr="00CA0B8B">
        <w:lastRenderedPageBreak/>
        <w:t>Pozměňovací návrh</w:t>
      </w:r>
      <w:r w:rsidRPr="00CA0B8B">
        <w:tab/>
      </w:r>
      <w:r w:rsidRPr="00CA0B8B">
        <w:tab/>
        <w:t>1</w:t>
      </w:r>
    </w:p>
    <w:p w14:paraId="3387E8B1" w14:textId="77777777" w:rsidR="00690C2E" w:rsidRPr="00CA0B8B" w:rsidRDefault="00690C2E" w:rsidP="00690C2E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9752"/>
      </w:tblGrid>
      <w:tr w:rsidR="00690C2E" w:rsidRPr="00CA0B8B" w14:paraId="136A0A74" w14:textId="77777777" w:rsidTr="00F87EEE">
        <w:trPr>
          <w:jc w:val="center"/>
        </w:trPr>
        <w:tc>
          <w:tcPr>
            <w:tcW w:w="9752" w:type="dxa"/>
          </w:tcPr>
          <w:p w14:paraId="7FF6A8A9" w14:textId="77777777" w:rsidR="00690C2E" w:rsidRPr="00CA0B8B" w:rsidRDefault="00690C2E" w:rsidP="00F87EEE">
            <w:pPr>
              <w:spacing w:after="240"/>
              <w:jc w:val="center"/>
              <w:rPr>
                <w:szCs w:val="24"/>
              </w:rPr>
            </w:pPr>
            <w:r w:rsidRPr="00CA0B8B">
              <w:t>POZMĚŇOVACÍ NÁVRHY EVROPSKÉHO PARLAMENTU</w:t>
            </w:r>
            <w:r w:rsidRPr="00CA0B8B">
              <w:rPr>
                <w:rStyle w:val="FootnoteReference"/>
                <w:szCs w:val="24"/>
              </w:rPr>
              <w:footnoteReference w:customMarkFollows="1" w:id="1"/>
              <w:t>*</w:t>
            </w:r>
          </w:p>
          <w:p w14:paraId="34B15DD9" w14:textId="77777777" w:rsidR="00690C2E" w:rsidRPr="00CA0B8B" w:rsidRDefault="00690C2E" w:rsidP="00F87EEE">
            <w:pPr>
              <w:spacing w:after="240"/>
              <w:jc w:val="center"/>
              <w:rPr>
                <w:szCs w:val="24"/>
              </w:rPr>
            </w:pPr>
            <w:r w:rsidRPr="00CA0B8B">
              <w:t>k návrhu Komise</w:t>
            </w:r>
          </w:p>
        </w:tc>
      </w:tr>
      <w:tr w:rsidR="00690C2E" w:rsidRPr="00CA0B8B" w14:paraId="69865D8F" w14:textId="77777777" w:rsidTr="00F87EEE">
        <w:trPr>
          <w:jc w:val="center"/>
        </w:trPr>
        <w:tc>
          <w:tcPr>
            <w:tcW w:w="9752" w:type="dxa"/>
          </w:tcPr>
          <w:p w14:paraId="661FB597" w14:textId="77777777" w:rsidR="00690C2E" w:rsidRPr="00CA0B8B" w:rsidRDefault="00690C2E" w:rsidP="00F87EEE">
            <w:pPr>
              <w:pStyle w:val="Normal24"/>
              <w:spacing w:after="240"/>
              <w:jc w:val="center"/>
            </w:pPr>
            <w:r w:rsidRPr="00CA0B8B">
              <w:t>---------------------------------------------------------</w:t>
            </w:r>
          </w:p>
        </w:tc>
      </w:tr>
    </w:tbl>
    <w:p w14:paraId="62C032E1" w14:textId="77777777" w:rsidR="00690C2E" w:rsidRPr="00CA0B8B" w:rsidRDefault="00690C2E" w:rsidP="00690C2E">
      <w:pPr>
        <w:pStyle w:val="Typedudocument"/>
      </w:pPr>
      <w:r w:rsidRPr="00CA0B8B">
        <w:t>NAŘÍZENÍ RADY</w:t>
      </w:r>
    </w:p>
    <w:p w14:paraId="026CCC37" w14:textId="77777777" w:rsidR="00690C2E" w:rsidRPr="00CA0B8B" w:rsidRDefault="00690C2E" w:rsidP="00690C2E">
      <w:pPr>
        <w:pStyle w:val="Titreobjet"/>
      </w:pPr>
      <w:r w:rsidRPr="00CA0B8B">
        <w:t>o změně nařízení Rady (EU) 2021/1173 ze dne 13. července 2021, kterým se zřizuje společný podnik pro evropskou vysoce výkonnou výpočetní techniku a zrušuje nařízení (EU) 2018/1488</w:t>
      </w:r>
    </w:p>
    <w:p w14:paraId="22E311BB" w14:textId="77777777" w:rsidR="00690C2E" w:rsidRPr="00CA0B8B" w:rsidRDefault="00690C2E" w:rsidP="00DA2E4B">
      <w:pPr>
        <w:pStyle w:val="Institutionquiagit"/>
        <w:spacing w:before="120" w:line="360" w:lineRule="auto"/>
        <w:rPr>
          <w:szCs w:val="24"/>
        </w:rPr>
      </w:pPr>
      <w:r w:rsidRPr="00CA0B8B">
        <w:rPr>
          <w:szCs w:val="24"/>
        </w:rPr>
        <w:t>RADA EVROPSKÉ UNIE,</w:t>
      </w:r>
    </w:p>
    <w:p w14:paraId="7C2BEBCE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s ohledem na Smlouvu o fungování Evropské unie, a zejména na článek 187 a čl. 188 první pododstavec této smlouvy,</w:t>
      </w:r>
    </w:p>
    <w:p w14:paraId="3C022982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s ohledem na návrh Evropské komise,</w:t>
      </w:r>
    </w:p>
    <w:p w14:paraId="39FF3AD1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s ohledem na stanovisko Evropského parlamentu</w:t>
      </w:r>
      <w:r w:rsidRPr="00CA0B8B">
        <w:rPr>
          <w:rStyle w:val="FootnoteReference"/>
          <w:szCs w:val="24"/>
        </w:rPr>
        <w:footnoteReference w:id="2"/>
      </w:r>
      <w:r w:rsidRPr="00CA0B8B">
        <w:rPr>
          <w:szCs w:val="24"/>
        </w:rPr>
        <w:t>,</w:t>
      </w:r>
    </w:p>
    <w:p w14:paraId="0F802E8F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s ohledem na stanovisko Evropského hospodářského a sociálního výboru</w:t>
      </w:r>
      <w:r w:rsidRPr="00CA0B8B">
        <w:rPr>
          <w:rStyle w:val="FootnoteReference"/>
          <w:szCs w:val="24"/>
        </w:rPr>
        <w:footnoteReference w:id="3"/>
      </w:r>
      <w:r w:rsidRPr="00CA0B8B">
        <w:rPr>
          <w:szCs w:val="24"/>
        </w:rPr>
        <w:t xml:space="preserve">, </w:t>
      </w:r>
    </w:p>
    <w:p w14:paraId="4386D421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vzhledem k těmto důvodům:</w:t>
      </w:r>
    </w:p>
    <w:p w14:paraId="2684C7F6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(1)</w:t>
      </w:r>
      <w:r w:rsidRPr="00CA0B8B">
        <w:rPr>
          <w:szCs w:val="24"/>
        </w:rPr>
        <w:tab/>
        <w:t xml:space="preserve">Cílem nařízení Evropského parlamentu a Rady (EU) 2024/1689, kterým se stanoví harmonizovaná pravidla pro umělou inteligenci (akt o umělé inteligenci), je zlepšit fungování vnitřního trhu stanovením jednotného právního rámce zejména pro vývoj, uvádění na trh a využívání umělé inteligence v souladu s hodnotami Unie. </w:t>
      </w:r>
    </w:p>
    <w:p w14:paraId="4EF7F744" w14:textId="77777777" w:rsidR="00690C2E" w:rsidRPr="00CA0B8B" w:rsidRDefault="00690C2E" w:rsidP="00DA2E4B">
      <w:pPr>
        <w:pStyle w:val="ManualConsidrant"/>
        <w:spacing w:line="360" w:lineRule="auto"/>
        <w:rPr>
          <w:szCs w:val="24"/>
        </w:rPr>
      </w:pPr>
      <w:r w:rsidRPr="00CA0B8B">
        <w:rPr>
          <w:b/>
          <w:i/>
          <w:szCs w:val="24"/>
        </w:rPr>
        <w:t>(</w:t>
      </w:r>
      <w:proofErr w:type="gramStart"/>
      <w:r w:rsidRPr="00CA0B8B">
        <w:rPr>
          <w:b/>
          <w:i/>
          <w:szCs w:val="24"/>
        </w:rPr>
        <w:t>1a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szCs w:val="24"/>
        </w:rPr>
        <w:tab/>
      </w:r>
      <w:r w:rsidRPr="00CA0B8B">
        <w:rPr>
          <w:b/>
          <w:i/>
          <w:szCs w:val="24"/>
        </w:rPr>
        <w:t>V nařízení Evropského parlamentu a Rady (EU) 2021/695</w:t>
      </w:r>
      <w:r w:rsidRPr="00CA0B8B">
        <w:rPr>
          <w:rStyle w:val="FootnoteReference"/>
          <w:rFonts w:eastAsia="Times New Roman"/>
          <w:b/>
          <w:i/>
          <w:szCs w:val="24"/>
          <w:lang w:eastAsia="en-GB"/>
        </w:rPr>
        <w:footnoteReference w:id="4"/>
      </w:r>
      <w:r w:rsidRPr="00CA0B8B">
        <w:rPr>
          <w:b/>
          <w:i/>
          <w:szCs w:val="24"/>
        </w:rPr>
        <w:t xml:space="preserve"> je stanoven rámec pro výdaje Unie na výzkum a inovace, včetně druhů akcí a výdajů, které lze v tomto rámci financovat.</w:t>
      </w:r>
    </w:p>
    <w:p w14:paraId="19D5CFCF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(2)</w:t>
      </w:r>
      <w:r w:rsidRPr="00CA0B8B">
        <w:rPr>
          <w:szCs w:val="24"/>
        </w:rPr>
        <w:tab/>
        <w:t>Od roku 2021, kdy bylo přijato nařízení Rady (EU) 2021/1173, zaznamenala technologie umělé inteligence (AI) obrovský technický pokrok a stala se celosvětově vysoce strategickou oblastí, která je předmětem silné konkurence. Evropská unie stojí v čele úsilí zaměřeného na podporu odpovědných inovací v oblasti umělé inteligence, a to prostřednictvím usměrňování inovací, vytváření ochranných opatření a rozvoje globální správy.</w:t>
      </w:r>
    </w:p>
    <w:p w14:paraId="3A920573" w14:textId="77777777" w:rsidR="00690C2E" w:rsidRPr="00CA0B8B" w:rsidRDefault="00690C2E" w:rsidP="00DA2E4B">
      <w:pPr>
        <w:pStyle w:val="ManualConsidrant"/>
        <w:spacing w:line="360" w:lineRule="auto"/>
        <w:jc w:val="left"/>
        <w:rPr>
          <w:rFonts w:eastAsia="Times New Roman"/>
          <w:szCs w:val="24"/>
        </w:rPr>
      </w:pPr>
      <w:r w:rsidRPr="00CA0B8B">
        <w:rPr>
          <w:szCs w:val="24"/>
        </w:rPr>
        <w:t>(3)</w:t>
      </w:r>
      <w:r w:rsidRPr="00CA0B8B">
        <w:rPr>
          <w:szCs w:val="24"/>
        </w:rPr>
        <w:tab/>
        <w:t>Rozsáhlé modely umělé inteligence pro obecné účely se staly zásadními hybateli hospodářské konkurenceschopnosti a inovací. Stávají se klíčovými pro zvyšování produktivity v různých odvětvích a proměňují celé hodnotové řetězce, čímž určují budoucí vytváření ekonomické hodnoty. Očekává se, že další generace hraničních modelů umělé inteligence otevřou cestu ke skokovému rozvoji jejích schopností směrem k obecné umělé inteligenci (</w:t>
      </w:r>
      <w:proofErr w:type="spellStart"/>
      <w:r w:rsidRPr="00CA0B8B">
        <w:rPr>
          <w:szCs w:val="24"/>
        </w:rPr>
        <w:t>Artificial</w:t>
      </w:r>
      <w:proofErr w:type="spellEnd"/>
      <w:r w:rsidRPr="00CA0B8B">
        <w:rPr>
          <w:szCs w:val="24"/>
        </w:rPr>
        <w:t xml:space="preserve"> General </w:t>
      </w:r>
      <w:proofErr w:type="spellStart"/>
      <w:r w:rsidRPr="00CA0B8B">
        <w:rPr>
          <w:szCs w:val="24"/>
        </w:rPr>
        <w:t>Intelligence</w:t>
      </w:r>
      <w:proofErr w:type="spellEnd"/>
      <w:r w:rsidRPr="00CA0B8B">
        <w:rPr>
          <w:szCs w:val="24"/>
        </w:rPr>
        <w:t>, AGI), která bude schopna řešit velmi složité a různorodé úkoly a vyrovná se lidským schopnostem</w:t>
      </w:r>
      <w:r w:rsidRPr="00CA0B8B">
        <w:rPr>
          <w:b/>
          <w:bCs/>
          <w:i/>
          <w:iCs/>
          <w:szCs w:val="24"/>
        </w:rPr>
        <w:t>, která však může současně přinášet nová společenská rizika</w:t>
      </w:r>
      <w:r w:rsidRPr="00CA0B8B">
        <w:rPr>
          <w:szCs w:val="24"/>
        </w:rPr>
        <w:t xml:space="preserve">. Regiony, které budou schopny tyto modely umělé inteligence vyvíjet a zavádět </w:t>
      </w:r>
      <w:r w:rsidRPr="00CA0B8B">
        <w:rPr>
          <w:b/>
          <w:bCs/>
          <w:i/>
          <w:iCs/>
          <w:szCs w:val="24"/>
        </w:rPr>
        <w:t>udržitelně, bezpečně a </w:t>
      </w:r>
      <w:r w:rsidRPr="00CA0B8B">
        <w:rPr>
          <w:szCs w:val="24"/>
        </w:rPr>
        <w:t>ve velkém měřítku, se stanou lídry v oblasti globálních inovací</w:t>
      </w:r>
      <w:r w:rsidRPr="00CA0B8B">
        <w:rPr>
          <w:b/>
          <w:bCs/>
          <w:i/>
          <w:iCs/>
          <w:szCs w:val="24"/>
        </w:rPr>
        <w:t>, budou šířit důvěru</w:t>
      </w:r>
      <w:r w:rsidRPr="00CA0B8B">
        <w:rPr>
          <w:szCs w:val="24"/>
        </w:rPr>
        <w:t xml:space="preserve"> a přilákají špičkové talenty. Současně odvětví, jež zaujímají čelní pozici ve vědě a průmyslu, jako jsou </w:t>
      </w:r>
      <w:proofErr w:type="spellStart"/>
      <w:r w:rsidRPr="00CA0B8B">
        <w:rPr>
          <w:b/>
          <w:bCs/>
          <w:i/>
          <w:iCs/>
          <w:szCs w:val="24"/>
        </w:rPr>
        <w:t>agrotechnologie</w:t>
      </w:r>
      <w:proofErr w:type="spellEnd"/>
      <w:r w:rsidRPr="00CA0B8B">
        <w:rPr>
          <w:b/>
          <w:bCs/>
          <w:i/>
          <w:iCs/>
          <w:szCs w:val="24"/>
        </w:rPr>
        <w:t>,</w:t>
      </w:r>
      <w:r w:rsidRPr="00CA0B8B">
        <w:rPr>
          <w:szCs w:val="24"/>
        </w:rPr>
        <w:t xml:space="preserve"> biotechnologie, klima, automobilový průmysl, obrana, vesmír a letectví, vyžadují pro uskutečnění významných vědeckých objevů a průmyslových inovací založených na umělé inteligenci značné výpočetní zdroje. Budou využívány synergie mezi těmito činnostmi a činnostmi prováděnými v rámci jiných programů Unie, jako je například vesmírný program EU, přičemž budou zavedena vhodná ochranná opatření na obranu strategických zájmů Unie a jejích členských států.</w:t>
      </w:r>
    </w:p>
    <w:p w14:paraId="0EE7F109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(4)</w:t>
      </w:r>
      <w:r w:rsidRPr="00CA0B8B">
        <w:rPr>
          <w:szCs w:val="24"/>
        </w:rPr>
        <w:tab/>
        <w:t xml:space="preserve">Nejpokročilejší továrny na umělou inteligenci v Evropě budou vybaveny superpočítači s až 25 000 pokročilými procesory umělé inteligence, které umožní vyvíjet pouze modely umělé inteligence střední třídy. </w:t>
      </w:r>
      <w:r w:rsidRPr="00CA0B8B">
        <w:rPr>
          <w:b/>
          <w:bCs/>
          <w:i/>
          <w:iCs/>
          <w:szCs w:val="24"/>
        </w:rPr>
        <w:t>Má-li dojít ke</w:t>
      </w:r>
      <w:r w:rsidRPr="00CA0B8B">
        <w:rPr>
          <w:szCs w:val="24"/>
        </w:rPr>
        <w:t xml:space="preserve"> zvýšení výpočetních kapacit v Evropě na další úroveň a </w:t>
      </w:r>
      <w:r w:rsidRPr="00CA0B8B">
        <w:rPr>
          <w:b/>
          <w:i/>
          <w:szCs w:val="24"/>
        </w:rPr>
        <w:t>mají-li být poskytovány související služby, které budou sloužit rozmanitému, decentralizovanému a </w:t>
      </w:r>
      <w:proofErr w:type="spellStart"/>
      <w:r w:rsidRPr="00CA0B8B">
        <w:rPr>
          <w:b/>
          <w:i/>
          <w:szCs w:val="24"/>
        </w:rPr>
        <w:t>nemonolitickému</w:t>
      </w:r>
      <w:proofErr w:type="spellEnd"/>
      <w:r w:rsidRPr="00CA0B8B">
        <w:rPr>
          <w:b/>
          <w:i/>
          <w:szCs w:val="24"/>
        </w:rPr>
        <w:t xml:space="preserve"> uživatelskému ekosystému, jenž charakterizuje inovativní technologie v Unii, a mají-li být vytvářena zařízení nové generace, která umožní vývoj hraničních modelů AI, jsou zapotřebí značné investice</w:t>
      </w:r>
      <w:r w:rsidRPr="00CA0B8B">
        <w:rPr>
          <w:szCs w:val="24"/>
        </w:rPr>
        <w:t>.</w:t>
      </w:r>
    </w:p>
    <w:p w14:paraId="73169B17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(5)</w:t>
      </w:r>
      <w:r w:rsidRPr="00CA0B8B">
        <w:rPr>
          <w:szCs w:val="24"/>
        </w:rPr>
        <w:tab/>
        <w:t>Dne 9. dubna 2025 zahájila Komise Akční plán pro kontinent umělé inteligence</w:t>
      </w:r>
      <w:r w:rsidRPr="00CA0B8B">
        <w:rPr>
          <w:rStyle w:val="FootnoteReference"/>
          <w:szCs w:val="24"/>
        </w:rPr>
        <w:footnoteReference w:id="5"/>
      </w:r>
      <w:r w:rsidRPr="00CA0B8B">
        <w:rPr>
          <w:szCs w:val="24"/>
        </w:rPr>
        <w:t>, jehož cílem je zajistit pro Unii postavení globálního lídra v oblasti umělé inteligence. Hlavním pilířem této strategie je posílení celoevropské infrastruktury pro trénování pokročilých modelů umělé inteligence, čímž se koncept továren na umělou inteligenci z roku 2024 pozvedne na novou úroveň a </w:t>
      </w:r>
      <w:proofErr w:type="gramStart"/>
      <w:r w:rsidRPr="00CA0B8B">
        <w:rPr>
          <w:b/>
          <w:bCs/>
          <w:i/>
          <w:iCs/>
          <w:szCs w:val="24"/>
        </w:rPr>
        <w:t>rozšíří</w:t>
      </w:r>
      <w:proofErr w:type="gramEnd"/>
      <w:r w:rsidRPr="00CA0B8B">
        <w:rPr>
          <w:b/>
          <w:bCs/>
          <w:i/>
          <w:iCs/>
          <w:szCs w:val="24"/>
        </w:rPr>
        <w:t xml:space="preserve"> se přístup k těmto výpočetním kapacitám v celé Unii</w:t>
      </w:r>
      <w:r w:rsidRPr="00CA0B8B">
        <w:rPr>
          <w:szCs w:val="24"/>
        </w:rPr>
        <w:t xml:space="preserve">. </w:t>
      </w:r>
      <w:r w:rsidRPr="00CA0B8B">
        <w:rPr>
          <w:b/>
          <w:i/>
          <w:szCs w:val="24"/>
        </w:rPr>
        <w:t>Má se tedy za to, že vyvážené zeměpisné rozložení těchto zařízení pozitivně přispěje ke splnění kritérií týkajících se jejich potenciálního dopadu.</w:t>
      </w:r>
      <w:r w:rsidRPr="00CA0B8B">
        <w:rPr>
          <w:szCs w:val="24"/>
        </w:rPr>
        <w:t xml:space="preserve"> </w:t>
      </w:r>
    </w:p>
    <w:p w14:paraId="4548C3BB" w14:textId="77777777" w:rsidR="00690C2E" w:rsidRPr="00CA0B8B" w:rsidRDefault="00690C2E" w:rsidP="00DA2E4B">
      <w:pPr>
        <w:pStyle w:val="ManualConsidrant"/>
        <w:spacing w:line="360" w:lineRule="auto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(</w:t>
      </w:r>
      <w:proofErr w:type="gramStart"/>
      <w:r w:rsidRPr="00CA0B8B">
        <w:rPr>
          <w:b/>
          <w:i/>
          <w:szCs w:val="24"/>
        </w:rPr>
        <w:t>5a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szCs w:val="24"/>
        </w:rPr>
        <w:tab/>
      </w:r>
      <w:r w:rsidRPr="00CA0B8B">
        <w:rPr>
          <w:b/>
          <w:i/>
          <w:szCs w:val="24"/>
        </w:rPr>
        <w:t xml:space="preserve">Aby se zajistilo, aby malé a střední podniky, mikropodniky a společnosti se střední tržní kapitalizací mohly v praxi využívat </w:t>
      </w:r>
      <w:proofErr w:type="spellStart"/>
      <w:r w:rsidRPr="00CA0B8B">
        <w:rPr>
          <w:b/>
          <w:i/>
          <w:szCs w:val="24"/>
        </w:rPr>
        <w:t>gigatovárny</w:t>
      </w:r>
      <w:proofErr w:type="spellEnd"/>
      <w:r w:rsidRPr="00CA0B8B">
        <w:rPr>
          <w:b/>
          <w:i/>
          <w:szCs w:val="24"/>
        </w:rPr>
        <w:t xml:space="preserve"> na umělou inteligenci úměrně svým provozním kapacitám a očekávanému využití, měl by se jim v zájmu snížení administrativních překážek usnadnit a zjednodušit postup podávání žádostí a přístup ke </w:t>
      </w:r>
      <w:proofErr w:type="spellStart"/>
      <w:r w:rsidRPr="00CA0B8B">
        <w:rPr>
          <w:b/>
          <w:i/>
          <w:szCs w:val="24"/>
        </w:rPr>
        <w:t>gigatovárnám</w:t>
      </w:r>
      <w:proofErr w:type="spellEnd"/>
      <w:r w:rsidRPr="00CA0B8B">
        <w:rPr>
          <w:b/>
          <w:i/>
          <w:szCs w:val="24"/>
        </w:rPr>
        <w:t xml:space="preserve">. </w:t>
      </w:r>
    </w:p>
    <w:p w14:paraId="1389B8E0" w14:textId="098B5960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(6)</w:t>
      </w:r>
      <w:r w:rsidRPr="00CA0B8B">
        <w:rPr>
          <w:szCs w:val="24"/>
        </w:rPr>
        <w:tab/>
        <w:t xml:space="preserve">Očekává se, že vývoj nové generace hraničních modelů umělé inteligence bude vyžadovat rozsáhlá zařízení, která budou minimálně třikrát až čtyřikrát převyšovat počet nejpokročilejších procesorů umělé inteligence dostupných v nejvýkonnějších továrnách na umělou inteligenci, přičemž je třeba zohlednit kapacitu napájení a energetickou a vodní </w:t>
      </w:r>
      <w:r w:rsidRPr="00CA0B8B">
        <w:rPr>
          <w:b/>
          <w:bCs/>
          <w:i/>
          <w:iCs/>
          <w:szCs w:val="24"/>
        </w:rPr>
        <w:t>přístupnost,</w:t>
      </w:r>
      <w:r w:rsidRPr="00CA0B8B">
        <w:rPr>
          <w:szCs w:val="24"/>
        </w:rPr>
        <w:t xml:space="preserve"> účinnost a </w:t>
      </w:r>
      <w:proofErr w:type="spellStart"/>
      <w:r w:rsidRPr="00CA0B8B">
        <w:rPr>
          <w:szCs w:val="24"/>
        </w:rPr>
        <w:t>oběhovost</w:t>
      </w:r>
      <w:proofErr w:type="spellEnd"/>
      <w:r w:rsidRPr="00CA0B8B">
        <w:rPr>
          <w:szCs w:val="24"/>
        </w:rPr>
        <w:t xml:space="preserve">. Stávající mechanismy v rámci nařízení </w:t>
      </w:r>
      <w:r w:rsidR="00D858E7">
        <w:rPr>
          <w:szCs w:val="24"/>
        </w:rPr>
        <w:t xml:space="preserve">(EU) </w:t>
      </w:r>
      <w:r w:rsidRPr="00CA0B8B">
        <w:rPr>
          <w:szCs w:val="24"/>
        </w:rPr>
        <w:t xml:space="preserve">2021/1173 dnes nejsou vybaveny tak, aby podporovaly zřizování a provozování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inteligenci. Je proto nezbytné provést ▌změnu, jež společnému podniku pro evropskou vysoce výkonnou výpočetní techniku (dále jen „společný podnik“) poskytne potřebný právní základ, který mu umožní splnit závazky týkající se zřizování a provozu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v Evropě.</w:t>
      </w:r>
    </w:p>
    <w:p w14:paraId="258617FB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b/>
          <w:i/>
          <w:szCs w:val="24"/>
        </w:rPr>
        <w:t>(</w:t>
      </w:r>
      <w:proofErr w:type="gramStart"/>
      <w:r w:rsidRPr="00CA0B8B">
        <w:rPr>
          <w:b/>
          <w:i/>
          <w:szCs w:val="24"/>
        </w:rPr>
        <w:t>6a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szCs w:val="24"/>
        </w:rPr>
        <w:tab/>
      </w:r>
      <w:r w:rsidRPr="00CA0B8B">
        <w:rPr>
          <w:b/>
          <w:bCs/>
          <w:i/>
          <w:iCs/>
          <w:szCs w:val="24"/>
        </w:rPr>
        <w:t>V souladu se zjištěními zvláštní zprávy Mezinárodní energetické agentury týkající se výhledů v oblasti energetiky nazvané „</w:t>
      </w:r>
      <w:proofErr w:type="spellStart"/>
      <w:r w:rsidRPr="00CA0B8B">
        <w:rPr>
          <w:b/>
          <w:bCs/>
          <w:i/>
          <w:iCs/>
          <w:szCs w:val="24"/>
        </w:rPr>
        <w:t>Energy</w:t>
      </w:r>
      <w:proofErr w:type="spellEnd"/>
      <w:r w:rsidRPr="00CA0B8B">
        <w:rPr>
          <w:b/>
          <w:bCs/>
          <w:i/>
          <w:iCs/>
          <w:szCs w:val="24"/>
        </w:rPr>
        <w:t xml:space="preserve"> and AI“ („Energie a umělá inteligence“) klade nárůst výpočetní zátěže spojené s umělou inteligencí na elektrickou síť mimořádné nové nároky:</w:t>
      </w:r>
      <w:r w:rsidRPr="00CA0B8B">
        <w:rPr>
          <w:b/>
          <w:i/>
          <w:szCs w:val="24"/>
        </w:rPr>
        <w:t xml:space="preserve"> odhaduje se, že v celosvětovém měřítku stoupne spotřeba elektrické energie v datových centrech na více než dvojnásobek z přibližně 415 terawatthodin (</w:t>
      </w:r>
      <w:proofErr w:type="spellStart"/>
      <w:r w:rsidRPr="00CA0B8B">
        <w:rPr>
          <w:b/>
          <w:i/>
          <w:szCs w:val="24"/>
        </w:rPr>
        <w:t>TWh</w:t>
      </w:r>
      <w:proofErr w:type="spellEnd"/>
      <w:r w:rsidRPr="00CA0B8B">
        <w:rPr>
          <w:b/>
          <w:i/>
          <w:szCs w:val="24"/>
        </w:rPr>
        <w:t xml:space="preserve">) v roce 2024 na přibližně 945 </w:t>
      </w:r>
      <w:proofErr w:type="spellStart"/>
      <w:r w:rsidRPr="00CA0B8B">
        <w:rPr>
          <w:b/>
          <w:i/>
          <w:szCs w:val="24"/>
        </w:rPr>
        <w:t>TWh</w:t>
      </w:r>
      <w:proofErr w:type="spellEnd"/>
      <w:r w:rsidRPr="00CA0B8B">
        <w:rPr>
          <w:b/>
          <w:i/>
          <w:szCs w:val="24"/>
        </w:rPr>
        <w:t xml:space="preserve"> do roku 2030. Očekává se, že operace serverů založené na umělé inteligenci porostou přibližně o 30 % ročně a budou se na tomto růstu spotřeby energie podílet </w:t>
      </w:r>
      <w:r w:rsidRPr="00CA0B8B">
        <w:rPr>
          <w:b/>
          <w:i/>
          <w:szCs w:val="24"/>
        </w:rPr>
        <w:lastRenderedPageBreak/>
        <w:t>významnou měrou. V tomto ohledu musí investice a podpůrná opatření zahrnovat důkladné plánování propojení sítí, chladicí infrastruktury, řízení poptávky a integraci dodávek energie z obnovitelných zdrojů. Je třeba náležitě přihlížet k rizikům zatížení místní sítě, nákladné modernizaci a rovnováze s cíli v oblasti klimatu.</w:t>
      </w:r>
    </w:p>
    <w:p w14:paraId="2452D146" w14:textId="77777777" w:rsidR="00690C2E" w:rsidRPr="00CA0B8B" w:rsidRDefault="00690C2E" w:rsidP="00DA2E4B">
      <w:pPr>
        <w:pStyle w:val="ManualConsidrant"/>
        <w:spacing w:line="360" w:lineRule="auto"/>
        <w:jc w:val="left"/>
        <w:rPr>
          <w:b/>
          <w:i/>
          <w:szCs w:val="24"/>
        </w:rPr>
      </w:pPr>
      <w:r w:rsidRPr="00CA0B8B">
        <w:rPr>
          <w:szCs w:val="24"/>
        </w:rPr>
        <w:t>(7)</w:t>
      </w:r>
      <w:r w:rsidRPr="00CA0B8B">
        <w:rPr>
          <w:szCs w:val="24"/>
        </w:rPr>
        <w:tab/>
        <w:t xml:space="preserve">Posilování vědecké a technologické základny Unie je stále důležitější pro její dlouhodobou konkurenceschopnost a strategickou autonomii. </w:t>
      </w:r>
      <w:r w:rsidRPr="00CA0B8B">
        <w:rPr>
          <w:b/>
          <w:bCs/>
          <w:i/>
          <w:iCs/>
          <w:szCs w:val="24"/>
        </w:rPr>
        <w:t>Proto je více než kdy jindy důležité zachovat výši výdajů Unie na výzkum a inovace.</w:t>
      </w:r>
      <w:r w:rsidRPr="00CA0B8B">
        <w:rPr>
          <w:szCs w:val="24"/>
        </w:rPr>
        <w:t xml:space="preserve"> Umělá inteligence má potenciál urychlit vědecké objevy a posílit výzkumné kapacity ve všech oblastech. Je proto nezbytné, má-li si Evropa udržet a posílit své vedoucí postavení v oblasti výzkumu a inovací, aby soukromí i veřejní uživatelé umělé inteligence v </w:t>
      </w:r>
      <w:r w:rsidRPr="00CA0B8B">
        <w:rPr>
          <w:b/>
          <w:bCs/>
          <w:i/>
          <w:iCs/>
          <w:szCs w:val="24"/>
        </w:rPr>
        <w:t>celé</w:t>
      </w:r>
      <w:r w:rsidRPr="00CA0B8B">
        <w:rPr>
          <w:szCs w:val="24"/>
        </w:rPr>
        <w:t xml:space="preserve"> Unii, zejména malé a střední podniky</w:t>
      </w:r>
      <w:r w:rsidRPr="00CA0B8B">
        <w:rPr>
          <w:b/>
          <w:bCs/>
          <w:i/>
          <w:iCs/>
          <w:szCs w:val="24"/>
        </w:rPr>
        <w:t xml:space="preserve">, začínající podniky, </w:t>
      </w:r>
      <w:proofErr w:type="spellStart"/>
      <w:r w:rsidRPr="00CA0B8B">
        <w:rPr>
          <w:szCs w:val="24"/>
        </w:rPr>
        <w:t>scaleupy</w:t>
      </w:r>
      <w:proofErr w:type="spellEnd"/>
      <w:r w:rsidRPr="00CA0B8B">
        <w:rPr>
          <w:b/>
          <w:bCs/>
          <w:i/>
          <w:iCs/>
          <w:szCs w:val="24"/>
        </w:rPr>
        <w:t xml:space="preserve">, mikropodniky a výzkumné organizace, včetně těch, které se zabývají neziskovým nebo </w:t>
      </w:r>
      <w:proofErr w:type="spellStart"/>
      <w:r w:rsidRPr="00CA0B8B">
        <w:rPr>
          <w:b/>
          <w:bCs/>
          <w:i/>
          <w:iCs/>
          <w:szCs w:val="24"/>
        </w:rPr>
        <w:t>předkonkurenčním</w:t>
      </w:r>
      <w:proofErr w:type="spellEnd"/>
      <w:r w:rsidRPr="00CA0B8B">
        <w:rPr>
          <w:b/>
          <w:bCs/>
          <w:i/>
          <w:iCs/>
          <w:szCs w:val="24"/>
        </w:rPr>
        <w:t xml:space="preserve"> výzkumem</w:t>
      </w:r>
      <w:r w:rsidRPr="00CA0B8B">
        <w:rPr>
          <w:szCs w:val="24"/>
        </w:rPr>
        <w:t xml:space="preserve">, profitovali ze superpočítačové infrastruktury světové úrovně. </w:t>
      </w:r>
      <w:r w:rsidRPr="00CA0B8B">
        <w:rPr>
          <w:b/>
          <w:i/>
          <w:szCs w:val="24"/>
        </w:rPr>
        <w:t>Vzhledem ke strategickému významu umělé inteligence a značným požadavkům na související investice je třeba věnovat zvláštní pozornost kvalitě a bezpečnosti její fyzické, informační a síťové infrastruktury.</w:t>
      </w:r>
    </w:p>
    <w:p w14:paraId="18334326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b/>
          <w:i/>
          <w:szCs w:val="24"/>
        </w:rPr>
        <w:t>(</w:t>
      </w:r>
      <w:proofErr w:type="gramStart"/>
      <w:r w:rsidRPr="00CA0B8B">
        <w:rPr>
          <w:b/>
          <w:i/>
          <w:szCs w:val="24"/>
        </w:rPr>
        <w:t>7a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b/>
          <w:i/>
          <w:szCs w:val="24"/>
        </w:rPr>
        <w:tab/>
      </w:r>
      <w:proofErr w:type="spellStart"/>
      <w:r w:rsidRPr="00CA0B8B">
        <w:rPr>
          <w:b/>
          <w:i/>
          <w:szCs w:val="24"/>
        </w:rPr>
        <w:t>Gigatovárny</w:t>
      </w:r>
      <w:proofErr w:type="spellEnd"/>
      <w:r w:rsidRPr="00CA0B8B">
        <w:rPr>
          <w:b/>
          <w:i/>
          <w:szCs w:val="24"/>
        </w:rPr>
        <w:t xml:space="preserve"> na umělou inteligenci by měly podporovat vývoj produktů a služeb, které odrážejí etické a právní zásady Unie. </w:t>
      </w:r>
    </w:p>
    <w:p w14:paraId="01A3BEAF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(8)</w:t>
      </w:r>
      <w:r w:rsidRPr="00CA0B8B">
        <w:rPr>
          <w:szCs w:val="24"/>
        </w:rPr>
        <w:tab/>
        <w:t>V Kompasu konkurenceschopnosti Evropské komise, přijatém dne 29. ledna 2025, jsou strategické technologie, včetně kvantových technologií a vysoce výkonné výpočetní techniky, označeny za základní pilíře pro zajištění technologické suverenity, ekonomické odolnosti a globálního prvenství Evropy. Poukazuje se v něm na potřebu koordinovaných investic a rozvoje ekosystému na poli výzkumu, infrastruktury, průmyslu a dovedností, aby se posílila konkurenceschopnost Unie v těchto oblastech.</w:t>
      </w:r>
    </w:p>
    <w:p w14:paraId="01D6E3B2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(9)</w:t>
      </w:r>
      <w:r w:rsidRPr="00CA0B8B">
        <w:rPr>
          <w:szCs w:val="24"/>
        </w:rPr>
        <w:tab/>
        <w:t xml:space="preserve">V evropské kvantové strategii, </w:t>
      </w:r>
      <w:r w:rsidRPr="00CA0B8B">
        <w:rPr>
          <w:b/>
          <w:bCs/>
          <w:i/>
          <w:iCs/>
          <w:szCs w:val="24"/>
        </w:rPr>
        <w:t>přijaté</w:t>
      </w:r>
      <w:r w:rsidRPr="00CA0B8B">
        <w:rPr>
          <w:szCs w:val="24"/>
        </w:rPr>
        <w:t xml:space="preserve"> v červenci 2025, je stanoven komplexní rámec pro urychlení kvantového výzkumu, inovací, industrializace a zavádění kvantových technologií a kvantové infrastruktury. Jejím cílem je vybudovat udržitelný a konkurenceschopný kvantový ekosystém, který bude zahrnovat výpočetní techniku, komunikaci, snímání a metrologii, se silným důrazem na rozvoj dovedností a mezinárodní spolupráci. </w:t>
      </w:r>
      <w:r w:rsidRPr="00CA0B8B">
        <w:rPr>
          <w:b/>
          <w:i/>
          <w:szCs w:val="24"/>
        </w:rPr>
        <w:t xml:space="preserve">Vzhledem k tomu, že se v evropské kvantové strategii převádí financování výzkumu a inovací v rámci druhého pilíře programu Horizont </w:t>
      </w:r>
      <w:r w:rsidRPr="00CA0B8B">
        <w:rPr>
          <w:b/>
          <w:i/>
          <w:szCs w:val="24"/>
        </w:rPr>
        <w:lastRenderedPageBreak/>
        <w:t>Evropa na činnost v oblasti kvantového výzkumu a inovací, je třeba v rámci společného podniku zajistit dostatečné financování této činnosti.</w:t>
      </w:r>
    </w:p>
    <w:p w14:paraId="2BE9C5E9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(10)</w:t>
      </w:r>
      <w:r w:rsidRPr="00CA0B8B">
        <w:rPr>
          <w:szCs w:val="24"/>
        </w:rPr>
        <w:tab/>
        <w:t xml:space="preserve">Vzhledem k politickému významu </w:t>
      </w:r>
      <w:r w:rsidRPr="00CA0B8B">
        <w:rPr>
          <w:b/>
          <w:bCs/>
          <w:i/>
          <w:iCs/>
          <w:szCs w:val="24"/>
        </w:rPr>
        <w:t xml:space="preserve">zakládání </w:t>
      </w:r>
      <w:proofErr w:type="spellStart"/>
      <w:r w:rsidRPr="00CA0B8B">
        <w:rPr>
          <w:b/>
          <w:bCs/>
          <w:i/>
          <w:iCs/>
          <w:szCs w:val="24"/>
        </w:rPr>
        <w:t>gigatováren</w:t>
      </w:r>
      <w:proofErr w:type="spellEnd"/>
      <w:r w:rsidRPr="00CA0B8B">
        <w:rPr>
          <w:b/>
          <w:bCs/>
          <w:i/>
          <w:iCs/>
          <w:szCs w:val="24"/>
        </w:rPr>
        <w:t xml:space="preserve"> na umělou inteligenci v Unii</w:t>
      </w:r>
      <w:r w:rsidRPr="00CA0B8B">
        <w:rPr>
          <w:szCs w:val="24"/>
        </w:rPr>
        <w:t xml:space="preserve"> je třeba, má-li být Unie schopna dosáhnout tohoto cíle ▌, zvýšit částky původně přidělené z ▌programu Digitální Evropa a Nástroje pro propojení Evropy. </w:t>
      </w:r>
      <w:r w:rsidRPr="00CA0B8B">
        <w:rPr>
          <w:b/>
          <w:bCs/>
          <w:i/>
          <w:iCs/>
          <w:szCs w:val="24"/>
        </w:rPr>
        <w:t xml:space="preserve">Vedle toho by se měl použít dodatečný příspěvek z programu Horizont Evropa vyčleněný konkrétně na tento účel, a nabídla se tak jistota, pokud jde o odběr služeb poskytovaných </w:t>
      </w:r>
      <w:proofErr w:type="spellStart"/>
      <w:r w:rsidRPr="00CA0B8B">
        <w:rPr>
          <w:b/>
          <w:bCs/>
          <w:i/>
          <w:iCs/>
          <w:szCs w:val="24"/>
        </w:rPr>
        <w:t>gigatovárnami</w:t>
      </w:r>
      <w:proofErr w:type="spellEnd"/>
      <w:r w:rsidRPr="00CA0B8B">
        <w:rPr>
          <w:b/>
          <w:bCs/>
          <w:i/>
          <w:iCs/>
          <w:szCs w:val="24"/>
        </w:rPr>
        <w:t xml:space="preserve"> na umělou inteligenci výzkumným pracovníkům, inovátorům a začínajícím podnikům.</w:t>
      </w:r>
      <w:r w:rsidRPr="00CA0B8B">
        <w:rPr>
          <w:b/>
          <w:i/>
          <w:szCs w:val="24"/>
        </w:rPr>
        <w:t xml:space="preserve"> To posílí ekonomické opodstatnění </w:t>
      </w:r>
      <w:proofErr w:type="spellStart"/>
      <w:r w:rsidRPr="00CA0B8B">
        <w:rPr>
          <w:b/>
          <w:i/>
          <w:szCs w:val="24"/>
        </w:rPr>
        <w:t>gigatováren</w:t>
      </w:r>
      <w:proofErr w:type="spellEnd"/>
      <w:r w:rsidRPr="00CA0B8B">
        <w:rPr>
          <w:b/>
          <w:i/>
          <w:szCs w:val="24"/>
        </w:rPr>
        <w:t xml:space="preserve"> na umělou inteligenci a umožní to konsorciím uvolnit dodatečné financování. </w:t>
      </w:r>
      <w:r w:rsidRPr="00CA0B8B">
        <w:rPr>
          <w:b/>
          <w:bCs/>
          <w:i/>
          <w:iCs/>
          <w:szCs w:val="24"/>
        </w:rPr>
        <w:t>Všechny uvedené dodatečné příspěvky by měly být v souladu s použitelnými právními ustanoveními a měly by záviset</w:t>
      </w:r>
      <w:r w:rsidRPr="00CA0B8B">
        <w:rPr>
          <w:szCs w:val="24"/>
        </w:rPr>
        <w:t xml:space="preserve"> na dostupnosti rozpočtových prostředků. </w:t>
      </w:r>
    </w:p>
    <w:p w14:paraId="425A3AFF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b/>
          <w:i/>
          <w:szCs w:val="24"/>
        </w:rPr>
        <w:t>(</w:t>
      </w:r>
      <w:proofErr w:type="gramStart"/>
      <w:r w:rsidRPr="00CA0B8B">
        <w:rPr>
          <w:b/>
          <w:i/>
          <w:szCs w:val="24"/>
        </w:rPr>
        <w:t>10a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szCs w:val="24"/>
        </w:rPr>
        <w:tab/>
      </w:r>
      <w:r w:rsidRPr="00CA0B8B">
        <w:rPr>
          <w:b/>
          <w:i/>
          <w:szCs w:val="24"/>
        </w:rPr>
        <w:t>Zvláštní, účelově vázaná část dodatečného příspěvku Unie pro společný podnik by měla být určena výhradně na výzkumnou a inovační činnost v oblasti kvantových technologií. Mezi tímto účelově vázaným rozpočtem a rozpočtem, který je k dispozici pro vysoce výkonnou výpočetní techniku a činnost v oblasti umělé inteligence, by neměly být povoleny žádné převody. Členské státy by měly mít možnost svůj příspěvek do společného podniku určený na podporu výzkumné a inovační činnosti v oblasti kvantových technologií zvýšit. Jakýkoli takový dodatečný příspěvek by měl být rovněž účelově vázán.</w:t>
      </w:r>
    </w:p>
    <w:p w14:paraId="1A960E6F" w14:textId="77777777" w:rsidR="00690C2E" w:rsidRPr="00CA0B8B" w:rsidRDefault="00690C2E" w:rsidP="00DA2E4B">
      <w:pPr>
        <w:pStyle w:val="ManualConsidrant"/>
        <w:spacing w:line="360" w:lineRule="auto"/>
        <w:jc w:val="left"/>
        <w:rPr>
          <w:rFonts w:eastAsia="Calibri"/>
          <w:color w:val="000000" w:themeColor="text1"/>
          <w:szCs w:val="24"/>
        </w:rPr>
      </w:pPr>
      <w:r w:rsidRPr="00CA0B8B">
        <w:rPr>
          <w:szCs w:val="24"/>
        </w:rPr>
        <w:t>(11)</w:t>
      </w:r>
      <w:r w:rsidRPr="00CA0B8B">
        <w:rPr>
          <w:szCs w:val="24"/>
        </w:rPr>
        <w:tab/>
        <w:t xml:space="preserve">Vzhledem k rychlému technologickému vývoji v této oblasti a přizpůsobování politiky Unie v oblasti umělé inteligence by v nadcházejících letech mohlo být zapotřebí další významné financování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ze strany Unie. S ohledem na tento specifický politický kontext by mělo být možné svěřit společnému podniku další finanční prostředky Unie nad rámec částek stanovených v čl. 5 odst. 1</w:t>
      </w:r>
      <w:r w:rsidRPr="00CA0B8B">
        <w:rPr>
          <w:b/>
          <w:bCs/>
          <w:i/>
          <w:iCs/>
          <w:szCs w:val="24"/>
        </w:rPr>
        <w:t>, a to pod podmínkou posouzení hospodářského dopadu, jasného popisu zamýšleného použití svěřených finančních prostředků a harmonogramu jejich použití</w:t>
      </w:r>
      <w:r w:rsidRPr="00CA0B8B">
        <w:rPr>
          <w:szCs w:val="24"/>
        </w:rPr>
        <w:t>. Tento další příspěvek Unie by pak měl být doplněn příspěvky jiných členů společného podniku, než je Unie, které by měly být přinejmenším ve stejné výši.</w:t>
      </w:r>
    </w:p>
    <w:p w14:paraId="09B4868E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(12)</w:t>
      </w:r>
      <w:r w:rsidRPr="00CA0B8B">
        <w:rPr>
          <w:szCs w:val="24"/>
        </w:rPr>
        <w:tab/>
        <w:t xml:space="preserve">Aby se urychlil vývoj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v celé Unii, mohou se členské státy rozhodnout, že využijí zbývající příděly v rámci Nástroje pro oživení a odolnost k financování svých vlastních příspěvků na </w:t>
      </w:r>
      <w:proofErr w:type="spellStart"/>
      <w:r w:rsidRPr="00CA0B8B">
        <w:rPr>
          <w:szCs w:val="24"/>
        </w:rPr>
        <w:t>gigatovárnu</w:t>
      </w:r>
      <w:proofErr w:type="spellEnd"/>
      <w:r w:rsidRPr="00CA0B8B">
        <w:rPr>
          <w:szCs w:val="24"/>
        </w:rPr>
        <w:t xml:space="preserve"> na umělou inteligenci. Za </w:t>
      </w:r>
      <w:r w:rsidRPr="00CA0B8B">
        <w:rPr>
          <w:szCs w:val="24"/>
        </w:rPr>
        <w:lastRenderedPageBreak/>
        <w:t xml:space="preserve">tímto účelem by členské státy měly mít možnost poskytovat společnému podniku příspěvky na podporu projektů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inteligenci.</w:t>
      </w:r>
    </w:p>
    <w:p w14:paraId="6D9A9AF9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szCs w:val="24"/>
        </w:rPr>
        <w:t>(13)</w:t>
      </w:r>
      <w:r w:rsidRPr="00CA0B8B">
        <w:rPr>
          <w:szCs w:val="24"/>
        </w:rPr>
        <w:tab/>
        <w:t xml:space="preserve">Mělo by být možné, aby Unie poskytla na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další příspěvky z jiných programů, které nejsou uvedeny v čl. 5 odst. 1, pokud budou podepsány zvláštní dohody o příspěvku ad hoc a pokud poskytne odpovídající příspěvek i jeden nebo více členů společného podniku jiných než Unie. Příslušné dohody o příspěvku musí obsahovat jasný popis zamýšleného využití svěřených finančních prostředků a harmonogram jejich použití v souladu s příslušným pracovním programem Komise.</w:t>
      </w:r>
    </w:p>
    <w:p w14:paraId="5F3834CC" w14:textId="77777777" w:rsidR="00690C2E" w:rsidRPr="00CA0B8B" w:rsidRDefault="00690C2E" w:rsidP="00DA2E4B">
      <w:pPr>
        <w:pStyle w:val="ManualConsidrant"/>
        <w:spacing w:line="360" w:lineRule="auto"/>
        <w:jc w:val="left"/>
        <w:rPr>
          <w:szCs w:val="24"/>
        </w:rPr>
      </w:pPr>
      <w:r w:rsidRPr="00CA0B8B">
        <w:rPr>
          <w:b/>
          <w:i/>
          <w:szCs w:val="24"/>
        </w:rPr>
        <w:t>(</w:t>
      </w:r>
      <w:proofErr w:type="gramStart"/>
      <w:r w:rsidRPr="00CA0B8B">
        <w:rPr>
          <w:b/>
          <w:i/>
          <w:szCs w:val="24"/>
        </w:rPr>
        <w:t>13a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szCs w:val="24"/>
        </w:rPr>
        <w:tab/>
      </w:r>
      <w:r w:rsidRPr="00CA0B8B">
        <w:rPr>
          <w:b/>
          <w:i/>
          <w:szCs w:val="24"/>
        </w:rPr>
        <w:t>Vzhledem k tomu, že rozsáhlé zavádění vysoce výkonných počítačových systémů a velkokapacitní infrastruktury pro umělou inteligenci s sebou nese významnou spotřebu energie, vody a dalších zdrojů, měla by být tato infrastruktura navrhována a provozována v souladu s cíli Unie v oblasti klimatické neutrality a energetické účinnosti, což zahrnuje získávání energie z obnovitelných zdrojů, účinné chlazení a zpětné získávání odpadního tepla,</w:t>
      </w:r>
    </w:p>
    <w:p w14:paraId="7A71E288" w14:textId="77777777" w:rsidR="00690C2E" w:rsidRPr="00CA0B8B" w:rsidRDefault="00690C2E" w:rsidP="00DA2E4B">
      <w:pPr>
        <w:pStyle w:val="Formuledadoption"/>
        <w:spacing w:line="360" w:lineRule="auto"/>
        <w:rPr>
          <w:szCs w:val="24"/>
        </w:rPr>
      </w:pPr>
      <w:r w:rsidRPr="00CA0B8B">
        <w:rPr>
          <w:szCs w:val="24"/>
        </w:rPr>
        <w:t>PŘIJALA TOTO NAŘÍZENÍ:</w:t>
      </w:r>
    </w:p>
    <w:p w14:paraId="7E0C6F2B" w14:textId="77777777" w:rsidR="00690C2E" w:rsidRPr="00CA0B8B" w:rsidRDefault="00690C2E" w:rsidP="00DA2E4B">
      <w:pPr>
        <w:pStyle w:val="Titrearticle"/>
        <w:spacing w:before="120" w:line="360" w:lineRule="auto"/>
        <w:rPr>
          <w:szCs w:val="24"/>
        </w:rPr>
      </w:pPr>
      <w:bookmarkStart w:id="7" w:name="_Hlk199335603"/>
      <w:r w:rsidRPr="00CA0B8B">
        <w:rPr>
          <w:szCs w:val="24"/>
        </w:rPr>
        <w:t>Článek 1</w:t>
      </w:r>
    </w:p>
    <w:p w14:paraId="3E11B6E3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Nařízení (EU) 2021/1173 se mění takto:</w:t>
      </w:r>
    </w:p>
    <w:bookmarkEnd w:id="7"/>
    <w:p w14:paraId="48A1FC74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1)</w:t>
      </w:r>
      <w:r w:rsidRPr="00CA0B8B">
        <w:rPr>
          <w:szCs w:val="24"/>
        </w:rPr>
        <w:tab/>
        <w:t>článek 2 se mění takto:</w:t>
      </w:r>
    </w:p>
    <w:p w14:paraId="095ECDC1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2)</w:t>
      </w:r>
      <w:r w:rsidRPr="00CA0B8B">
        <w:rPr>
          <w:szCs w:val="24"/>
        </w:rPr>
        <w:tab/>
        <w:t>vkládá se nový bod 3c), který zní:</w:t>
      </w:r>
    </w:p>
    <w:p w14:paraId="15080FE6" w14:textId="77777777" w:rsidR="00690C2E" w:rsidRPr="00CA0B8B" w:rsidRDefault="00690C2E" w:rsidP="00005378">
      <w:pPr>
        <w:pStyle w:val="Text1"/>
        <w:spacing w:line="360" w:lineRule="auto"/>
        <w:ind w:left="851"/>
        <w:jc w:val="left"/>
        <w:rPr>
          <w:color w:val="000000" w:themeColor="text1"/>
          <w:szCs w:val="24"/>
        </w:rPr>
      </w:pPr>
      <w:r w:rsidRPr="00CA0B8B">
        <w:rPr>
          <w:szCs w:val="24"/>
        </w:rPr>
        <w:t xml:space="preserve">„3c) </w:t>
      </w:r>
      <w:r w:rsidRPr="00CA0B8B">
        <w:rPr>
          <w:szCs w:val="24"/>
        </w:rPr>
        <w:tab/>
        <w:t>„</w:t>
      </w:r>
      <w:proofErr w:type="spellStart"/>
      <w:r w:rsidRPr="00CA0B8B">
        <w:rPr>
          <w:szCs w:val="24"/>
        </w:rPr>
        <w:t>gigatovárnou</w:t>
      </w:r>
      <w:proofErr w:type="spellEnd"/>
      <w:r w:rsidRPr="00CA0B8B">
        <w:rPr>
          <w:szCs w:val="24"/>
        </w:rPr>
        <w:t xml:space="preserve"> na umělou inteligenci“ nejmodernější rozsáhlé zařízení, </w:t>
      </w:r>
      <w:r w:rsidRPr="00CA0B8B">
        <w:rPr>
          <w:b/>
          <w:bCs/>
          <w:i/>
          <w:iCs/>
          <w:szCs w:val="24"/>
        </w:rPr>
        <w:t>které má více než 100 000 pokročilých procesorů umělé inteligence, jak je uvedeno ve sdělení Komise ze dne 9. dubna 2025 nazvaném „Akční plán pro kontinent umělé inteligence“,</w:t>
      </w:r>
      <w:r w:rsidRPr="00CA0B8B">
        <w:rPr>
          <w:szCs w:val="24"/>
        </w:rPr>
        <w:t xml:space="preserve"> s dostatečnou kapacitou pro zvládání celého životního cyklu – vývoje, trénování, dolaďování a vyvozování závěrů z dat velkého objemu – velmi rozsáhlých modelů a aplikací umělé inteligence poskytující infrastrukturu superpočítačových služeb, která se skládá z výpočetní kapacity optimalizované pro umělou inteligenci, podpůrné infrastruktury datového centra (včetně vysokokapacitních úložišť a sítí), vyhrazeného bezpečného prostředí pro přístup uživatelů ke cloudu a specializovaných bezpečných podpůrných služeb zaměřených na umělou </w:t>
      </w:r>
      <w:r w:rsidRPr="00CA0B8B">
        <w:rPr>
          <w:szCs w:val="24"/>
        </w:rPr>
        <w:lastRenderedPageBreak/>
        <w:t>inteligenci pro její pokročilý provoz a je podporována environmentálně udržitelným systémem dodávky energie;“;</w:t>
      </w:r>
    </w:p>
    <w:p w14:paraId="7156B987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3)</w:t>
      </w:r>
      <w:r w:rsidRPr="00CA0B8B">
        <w:rPr>
          <w:szCs w:val="24"/>
        </w:rPr>
        <w:tab/>
        <w:t xml:space="preserve">vkládá se nový bod </w:t>
      </w:r>
      <w:proofErr w:type="gramStart"/>
      <w:r w:rsidRPr="00CA0B8B">
        <w:rPr>
          <w:szCs w:val="24"/>
        </w:rPr>
        <w:t>3d</w:t>
      </w:r>
      <w:proofErr w:type="gramEnd"/>
      <w:r w:rsidRPr="00CA0B8B">
        <w:rPr>
          <w:szCs w:val="24"/>
        </w:rPr>
        <w:t>), který zní:</w:t>
      </w:r>
    </w:p>
    <w:p w14:paraId="27185B1E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</w:t>
      </w:r>
      <w:proofErr w:type="gramStart"/>
      <w:r w:rsidRPr="00CA0B8B">
        <w:rPr>
          <w:szCs w:val="24"/>
        </w:rPr>
        <w:t>3d</w:t>
      </w:r>
      <w:proofErr w:type="gramEnd"/>
      <w:r w:rsidRPr="00CA0B8B">
        <w:rPr>
          <w:szCs w:val="24"/>
        </w:rPr>
        <w:t>)</w:t>
      </w:r>
      <w:r w:rsidRPr="00CA0B8B">
        <w:rPr>
          <w:szCs w:val="24"/>
        </w:rPr>
        <w:tab/>
        <w:t xml:space="preserve">„konsorciem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inteligenci“ sdružení právních subjektů řádně zapsaných do rejstříku v Unii, které se sdružují v konsorciu za účelem zřízení a provozování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a určují příslušné úlohy a odpovědnosti těchto subjektů po dobu existence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nebo nový právní subjekt založený za účelem zřízení a provozování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který má právní formu uznanou v kterémkoli členském státě.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se zřizuje na dobu nejméně pěti let. Jeden či více soukromých partnerů v konsorciu se může angažovat v rámci soukromých členů společného podniku;“;</w:t>
      </w:r>
    </w:p>
    <w:p w14:paraId="6C6C571A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4)</w:t>
      </w:r>
      <w:r w:rsidRPr="00CA0B8B">
        <w:rPr>
          <w:szCs w:val="24"/>
        </w:rPr>
        <w:tab/>
        <w:t>vkládá se nový bod 3e), který zní:</w:t>
      </w:r>
    </w:p>
    <w:p w14:paraId="13566C0C" w14:textId="77777777" w:rsidR="00690C2E" w:rsidRPr="00CA0B8B" w:rsidRDefault="00690C2E" w:rsidP="00DA2E4B">
      <w:pPr>
        <w:pStyle w:val="Text1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 xml:space="preserve">„3e) „koordinátorem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inteligenci“ právní subjekt řádně zapsaný do rejstříku v Unii a platně existující podle práva členského státu usazení, </w:t>
      </w:r>
      <w:r w:rsidRPr="00CA0B8B">
        <w:rPr>
          <w:b/>
          <w:bCs/>
          <w:i/>
          <w:iCs/>
          <w:szCs w:val="24"/>
        </w:rPr>
        <w:t>který nepodléhá jurisdikčním nebo finančním podmínkám stanoveným v právu třetí země a </w:t>
      </w:r>
      <w:r w:rsidRPr="00CA0B8B">
        <w:rPr>
          <w:szCs w:val="24"/>
        </w:rPr>
        <w:t xml:space="preserve">který je právně zmocněn zastupovat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a má právní způsobilost a pravomoc uzavírat, vykonávat a plnit dohodu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 koordinátor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má sídlo v Unii a je přímo či nepřímo ovládán právnickými nebo fyzickými osobami usazenými v Unii, a to na základě vlastnického podílu nebo jiným způsobem, jak je definováno v kapitole IV nařízení (EU) 2024/1624 a v příslušných zásadách práva hospodářské soutěže Unie. Koordinátorem může být rovněž stávající hostitelský subjekt zastupující zúčastněný stát, který je členským státem, nebo hostitelské konsorcium zúčastněných států;“;</w:t>
      </w:r>
    </w:p>
    <w:p w14:paraId="757BB58A" w14:textId="77777777" w:rsidR="00690C2E" w:rsidRPr="00CA0B8B" w:rsidRDefault="00690C2E" w:rsidP="00DA2E4B">
      <w:pPr>
        <w:pStyle w:val="Point0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5)</w:t>
      </w:r>
      <w:r w:rsidRPr="00CA0B8B">
        <w:rPr>
          <w:szCs w:val="24"/>
        </w:rPr>
        <w:tab/>
        <w:t>vkládá se nový bod 3f), který zní:</w:t>
      </w:r>
    </w:p>
    <w:p w14:paraId="25F05D48" w14:textId="77777777" w:rsidR="00690C2E" w:rsidRPr="00CA0B8B" w:rsidRDefault="00690C2E" w:rsidP="00DA2E4B">
      <w:pPr>
        <w:pStyle w:val="Text1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 xml:space="preserve">„3f) „dohodou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inteligenci“ správní dohoda mezi společným podnikem a koordinátorem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o hostingu a provozování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inteligenci;“;</w:t>
      </w:r>
    </w:p>
    <w:p w14:paraId="1137473C" w14:textId="77777777" w:rsidR="00690C2E" w:rsidRPr="00CA0B8B" w:rsidRDefault="00690C2E" w:rsidP="00DA2E4B">
      <w:pPr>
        <w:pStyle w:val="Point0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6)</w:t>
      </w:r>
      <w:r w:rsidRPr="00CA0B8B">
        <w:rPr>
          <w:szCs w:val="24"/>
        </w:rPr>
        <w:tab/>
        <w:t xml:space="preserve">vkládá se nový bod </w:t>
      </w:r>
      <w:proofErr w:type="gramStart"/>
      <w:r w:rsidRPr="00CA0B8B">
        <w:rPr>
          <w:szCs w:val="24"/>
        </w:rPr>
        <w:t>3g</w:t>
      </w:r>
      <w:proofErr w:type="gramEnd"/>
      <w:r w:rsidRPr="00CA0B8B">
        <w:rPr>
          <w:szCs w:val="24"/>
        </w:rPr>
        <w:t>), který zní:</w:t>
      </w:r>
    </w:p>
    <w:p w14:paraId="10B4857E" w14:textId="77777777" w:rsidR="00690C2E" w:rsidRPr="00CA0B8B" w:rsidRDefault="00690C2E" w:rsidP="00DA2E4B">
      <w:pPr>
        <w:pStyle w:val="Text1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lastRenderedPageBreak/>
        <w:t>„</w:t>
      </w:r>
      <w:proofErr w:type="gramStart"/>
      <w:r w:rsidRPr="00CA0B8B">
        <w:rPr>
          <w:szCs w:val="24"/>
        </w:rPr>
        <w:t>3g</w:t>
      </w:r>
      <w:proofErr w:type="gramEnd"/>
      <w:r w:rsidRPr="00CA0B8B">
        <w:rPr>
          <w:szCs w:val="24"/>
        </w:rPr>
        <w:t xml:space="preserve">) „hostitelským subjektem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inteligenci“ právní subjekt určený konsorciem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k hostingu a provozování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a jejích služeb a usazený v zúčastněném státě, který je členským státem;“;</w:t>
      </w:r>
    </w:p>
    <w:p w14:paraId="7871EB31" w14:textId="77777777" w:rsidR="00690C2E" w:rsidRPr="00CA0B8B" w:rsidRDefault="00690C2E" w:rsidP="00DA2E4B">
      <w:pPr>
        <w:pStyle w:val="Point0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7)</w:t>
      </w:r>
      <w:r w:rsidRPr="00CA0B8B">
        <w:rPr>
          <w:szCs w:val="24"/>
        </w:rPr>
        <w:tab/>
        <w:t xml:space="preserve">vkládá se nový bod </w:t>
      </w:r>
      <w:proofErr w:type="gramStart"/>
      <w:r w:rsidRPr="00CA0B8B">
        <w:rPr>
          <w:szCs w:val="24"/>
        </w:rPr>
        <w:t>3h</w:t>
      </w:r>
      <w:proofErr w:type="gramEnd"/>
      <w:r w:rsidRPr="00CA0B8B">
        <w:rPr>
          <w:szCs w:val="24"/>
        </w:rPr>
        <w:t>), který zní:</w:t>
      </w:r>
    </w:p>
    <w:p w14:paraId="4558AE63" w14:textId="77777777" w:rsidR="00690C2E" w:rsidRPr="00CA0B8B" w:rsidRDefault="00690C2E" w:rsidP="00DA2E4B">
      <w:pPr>
        <w:pStyle w:val="Text1"/>
        <w:spacing w:line="360" w:lineRule="auto"/>
        <w:ind w:left="851"/>
        <w:jc w:val="left"/>
        <w:rPr>
          <w:color w:val="000000" w:themeColor="text1"/>
          <w:szCs w:val="24"/>
        </w:rPr>
      </w:pPr>
      <w:r w:rsidRPr="00CA0B8B">
        <w:rPr>
          <w:szCs w:val="24"/>
        </w:rPr>
        <w:t>„</w:t>
      </w:r>
      <w:proofErr w:type="gramStart"/>
      <w:r w:rsidRPr="00CA0B8B">
        <w:rPr>
          <w:szCs w:val="24"/>
        </w:rPr>
        <w:t>3h</w:t>
      </w:r>
      <w:proofErr w:type="gramEnd"/>
      <w:r w:rsidRPr="00CA0B8B">
        <w:rPr>
          <w:szCs w:val="24"/>
        </w:rPr>
        <w:t xml:space="preserve">) „dohodou o spolupráci týkající se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inteligenci“ dohoda mezi společným podnikem a třetí zemí, v níž jsou stanoveny podmínky přístupu ke </w:t>
      </w:r>
      <w:proofErr w:type="spellStart"/>
      <w:r w:rsidRPr="00CA0B8B">
        <w:rPr>
          <w:szCs w:val="24"/>
        </w:rPr>
        <w:t>gigatovárnám</w:t>
      </w:r>
      <w:proofErr w:type="spellEnd"/>
      <w:r w:rsidRPr="00CA0B8B">
        <w:rPr>
          <w:szCs w:val="24"/>
        </w:rPr>
        <w:t xml:space="preserve"> na umělou inteligenci pro právní subjekty, které jsou přímo nebo nepřímo, na základě vlastnického podílu nebo jiným způsobem, ovládány právnickými nebo fyzickými osobami usazenými v této třetí zemi;“; </w:t>
      </w:r>
    </w:p>
    <w:p w14:paraId="7626E1E8" w14:textId="77777777" w:rsidR="00690C2E" w:rsidRPr="00CA0B8B" w:rsidRDefault="00690C2E" w:rsidP="00DA2E4B">
      <w:pPr>
        <w:pStyle w:val="Point0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8)</w:t>
      </w:r>
      <w:r w:rsidRPr="00CA0B8B">
        <w:rPr>
          <w:szCs w:val="24"/>
        </w:rPr>
        <w:tab/>
        <w:t xml:space="preserve">vkládá se nový bod </w:t>
      </w:r>
      <w:proofErr w:type="gramStart"/>
      <w:r w:rsidRPr="00CA0B8B">
        <w:rPr>
          <w:szCs w:val="24"/>
        </w:rPr>
        <w:t>19a</w:t>
      </w:r>
      <w:proofErr w:type="gramEnd"/>
      <w:r w:rsidRPr="00CA0B8B">
        <w:rPr>
          <w:szCs w:val="24"/>
        </w:rPr>
        <w:t>), který zní:</w:t>
      </w:r>
    </w:p>
    <w:p w14:paraId="4CB5683B" w14:textId="77777777" w:rsidR="00690C2E" w:rsidRPr="00CA0B8B" w:rsidRDefault="00690C2E" w:rsidP="00DA2E4B">
      <w:pPr>
        <w:pStyle w:val="Text1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„</w:t>
      </w:r>
      <w:proofErr w:type="gramStart"/>
      <w:r w:rsidRPr="00CA0B8B">
        <w:rPr>
          <w:szCs w:val="24"/>
        </w:rPr>
        <w:t>9a</w:t>
      </w:r>
      <w:proofErr w:type="gramEnd"/>
      <w:r w:rsidRPr="00CA0B8B">
        <w:rPr>
          <w:szCs w:val="24"/>
        </w:rPr>
        <w:t xml:space="preserve">) </w:t>
      </w:r>
      <w:bookmarkStart w:id="8" w:name="_Hlk202951396"/>
      <w:r w:rsidRPr="00CA0B8B">
        <w:rPr>
          <w:szCs w:val="24"/>
        </w:rPr>
        <w:t>„vnitrostátním odborným střediskem pro kvantové technologie“ právní subjekt nebo konsorcium právních subjektů usazené v zúčastněném státě, které poskytují na požádání přístup ke kvantovým technologiím, nástrojům, aplikacím a službám a k vnitrostátní nebo evropské kvantové infrastruktuře uživatelům z průmyslu, mj. malým a středním podnikům, akademické obci a veřejné správě, a nabízejí jim odborné znalosti, dovednosti, odbornou přípravu, vytváření sítí a osvětu;“;</w:t>
      </w:r>
      <w:bookmarkEnd w:id="8"/>
    </w:p>
    <w:p w14:paraId="666C8F73" w14:textId="77777777" w:rsidR="00690C2E" w:rsidRPr="00CA0B8B" w:rsidRDefault="00690C2E" w:rsidP="00DA2E4B">
      <w:pPr>
        <w:pStyle w:val="Point0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9)</w:t>
      </w:r>
      <w:r w:rsidRPr="00CA0B8B">
        <w:rPr>
          <w:szCs w:val="24"/>
        </w:rPr>
        <w:tab/>
        <w:t>článek 3 se mění takto:</w:t>
      </w:r>
    </w:p>
    <w:p w14:paraId="6DC81DD2" w14:textId="77777777" w:rsidR="00690C2E" w:rsidRPr="00CA0B8B" w:rsidRDefault="00690C2E" w:rsidP="00DA2E4B">
      <w:pPr>
        <w:pStyle w:val="Point0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>10)</w:t>
      </w:r>
      <w:r w:rsidRPr="00CA0B8B">
        <w:rPr>
          <w:szCs w:val="24"/>
        </w:rPr>
        <w:tab/>
        <w:t>odstavec 1 se nahrazuje tímto:</w:t>
      </w:r>
    </w:p>
    <w:p w14:paraId="312CE279" w14:textId="77777777" w:rsidR="00690C2E" w:rsidRPr="00CA0B8B" w:rsidRDefault="00690C2E" w:rsidP="00DA2E4B">
      <w:pPr>
        <w:pStyle w:val="Text1"/>
        <w:spacing w:line="360" w:lineRule="auto"/>
        <w:ind w:left="851"/>
        <w:jc w:val="left"/>
        <w:rPr>
          <w:szCs w:val="24"/>
        </w:rPr>
      </w:pPr>
      <w:r w:rsidRPr="00CA0B8B">
        <w:rPr>
          <w:szCs w:val="24"/>
        </w:rPr>
        <w:t xml:space="preserve">„Posláním společného podniku je vyvíjet, zavádět, rozšiřovat a spravovat v Unii sjednocený, zabezpečený a maximálně propojený ekosystém infrastruktury světové úrovně pro superpočítače, kvantovou výpočetní techniku, služby a data. Společný podnik podporuje rovněž vývoj a zavádění inovativních a konkurenceschopných superpočítačových systémů ▌a systémů zaměřených na poptávku, orientovaných na uživatele a založených na dodavatelském řetězci, který zajistí komponenty, technologie a znalosti, jež omezují riziko narušení, a umožní vývoj široké škály aplikací optimalizovaných pro tyto systémy; společný podnik má dále rozšiřovat </w:t>
      </w:r>
      <w:r w:rsidRPr="00CA0B8B">
        <w:rPr>
          <w:b/>
          <w:bCs/>
          <w:i/>
          <w:iCs/>
          <w:szCs w:val="24"/>
        </w:rPr>
        <w:t>přístup velkého počtu</w:t>
      </w:r>
      <w:r w:rsidRPr="00CA0B8B">
        <w:rPr>
          <w:szCs w:val="24"/>
        </w:rPr>
        <w:t xml:space="preserve"> veřejných i soukromých uživatelů k </w:t>
      </w:r>
      <w:r w:rsidRPr="00CA0B8B">
        <w:rPr>
          <w:b/>
          <w:bCs/>
          <w:i/>
          <w:iCs/>
          <w:szCs w:val="24"/>
        </w:rPr>
        <w:t>této superpočítačové infrastruktuře</w:t>
      </w:r>
      <w:r w:rsidRPr="00CA0B8B">
        <w:rPr>
          <w:szCs w:val="24"/>
        </w:rPr>
        <w:t xml:space="preserve"> a </w:t>
      </w:r>
      <w:r w:rsidRPr="00CA0B8B">
        <w:rPr>
          <w:b/>
          <w:bCs/>
          <w:i/>
          <w:iCs/>
          <w:szCs w:val="24"/>
        </w:rPr>
        <w:t>jejich využívání této infrastruktury</w:t>
      </w:r>
      <w:r w:rsidRPr="00CA0B8B">
        <w:rPr>
          <w:szCs w:val="24"/>
        </w:rPr>
        <w:t xml:space="preserve"> a podporovat </w:t>
      </w:r>
      <w:r w:rsidRPr="00CA0B8B">
        <w:rPr>
          <w:b/>
          <w:bCs/>
          <w:i/>
          <w:iCs/>
          <w:szCs w:val="24"/>
        </w:rPr>
        <w:t>ekologickou a digitální</w:t>
      </w:r>
      <w:r w:rsidRPr="00CA0B8B">
        <w:rPr>
          <w:szCs w:val="24"/>
        </w:rPr>
        <w:t xml:space="preserve"> transformaci a rozvoj klíčových dovedností a </w:t>
      </w:r>
      <w:r w:rsidRPr="00CA0B8B">
        <w:rPr>
          <w:b/>
          <w:bCs/>
          <w:i/>
          <w:iCs/>
          <w:szCs w:val="24"/>
        </w:rPr>
        <w:t>příležitostí</w:t>
      </w:r>
      <w:r w:rsidRPr="00CA0B8B">
        <w:rPr>
          <w:szCs w:val="24"/>
        </w:rPr>
        <w:t xml:space="preserve"> pro evropskou vědu a průmysl. </w:t>
      </w:r>
      <w:r w:rsidRPr="00CA0B8B">
        <w:rPr>
          <w:b/>
          <w:i/>
          <w:szCs w:val="24"/>
        </w:rPr>
        <w:t xml:space="preserve">Podporuje rovněž evropský ekosystém kvantových technologií, mj. špičkovou vědeckou a aplikovanou výzkumnou činnost, a konkurenceschopnost </w:t>
      </w:r>
      <w:r w:rsidRPr="00CA0B8B">
        <w:rPr>
          <w:b/>
          <w:i/>
          <w:szCs w:val="24"/>
        </w:rPr>
        <w:lastRenderedPageBreak/>
        <w:t xml:space="preserve">vznikajícího evropského kvantového průmyslu. Při poskytování podpory evropskému ekosystému kvantových technologií náležitě přihlíží k různé úrovni vyspělosti jednotlivých oblastí kvantových technologií a k výsledkům stěžejní iniciativy </w:t>
      </w:r>
      <w:proofErr w:type="spellStart"/>
      <w:r w:rsidRPr="00CA0B8B">
        <w:rPr>
          <w:b/>
          <w:i/>
          <w:szCs w:val="24"/>
        </w:rPr>
        <w:t>Quantum</w:t>
      </w:r>
      <w:proofErr w:type="spellEnd"/>
      <w:r w:rsidRPr="00CA0B8B">
        <w:rPr>
          <w:b/>
          <w:i/>
          <w:szCs w:val="24"/>
        </w:rPr>
        <w:t>.“;</w:t>
      </w:r>
    </w:p>
    <w:p w14:paraId="21F90610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11)</w:t>
      </w:r>
      <w:r w:rsidRPr="00CA0B8B">
        <w:rPr>
          <w:szCs w:val="24"/>
        </w:rPr>
        <w:tab/>
        <w:t>v odstavci 2 se vkládá nové písmeno fa), které zní:</w:t>
      </w:r>
    </w:p>
    <w:p w14:paraId="696A5FF0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„a) podporovat nejmodernější vědecký a aplikovaný výzkum a inovace v oblasti kvantových technologií, jejich přechod z laboratoře do továrny a jejich zavádění, využívání a integraci do kvantové infrastruktury světové úrovně, budovat dynamický, inovativní a odolný kvantový ekosystém v celé EU a zajistit vedoucí postavení ve vědě a průmyslu, konkurenceschopnost, strategickou autonomii a technologickou suverenitu Unie v oblasti kvantové výpočetní techniky, komunikace a snímání;“; </w:t>
      </w:r>
    </w:p>
    <w:p w14:paraId="30EF6902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12)</w:t>
      </w:r>
      <w:r w:rsidRPr="00CA0B8B">
        <w:rPr>
          <w:szCs w:val="24"/>
        </w:rPr>
        <w:tab/>
        <w:t>v odstavci 2 se písmeno h) nahrazuje tímto:</w:t>
      </w:r>
    </w:p>
    <w:p w14:paraId="6B9C3E00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„h) rozvíjet a provozovat továrny na umělou inteligenci a podporovat zřizování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a jejich služby a přístup k nim za účelem podpory dalšího rozvoje vysoce konkurenčního a inovativního ekosystému umělé inteligence v Unii</w:t>
      </w:r>
      <w:r w:rsidRPr="00CA0B8B">
        <w:rPr>
          <w:b/>
          <w:bCs/>
          <w:i/>
          <w:iCs/>
          <w:szCs w:val="24"/>
        </w:rPr>
        <w:t>, a současně maximálně využívat systémy a komponenty vyráběné v Evropě</w:t>
      </w:r>
      <w:r w:rsidRPr="00CA0B8B">
        <w:rPr>
          <w:szCs w:val="24"/>
        </w:rPr>
        <w:t>.“;</w:t>
      </w:r>
    </w:p>
    <w:p w14:paraId="640382C1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13)</w:t>
      </w:r>
      <w:r w:rsidRPr="00CA0B8B">
        <w:rPr>
          <w:szCs w:val="24"/>
        </w:rPr>
        <w:tab/>
        <w:t>odstavec 3 se nahrazuje tímto:</w:t>
      </w:r>
    </w:p>
    <w:p w14:paraId="75BC1095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„Společný podnik přispívá k zajištění zájmů Unie při pořizování superpočítačů a k podpoře vývoje a využívání výkonných výpočetních a kvantových technologií, systémů a aplikací. Umožňuje zaujmout společně navržený přístup k pořizování superpočítačů světové úrovně a současně zajišťuje bezpečnost dodavatelského řetězce pořizovaných technologií a systémů a </w:t>
      </w:r>
      <w:r w:rsidRPr="00CA0B8B">
        <w:rPr>
          <w:b/>
          <w:bCs/>
          <w:i/>
          <w:iCs/>
          <w:szCs w:val="24"/>
        </w:rPr>
        <w:t>podporuje na všech úrovních rozmanitost dodavatelů</w:t>
      </w:r>
      <w:r w:rsidRPr="00CA0B8B">
        <w:rPr>
          <w:szCs w:val="24"/>
        </w:rPr>
        <w:t xml:space="preserve">. Přispívá ke strategické autonomii Unie, </w:t>
      </w:r>
      <w:r w:rsidRPr="00CA0B8B">
        <w:rPr>
          <w:b/>
          <w:bCs/>
          <w:i/>
          <w:iCs/>
          <w:szCs w:val="24"/>
        </w:rPr>
        <w:t>prostřednictvím hospodářské soutěže zachovává v Unii otevřené a inovativní hospodářství, rozšiřuje celounijní přístup k superpočítačovým kapacitám,</w:t>
      </w:r>
      <w:r w:rsidRPr="00CA0B8B">
        <w:rPr>
          <w:szCs w:val="24"/>
        </w:rPr>
        <w:t xml:space="preserve"> podporuje rozvoj technologií a aplikací, jež posilují evropské dodavatelské řetězce vysoce výkonné výpočetní techniky a kvantových technologií, a prosazuje jejich integraci do systémů, které </w:t>
      </w:r>
      <w:proofErr w:type="gramStart"/>
      <w:r w:rsidRPr="00CA0B8B">
        <w:rPr>
          <w:szCs w:val="24"/>
        </w:rPr>
        <w:t>řeší</w:t>
      </w:r>
      <w:proofErr w:type="gramEnd"/>
      <w:r w:rsidRPr="00CA0B8B">
        <w:rPr>
          <w:szCs w:val="24"/>
        </w:rPr>
        <w:t xml:space="preserve"> velký počet vědeckých, společenských, environmentálních, průmyslových i bezpečnostních potřeb.“; </w:t>
      </w:r>
    </w:p>
    <w:p w14:paraId="4AD5289A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14)</w:t>
      </w:r>
      <w:r w:rsidRPr="00CA0B8B">
        <w:rPr>
          <w:szCs w:val="24"/>
        </w:rPr>
        <w:tab/>
        <w:t>článek 4 se mění takto:</w:t>
      </w:r>
    </w:p>
    <w:p w14:paraId="6E837B2D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15)</w:t>
      </w:r>
      <w:r w:rsidRPr="00CA0B8B">
        <w:rPr>
          <w:szCs w:val="24"/>
        </w:rPr>
        <w:tab/>
        <w:t>v odstavci 1 se doplňuje nové písmeno i), které zní:</w:t>
      </w:r>
    </w:p>
    <w:p w14:paraId="45196861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„i) pilíře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pokrývajícího činnost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inteligenci, jež mohou být v rámci svého provozu propojeny se sítí </w:t>
      </w:r>
      <w:proofErr w:type="spellStart"/>
      <w:r w:rsidRPr="00CA0B8B">
        <w:rPr>
          <w:szCs w:val="24"/>
        </w:rPr>
        <w:t>EuroHPC</w:t>
      </w:r>
      <w:proofErr w:type="spellEnd"/>
      <w:r w:rsidRPr="00CA0B8B">
        <w:rPr>
          <w:szCs w:val="24"/>
        </w:rPr>
        <w:t xml:space="preserve"> továren na umělou inteligenci, aby byla zajištěna bezproblémová integrace a sdílení znalostí v rámci evropského ekosystému umělé inteligence; tento pilíř zahrnuje následující činnosti:</w:t>
      </w:r>
    </w:p>
    <w:p w14:paraId="7AC634F7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i)</w:t>
      </w:r>
      <w:r w:rsidRPr="00CA0B8B">
        <w:rPr>
          <w:szCs w:val="24"/>
        </w:rPr>
        <w:tab/>
        <w:t>poskytování výpočetní infrastruktury umělé inteligence světové úrovně pro evropské výzkumníky, podnikatele a průmysl a </w:t>
      </w:r>
      <w:r w:rsidRPr="00CA0B8B">
        <w:rPr>
          <w:b/>
          <w:i/>
          <w:szCs w:val="24"/>
        </w:rPr>
        <w:t>zajišťování snadnějšího přístupu malých a středních podniků a společností se střední tržní kapitalizací k výpočetním zdrojům</w:t>
      </w:r>
      <w:r w:rsidRPr="00CA0B8B">
        <w:rPr>
          <w:szCs w:val="24"/>
        </w:rPr>
        <w:t>;</w:t>
      </w:r>
    </w:p>
    <w:p w14:paraId="20EADEDE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proofErr w:type="spellStart"/>
      <w:r w:rsidRPr="00CA0B8B">
        <w:rPr>
          <w:szCs w:val="24"/>
        </w:rPr>
        <w:t>ii</w:t>
      </w:r>
      <w:proofErr w:type="spellEnd"/>
      <w:r w:rsidRPr="00CA0B8B">
        <w:rPr>
          <w:szCs w:val="24"/>
        </w:rPr>
        <w:t>)</w:t>
      </w:r>
      <w:r w:rsidRPr="00CA0B8B">
        <w:rPr>
          <w:szCs w:val="24"/>
        </w:rPr>
        <w:tab/>
        <w:t>umožňování vývoje nových řešení v oblasti umělé inteligence ve všech veřejných i soukromých sektorech a </w:t>
      </w:r>
    </w:p>
    <w:p w14:paraId="6D74BD4B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proofErr w:type="spellStart"/>
      <w:r w:rsidRPr="00CA0B8B">
        <w:rPr>
          <w:szCs w:val="24"/>
        </w:rPr>
        <w:t>iii</w:t>
      </w:r>
      <w:proofErr w:type="spellEnd"/>
      <w:r w:rsidRPr="00CA0B8B">
        <w:rPr>
          <w:szCs w:val="24"/>
        </w:rPr>
        <w:t>)</w:t>
      </w:r>
      <w:r w:rsidRPr="00CA0B8B">
        <w:rPr>
          <w:szCs w:val="24"/>
        </w:rPr>
        <w:tab/>
        <w:t>zajišťování konkurenceschopnosti a suverenity Unie jako kontinentu umělé inteligence,</w:t>
      </w:r>
      <w:r w:rsidRPr="00CA0B8B">
        <w:rPr>
          <w:b/>
          <w:bCs/>
          <w:i/>
          <w:iCs/>
          <w:szCs w:val="24"/>
        </w:rPr>
        <w:t xml:space="preserve"> mimo jiné zajišťováním přístupu k výpočetní kapacitě nezbytné pro vývoj umělé inteligence a k souvisejícím službám a podporou vytváření průmyslových kapacit pro výrobu klíčových hardwarových a softwarových komponentů</w:t>
      </w:r>
      <w:r w:rsidRPr="00CA0B8B">
        <w:rPr>
          <w:szCs w:val="24"/>
        </w:rPr>
        <w:t xml:space="preserve">;“; </w:t>
      </w:r>
    </w:p>
    <w:p w14:paraId="328ECD80" w14:textId="77777777" w:rsidR="00690C2E" w:rsidRPr="00CA0B8B" w:rsidRDefault="00690C2E" w:rsidP="00DA2E4B">
      <w:pPr>
        <w:pStyle w:val="Point0"/>
        <w:spacing w:line="360" w:lineRule="auto"/>
        <w:rPr>
          <w:szCs w:val="24"/>
        </w:rPr>
      </w:pPr>
      <w:r w:rsidRPr="00CA0B8B">
        <w:rPr>
          <w:szCs w:val="24"/>
        </w:rPr>
        <w:t>16)</w:t>
      </w:r>
      <w:r w:rsidRPr="00CA0B8B">
        <w:rPr>
          <w:szCs w:val="24"/>
        </w:rPr>
        <w:tab/>
        <w:t>v odstavci 1 se doplňuje nové písmeno j), které zní:</w:t>
      </w:r>
    </w:p>
    <w:p w14:paraId="2B6E66AB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„j) pilíře kvantových technologií, který se zabývá celým kvantovým ekosystémem a aplikačními oblastmi kvantové výpočetní techniky a simulace, kvantové komunikace a kvantového snímání a metrologie a zajišťuje bezpečnost a odolnost kvantového dodavatelského řetězce a jeho základních technologií. Činnost se mimo jiné zaměřuje na:</w:t>
      </w:r>
    </w:p>
    <w:p w14:paraId="45656651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>vědeckotechnický výzkum a inovace: podporu špičkového výzkumu v oblasti kvantové vědy a kvantových technologií;</w:t>
      </w:r>
    </w:p>
    <w:p w14:paraId="5E13141B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 xml:space="preserve">přechod z laboratoře do továrny a vývoj ekosystému: podporu vývoje a zavádění nejmodernější kvantové infrastruktury; podporu industrializace kvantových technologií prostřednictvím podpory využívání kvantových aplikací v klíčových veřejných a průmyslových odvětvích a zajištění převedení pokroku ve všech kvantových oblastech do reálných aplikací, včetně rozvoje rozhodujících trhů; prosazování evropských a mezinárodních norem a podporu </w:t>
      </w:r>
      <w:r w:rsidRPr="00CA0B8B">
        <w:rPr>
          <w:szCs w:val="24"/>
        </w:rPr>
        <w:lastRenderedPageBreak/>
        <w:t>rozvoje a vytváření sítí vnitrostátních odborných středisek pro kvantové technologie v celé Evropě;</w:t>
      </w:r>
    </w:p>
    <w:p w14:paraId="1CF7321E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  <w:t>dovednosti a talent: rozvoj konkurenceschopné a inkluzivní pracovní síly v oblasti kvantového výzkumu a inženýrství prostřednictvím koordinovaných iniciativ v oblasti vzdělávání, odborné přípravy a mobility v klíčových oborech a technických oblastech souvisejících s kvantovými technologiemi;</w:t>
      </w:r>
    </w:p>
    <w:p w14:paraId="524A685D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szCs w:val="24"/>
        </w:rPr>
      </w:pPr>
      <w:r w:rsidRPr="00CA0B8B">
        <w:rPr>
          <w:szCs w:val="24"/>
        </w:rPr>
        <w:t>d)</w:t>
      </w:r>
      <w:r w:rsidRPr="00CA0B8B">
        <w:rPr>
          <w:szCs w:val="24"/>
        </w:rPr>
        <w:tab/>
        <w:t>mezinárodní spolupráci: rozvoj mezinárodní spolupráce v oblasti kvantových technologií se zaměřením na řešení globálních vědeckých a společenských výzev v souladu s cíli vnější politiky a mezinárodními závazky Unie.“;</w:t>
      </w:r>
    </w:p>
    <w:p w14:paraId="100C22C2" w14:textId="39316434" w:rsidR="00690C2E" w:rsidRPr="00CA0B8B" w:rsidRDefault="00690C2E" w:rsidP="00D858E7">
      <w:pPr>
        <w:spacing w:before="120" w:after="120" w:line="360" w:lineRule="auto"/>
        <w:ind w:left="851" w:hanging="851"/>
        <w:rPr>
          <w:b/>
          <w:i/>
          <w:szCs w:val="24"/>
        </w:rPr>
      </w:pPr>
      <w:proofErr w:type="gramStart"/>
      <w:r w:rsidRPr="00CA0B8B">
        <w:rPr>
          <w:b/>
          <w:i/>
          <w:szCs w:val="24"/>
        </w:rPr>
        <w:t>16a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szCs w:val="24"/>
        </w:rPr>
        <w:tab/>
      </w:r>
      <w:r w:rsidRPr="00CA0B8B">
        <w:rPr>
          <w:b/>
          <w:i/>
          <w:szCs w:val="24"/>
        </w:rPr>
        <w:t>odstavec 2 se nahrazuje tímto:</w:t>
      </w:r>
    </w:p>
    <w:p w14:paraId="1ABAF41D" w14:textId="77777777" w:rsidR="00690C2E" w:rsidRPr="00CA0B8B" w:rsidRDefault="00690C2E" w:rsidP="00D858E7">
      <w:pPr>
        <w:spacing w:before="120" w:after="120" w:line="360" w:lineRule="auto"/>
        <w:ind w:left="1418" w:hanging="567"/>
        <w:rPr>
          <w:b/>
          <w:i/>
          <w:szCs w:val="24"/>
        </w:rPr>
      </w:pPr>
      <w:r w:rsidRPr="00CA0B8B">
        <w:rPr>
          <w:b/>
          <w:i/>
          <w:szCs w:val="24"/>
        </w:rPr>
        <w:t>„2.</w:t>
      </w:r>
      <w:r w:rsidRPr="00CA0B8B">
        <w:rPr>
          <w:b/>
          <w:i/>
          <w:szCs w:val="24"/>
        </w:rPr>
        <w:tab/>
        <w:t>Za účelem provádění činností uvedených v odstavci 1 je společný podnik pověřen zajišťováním kumulativního, doplňkového nebo kombinovaného financování mezi programy Unie v souladu s příslušným pracovním programem Komise. V případě přidělení dodatečných finančních prostředků Unie podle čl. 5 odst. 3 může být společný podnik rovněž pověřen plněním dalších úkolů.“;</w:t>
      </w:r>
    </w:p>
    <w:p w14:paraId="1133CAEA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17)</w:t>
      </w:r>
      <w:r w:rsidRPr="00CA0B8B">
        <w:rPr>
          <w:szCs w:val="24"/>
        </w:rPr>
        <w:tab/>
        <w:t>článek 5 se mění takto:</w:t>
      </w:r>
    </w:p>
    <w:p w14:paraId="0AFC2656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18)</w:t>
      </w:r>
      <w:r w:rsidRPr="00CA0B8B">
        <w:rPr>
          <w:szCs w:val="24"/>
        </w:rPr>
        <w:tab/>
        <w:t>odstavec 1 se nahrazuje tímto:</w:t>
      </w:r>
    </w:p>
    <w:p w14:paraId="065774FB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„Finanční příspěvek Unie na společný podnik včetně prostředků EHP činí až 3 972 300 000 EUR, včetně 92 000 000 EUR na správní náklady, za podmínky, že příspěvek zúčastněných států představuje přinejmenším stejnou částku, orientačně rozdělených takto:</w:t>
      </w:r>
    </w:p>
    <w:p w14:paraId="642F7C73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rFonts w:eastAsia="Calibri"/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</w:r>
      <w:r w:rsidRPr="00CA0B8B">
        <w:rPr>
          <w:szCs w:val="24"/>
        </w:rPr>
        <w:tab/>
        <w:t>až 1 660 000 000 EUR z programu Horizont Evropa</w:t>
      </w:r>
      <w:r w:rsidRPr="00CA0B8B">
        <w:rPr>
          <w:b/>
          <w:bCs/>
          <w:i/>
          <w:iCs/>
          <w:szCs w:val="24"/>
        </w:rPr>
        <w:t>, z čehož se 160 000 000 EUR použije výhradně na akce uvedené v čl. 5 odst. 6, které přispívají k činnostem v rámci pilíře kvantových technologií zavedeného v čl. 4 odst. 1 písm. j)</w:t>
      </w:r>
      <w:r w:rsidRPr="00CA0B8B">
        <w:rPr>
          <w:szCs w:val="24"/>
        </w:rPr>
        <w:t>;</w:t>
      </w:r>
    </w:p>
    <w:p w14:paraId="0CC63B9F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rFonts w:eastAsia="Calibri"/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</w:r>
      <w:r w:rsidRPr="00CA0B8B">
        <w:rPr>
          <w:szCs w:val="24"/>
        </w:rPr>
        <w:tab/>
        <w:t>až 2 012 300 000 EUR z programu Digitální Evropa;</w:t>
      </w:r>
    </w:p>
    <w:p w14:paraId="2BE9EF32" w14:textId="77777777" w:rsidR="00690C2E" w:rsidRPr="00CA0B8B" w:rsidRDefault="00690C2E" w:rsidP="00DA2E4B">
      <w:pPr>
        <w:spacing w:before="120" w:after="120" w:line="360" w:lineRule="auto"/>
        <w:ind w:left="1418" w:hanging="567"/>
        <w:rPr>
          <w:rFonts w:eastAsia="Calibri"/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</w:r>
      <w:r w:rsidRPr="00CA0B8B">
        <w:rPr>
          <w:szCs w:val="24"/>
        </w:rPr>
        <w:tab/>
        <w:t>až 300 000 000 EUR z Nástroje pro propojení Evropy.“;</w:t>
      </w:r>
    </w:p>
    <w:p w14:paraId="488A1FFD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rPr>
          <w:szCs w:val="24"/>
        </w:rPr>
      </w:pPr>
      <w:r w:rsidRPr="00CA0B8B">
        <w:rPr>
          <w:szCs w:val="24"/>
        </w:rPr>
        <w:lastRenderedPageBreak/>
        <w:t>19)</w:t>
      </w:r>
      <w:r w:rsidRPr="00CA0B8B">
        <w:rPr>
          <w:szCs w:val="24"/>
        </w:rPr>
        <w:tab/>
        <w:t xml:space="preserve">v odstavci 1 se doplňuje nový pododstavec, který zní: </w:t>
      </w:r>
    </w:p>
    <w:p w14:paraId="75FA0A0B" w14:textId="77777777" w:rsidR="00690C2E" w:rsidRPr="00CA0B8B" w:rsidRDefault="00690C2E" w:rsidP="00DA2E4B">
      <w:pPr>
        <w:pStyle w:val="Text1"/>
        <w:spacing w:line="360" w:lineRule="auto"/>
        <w:jc w:val="left"/>
        <w:rPr>
          <w:rFonts w:eastAsia="Calibri"/>
          <w:szCs w:val="24"/>
        </w:rPr>
      </w:pPr>
      <w:r w:rsidRPr="00CA0B8B">
        <w:rPr>
          <w:szCs w:val="24"/>
        </w:rPr>
        <w:t xml:space="preserve">„Příspěvek Unie uvedený v prvním pododstavci mohou doplnit další finanční prostředky z programu Horizont Evropa, programu Digitální Evropa a Nástroje pro propojení Evropy, za podmínky, že přinejmenším stejnou částku doplní i jeden nebo více jiných členů společného podniku, než je Unie. Tento dodatečný příspěvek Unie je určen výhradně na </w:t>
      </w:r>
      <w:r w:rsidRPr="00CA0B8B">
        <w:rPr>
          <w:b/>
          <w:bCs/>
          <w:i/>
          <w:iCs/>
          <w:szCs w:val="24"/>
        </w:rPr>
        <w:t>jeden nebo více pilířů uvedených v článku 4</w:t>
      </w:r>
      <w:r w:rsidRPr="00CA0B8B">
        <w:rPr>
          <w:szCs w:val="24"/>
        </w:rPr>
        <w:t xml:space="preserve">. Tyto dodatečné prostředky se nezohledňují při výpočtu maximálního finančního příspěvku Unie.“; </w:t>
      </w:r>
    </w:p>
    <w:p w14:paraId="14603FBC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20)</w:t>
      </w:r>
      <w:r w:rsidRPr="00CA0B8B">
        <w:rPr>
          <w:szCs w:val="24"/>
        </w:rPr>
        <w:tab/>
        <w:t>odstavec 3 se nahrazuje tímto:</w:t>
      </w:r>
    </w:p>
    <w:p w14:paraId="4B79CCF6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„Na podporu pilířů činností uvedených v článku 4, s výjimkou činností uvedených v čl. 4 odst. 1 písm. a), mohou být společnému podniku jako doplněk přiděleny další finanční prostředky z kteréhokoli jiného programu Unie, než jsou programy uvedené v odstavci 1 tohoto článku. Tyto dodatečné prostředky se nezohledňují při výpočtu maximálního finančního příspěvku Unie.“; </w:t>
      </w:r>
    </w:p>
    <w:p w14:paraId="1AB8E604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21)</w:t>
      </w:r>
      <w:r w:rsidRPr="00CA0B8B">
        <w:rPr>
          <w:szCs w:val="24"/>
        </w:rPr>
        <w:tab/>
        <w:t xml:space="preserve">vkládá se nový odstavec </w:t>
      </w:r>
      <w:proofErr w:type="gramStart"/>
      <w:r w:rsidRPr="00CA0B8B">
        <w:rPr>
          <w:szCs w:val="24"/>
        </w:rPr>
        <w:t>4a</w:t>
      </w:r>
      <w:proofErr w:type="gramEnd"/>
      <w:r w:rsidRPr="00CA0B8B">
        <w:rPr>
          <w:szCs w:val="24"/>
        </w:rPr>
        <w:t>, který zní:</w:t>
      </w:r>
    </w:p>
    <w:p w14:paraId="425CE977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„Na příspěvky svěřené společnému podniku v souladu s odstavci 3 a 4 tohoto článku se vztahují požadavky článku 158 nařízení (EU, Euratom) 2024/2509. Pokud se tyto dodatečné příspěvky Unie týkají pilíře uvedeného v čl. 4 odst. 1 písm. i), poskytne dodatečné příspěvky úměrné příspěvkům Unie i jeden nebo více jiných členů než Unie.“; </w:t>
      </w:r>
    </w:p>
    <w:p w14:paraId="0175550C" w14:textId="77777777" w:rsidR="00690C2E" w:rsidRPr="00CA0B8B" w:rsidRDefault="00690C2E" w:rsidP="00DA2E4B">
      <w:pPr>
        <w:pStyle w:val="Point0"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▌</w:t>
      </w:r>
    </w:p>
    <w:p w14:paraId="0D4C6688" w14:textId="77777777" w:rsidR="00690C2E" w:rsidRPr="00CA0B8B" w:rsidRDefault="00690C2E" w:rsidP="00DA2E4B">
      <w:pPr>
        <w:pStyle w:val="Point0"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23)</w:t>
      </w:r>
      <w:r w:rsidRPr="00CA0B8B">
        <w:rPr>
          <w:szCs w:val="24"/>
        </w:rPr>
        <w:tab/>
        <w:t>odstavec 7 se zrušuje;</w:t>
      </w:r>
    </w:p>
    <w:p w14:paraId="47063996" w14:textId="77777777" w:rsidR="00690C2E" w:rsidRPr="00CA0B8B" w:rsidRDefault="00690C2E" w:rsidP="00DA2E4B">
      <w:pPr>
        <w:pStyle w:val="Point0"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24)</w:t>
      </w:r>
      <w:r w:rsidRPr="00CA0B8B">
        <w:rPr>
          <w:szCs w:val="24"/>
        </w:rPr>
        <w:tab/>
        <w:t>odstavec 8 se zrušuje;</w:t>
      </w:r>
    </w:p>
    <w:p w14:paraId="54DC0E17" w14:textId="77777777" w:rsidR="00690C2E" w:rsidRPr="00CA0B8B" w:rsidRDefault="00690C2E" w:rsidP="00DA2E4B">
      <w:pPr>
        <w:pStyle w:val="Point0"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25)</w:t>
      </w:r>
      <w:r w:rsidRPr="00CA0B8B">
        <w:rPr>
          <w:szCs w:val="24"/>
        </w:rPr>
        <w:tab/>
        <w:t xml:space="preserve">vkládá se nový článek </w:t>
      </w:r>
      <w:proofErr w:type="gramStart"/>
      <w:r w:rsidRPr="00CA0B8B">
        <w:rPr>
          <w:szCs w:val="24"/>
        </w:rPr>
        <w:t>12b</w:t>
      </w:r>
      <w:proofErr w:type="gramEnd"/>
      <w:r w:rsidRPr="00CA0B8B">
        <w:rPr>
          <w:szCs w:val="24"/>
        </w:rPr>
        <w:t>, který zní:</w:t>
      </w:r>
    </w:p>
    <w:p w14:paraId="19155B61" w14:textId="77777777" w:rsidR="00690C2E" w:rsidRPr="00CA0B8B" w:rsidRDefault="00690C2E" w:rsidP="00DA2E4B">
      <w:pPr>
        <w:spacing w:before="120" w:after="120" w:line="360" w:lineRule="auto"/>
        <w:jc w:val="center"/>
        <w:rPr>
          <w:szCs w:val="24"/>
        </w:rPr>
      </w:pPr>
      <w:r w:rsidRPr="00CA0B8B">
        <w:rPr>
          <w:szCs w:val="24"/>
        </w:rPr>
        <w:t>„Článek </w:t>
      </w:r>
      <w:proofErr w:type="gramStart"/>
      <w:r w:rsidRPr="00CA0B8B">
        <w:rPr>
          <w:szCs w:val="24"/>
        </w:rPr>
        <w:t>12b</w:t>
      </w:r>
      <w:proofErr w:type="gramEnd"/>
    </w:p>
    <w:p w14:paraId="635F559A" w14:textId="77777777" w:rsidR="00690C2E" w:rsidRPr="00CA0B8B" w:rsidRDefault="00690C2E" w:rsidP="00DA2E4B">
      <w:pPr>
        <w:spacing w:before="120" w:after="120" w:line="360" w:lineRule="auto"/>
        <w:jc w:val="center"/>
        <w:rPr>
          <w:szCs w:val="24"/>
        </w:rPr>
      </w:pPr>
      <w:proofErr w:type="spellStart"/>
      <w:r w:rsidRPr="00CA0B8B">
        <w:rPr>
          <w:szCs w:val="24"/>
        </w:rPr>
        <w:t>Gigatovárna</w:t>
      </w:r>
      <w:proofErr w:type="spellEnd"/>
      <w:r w:rsidRPr="00CA0B8B">
        <w:rPr>
          <w:szCs w:val="24"/>
        </w:rPr>
        <w:t xml:space="preserve"> na umělou inteligenci</w:t>
      </w:r>
    </w:p>
    <w:p w14:paraId="5B63EC14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1.</w:t>
      </w:r>
      <w:r w:rsidRPr="00CA0B8B">
        <w:rPr>
          <w:szCs w:val="24"/>
        </w:rPr>
        <w:tab/>
      </w:r>
      <w:proofErr w:type="spellStart"/>
      <w:r w:rsidRPr="00CA0B8B">
        <w:rPr>
          <w:szCs w:val="24"/>
        </w:rPr>
        <w:t>Gigatovárna</w:t>
      </w:r>
      <w:proofErr w:type="spellEnd"/>
      <w:r w:rsidRPr="00CA0B8B">
        <w:rPr>
          <w:szCs w:val="24"/>
        </w:rPr>
        <w:t xml:space="preserve"> na umělou inteligenci se nachází v členském státě. Je finančně podporována partnerstvím mezi Unií a jedním nebo více zúčastněnými státy, zastoupenými prostřednictvím společného podniku, a konsorciem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které může zahrnovat jednoho nebo více dodavatelů </w:t>
      </w:r>
      <w:r w:rsidRPr="00CA0B8B">
        <w:rPr>
          <w:szCs w:val="24"/>
        </w:rPr>
        <w:lastRenderedPageBreak/>
        <w:t xml:space="preserve">technologické infrastruktury, právně zastoupených koordinátorem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</w:t>
      </w:r>
    </w:p>
    <w:p w14:paraId="2364B421" w14:textId="77777777" w:rsidR="00690C2E" w:rsidRPr="00CA0B8B" w:rsidRDefault="00690C2E" w:rsidP="00DA2E4B">
      <w:pPr>
        <w:pStyle w:val="Text1"/>
        <w:spacing w:line="360" w:lineRule="auto"/>
        <w:ind w:left="851" w:hanging="851"/>
        <w:jc w:val="left"/>
        <w:rPr>
          <w:szCs w:val="24"/>
        </w:rPr>
      </w:pPr>
      <w:proofErr w:type="gramStart"/>
      <w:r w:rsidRPr="00CA0B8B">
        <w:rPr>
          <w:b/>
          <w:i/>
          <w:szCs w:val="24"/>
        </w:rPr>
        <w:t>1a</w:t>
      </w:r>
      <w:proofErr w:type="gramEnd"/>
      <w:r w:rsidRPr="00CA0B8B">
        <w:rPr>
          <w:b/>
          <w:i/>
          <w:szCs w:val="24"/>
        </w:rPr>
        <w:t>.</w:t>
      </w:r>
      <w:r w:rsidRPr="00CA0B8B">
        <w:rPr>
          <w:b/>
          <w:i/>
          <w:szCs w:val="24"/>
        </w:rPr>
        <w:tab/>
        <w:t xml:space="preserve">Společný podnik zajistí, aby všechny </w:t>
      </w:r>
      <w:proofErr w:type="spellStart"/>
      <w:r w:rsidRPr="00CA0B8B">
        <w:rPr>
          <w:b/>
          <w:i/>
          <w:szCs w:val="24"/>
        </w:rPr>
        <w:t>gigatovárny</w:t>
      </w:r>
      <w:proofErr w:type="spellEnd"/>
      <w:r w:rsidRPr="00CA0B8B">
        <w:rPr>
          <w:b/>
          <w:i/>
          <w:szCs w:val="24"/>
        </w:rPr>
        <w:t xml:space="preserve"> na umělou inteligenci splňovaly celounijní normy v oblasti interoperability, kybernetické bezpečnosti a ochrany údajů a vytvářely bezpečný a důvěryhodný výpočetní ekosystém.</w:t>
      </w:r>
    </w:p>
    <w:p w14:paraId="695F08F0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2.</w:t>
      </w:r>
      <w:r w:rsidRPr="00CA0B8B">
        <w:rPr>
          <w:szCs w:val="24"/>
        </w:rPr>
        <w:tab/>
        <w:t xml:space="preserve">Účast právních subjektů z nezúčastněných států v konsorciu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</w:t>
      </w:r>
      <w:r w:rsidRPr="00CA0B8B">
        <w:rPr>
          <w:b/>
          <w:bCs/>
          <w:i/>
          <w:iCs/>
          <w:szCs w:val="24"/>
        </w:rPr>
        <w:t>není povolena.</w:t>
      </w:r>
      <w:r w:rsidRPr="00CA0B8B">
        <w:rPr>
          <w:b/>
          <w:i/>
          <w:szCs w:val="24"/>
        </w:rPr>
        <w:t xml:space="preserve"> V </w:t>
      </w:r>
      <w:r w:rsidRPr="00CA0B8B">
        <w:rPr>
          <w:b/>
          <w:bCs/>
          <w:i/>
          <w:iCs/>
          <w:szCs w:val="24"/>
        </w:rPr>
        <w:t>řádně odůvodněných případech však může Komise případ od případu usoudit, že</w:t>
      </w:r>
      <w:r w:rsidRPr="00CA0B8B">
        <w:rPr>
          <w:szCs w:val="24"/>
        </w:rPr>
        <w:t xml:space="preserve"> taková účast </w:t>
      </w:r>
      <w:r w:rsidRPr="00CA0B8B">
        <w:rPr>
          <w:b/>
          <w:bCs/>
          <w:i/>
          <w:iCs/>
          <w:szCs w:val="24"/>
        </w:rPr>
        <w:t>není</w:t>
      </w:r>
      <w:r w:rsidRPr="00CA0B8B">
        <w:rPr>
          <w:szCs w:val="24"/>
        </w:rPr>
        <w:t xml:space="preserve"> považována za odporující strategickým aktivům, zájmům, autonomii nebo bezpečnosti Unie. V souladu s nařízením (EU) 2021/695, nařízením (EU) 2021/694 a nařízením (EU) 2021/1153 </w:t>
      </w:r>
      <w:r w:rsidRPr="00CA0B8B">
        <w:rPr>
          <w:b/>
          <w:bCs/>
          <w:i/>
          <w:iCs/>
          <w:szCs w:val="24"/>
        </w:rPr>
        <w:t>omezuje</w:t>
      </w:r>
      <w:r w:rsidRPr="00CA0B8B">
        <w:rPr>
          <w:szCs w:val="24"/>
        </w:rPr>
        <w:t xml:space="preserve"> výzva k vyjádření zájmu pro výběr konsorcia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▌účast v uvedeném konsorciu na právní subjekty usazené pouze v zúčastněných státech nebo na právní subjekty usazené v určených přidružených zemích rámcového programu Horizont Evropa, programu Digitální Evropa a jakéhokoli následného příslušného programu financování Unie nebo vedle zúčastněných států i v jiných třetích zemích. Omezení a vyloučení uvedená v tomto odstavci se v zásadě nevztahují na právní subjekty usazené ve třetích zemích, které s Unií podepsaly dohodu o spolupráci týkající se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nebo podobnou dohodu. Ve výzvě k vyjádření zájmu pro výběr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může být uvedeno, že právní subjekty v jiných třetích zemích mohou být způsobilé, pokud splňují požadavky, jež jsou na tyto právní subjekty kladeny s cílem zaručit ochranu bezpečnostních zájmů Unie a členských států a zajistit ochranu utajovaných informací. Uvedené požadavky musí být stanoveny v pracovním programu. </w:t>
      </w:r>
    </w:p>
    <w:p w14:paraId="7DE6CCCE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bookmarkStart w:id="9" w:name="_Hlk200573867"/>
      <w:r w:rsidRPr="00CA0B8B">
        <w:rPr>
          <w:szCs w:val="24"/>
        </w:rPr>
        <w:t>3.</w:t>
      </w:r>
      <w:r w:rsidRPr="00CA0B8B">
        <w:rPr>
          <w:szCs w:val="24"/>
        </w:rPr>
        <w:tab/>
        <w:t xml:space="preserve">Konsorciu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je explicitně poskytnut patřičný podpůrný dokument, který dokládá závazek členského státu, v němž je usazen hostitelský subjekt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nebo příslušných orgánů zúčastněných států v rámci konsorcia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</w:t>
      </w:r>
      <w:bookmarkEnd w:id="9"/>
    </w:p>
    <w:p w14:paraId="1A4BF113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4.</w:t>
      </w:r>
      <w:r w:rsidRPr="00CA0B8B">
        <w:rPr>
          <w:szCs w:val="24"/>
        </w:rPr>
        <w:tab/>
        <w:t>Finanční příspěvek Unie podle článku 5 z </w:t>
      </w:r>
      <w:r w:rsidRPr="00CA0B8B">
        <w:rPr>
          <w:b/>
          <w:bCs/>
          <w:i/>
          <w:iCs/>
          <w:szCs w:val="24"/>
        </w:rPr>
        <w:t>programu Digitální Evropa nebo Nástroje pro propojení Evropy – Digitální technologie</w:t>
      </w:r>
      <w:r w:rsidRPr="00CA0B8B">
        <w:rPr>
          <w:szCs w:val="24"/>
        </w:rPr>
        <w:t xml:space="preserve"> pokrývá až 17 % investic do kapitálových výdajů na celkovou výpočetní infrastrukturu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</w:t>
      </w:r>
      <w:r w:rsidRPr="00CA0B8B">
        <w:rPr>
          <w:b/>
          <w:bCs/>
          <w:i/>
          <w:iCs/>
          <w:szCs w:val="24"/>
        </w:rPr>
        <w:t>.</w:t>
      </w:r>
      <w:r w:rsidRPr="00CA0B8B">
        <w:rPr>
          <w:szCs w:val="24"/>
        </w:rPr>
        <w:t xml:space="preserve"> </w:t>
      </w:r>
      <w:r w:rsidRPr="00CA0B8B">
        <w:rPr>
          <w:b/>
          <w:bCs/>
          <w:i/>
          <w:iCs/>
          <w:szCs w:val="24"/>
        </w:rPr>
        <w:t xml:space="preserve">Část finančního příspěvku Unie uvedeného v článku 5, která pochází z programu Horizont Evropa a přispívá k pilíři </w:t>
      </w:r>
      <w:proofErr w:type="spellStart"/>
      <w:r w:rsidRPr="00CA0B8B">
        <w:rPr>
          <w:b/>
          <w:bCs/>
          <w:i/>
          <w:iCs/>
          <w:szCs w:val="24"/>
        </w:rPr>
        <w:t>gigatováren</w:t>
      </w:r>
      <w:proofErr w:type="spellEnd"/>
      <w:r w:rsidRPr="00CA0B8B">
        <w:rPr>
          <w:b/>
          <w:bCs/>
          <w:i/>
          <w:iCs/>
          <w:szCs w:val="24"/>
        </w:rPr>
        <w:t xml:space="preserve"> na umělou inteligenci, </w:t>
      </w:r>
      <w:r w:rsidRPr="00CA0B8B">
        <w:rPr>
          <w:b/>
          <w:bCs/>
          <w:i/>
          <w:iCs/>
          <w:szCs w:val="24"/>
        </w:rPr>
        <w:lastRenderedPageBreak/>
        <w:t>pokrývá</w:t>
      </w:r>
      <w:r w:rsidRPr="00CA0B8B">
        <w:rPr>
          <w:szCs w:val="24"/>
        </w:rPr>
        <w:t xml:space="preserve"> předem dohodnutý zaručený nákup přístupového času ke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 odpovídající pronajaté kapacitě kapitálových výdajů</w:t>
      </w:r>
      <w:r w:rsidRPr="00CA0B8B">
        <w:rPr>
          <w:b/>
          <w:bCs/>
          <w:i/>
          <w:iCs/>
          <w:szCs w:val="24"/>
        </w:rPr>
        <w:t xml:space="preserve"> a musí se použít výhradně prostřednictvím akcí uvedených v čl. 5 odst. 6</w:t>
      </w:r>
      <w:r w:rsidRPr="00CA0B8B">
        <w:rPr>
          <w:szCs w:val="24"/>
        </w:rPr>
        <w:t xml:space="preserve">. Jeden nebo více zúčastněných států by měl poskytnout přinejmenším stejnou částku, jakou představuje příspěvek Unie. Zbývající investice a provozní výdaje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hradí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</w:t>
      </w:r>
    </w:p>
    <w:p w14:paraId="6E6C31A7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5.</w:t>
      </w:r>
      <w:r w:rsidRPr="00CA0B8B">
        <w:rPr>
          <w:szCs w:val="24"/>
        </w:rPr>
        <w:tab/>
        <w:t xml:space="preserve">Vybraná továrna na umělou inteligenci se může podstatně rozšířit a stát se </w:t>
      </w:r>
      <w:proofErr w:type="spellStart"/>
      <w:r w:rsidRPr="00CA0B8B">
        <w:rPr>
          <w:szCs w:val="24"/>
        </w:rPr>
        <w:t>gigatovárnou</w:t>
      </w:r>
      <w:proofErr w:type="spellEnd"/>
      <w:r w:rsidRPr="00CA0B8B">
        <w:rPr>
          <w:szCs w:val="24"/>
        </w:rPr>
        <w:t xml:space="preserve"> na umělou inteligenci. V takovém případě se již poskytnutá finanční podpora Unie na tuto továrnu na umělou inteligenci započítává jako součást příspěvku Unie na kapitálové výdaje na výpočetní infrastrukturu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V příslušných případech se odpovídajícím způsobem upraví dohoda o hostingu továrny na umělou inteligenci podle článku 10. Dodatečné investice do dotyčné továrny na umělou inteligenci, aby se stala </w:t>
      </w:r>
      <w:proofErr w:type="spellStart"/>
      <w:r w:rsidRPr="00CA0B8B">
        <w:rPr>
          <w:szCs w:val="24"/>
        </w:rPr>
        <w:t>gigatovárnou</w:t>
      </w:r>
      <w:proofErr w:type="spellEnd"/>
      <w:r w:rsidRPr="00CA0B8B">
        <w:rPr>
          <w:szCs w:val="24"/>
        </w:rPr>
        <w:t xml:space="preserve"> na umělou inteligenci, a provozní výdaje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hradí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</w:t>
      </w:r>
    </w:p>
    <w:p w14:paraId="47B9C602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6.</w:t>
      </w:r>
      <w:r w:rsidRPr="00CA0B8B">
        <w:rPr>
          <w:szCs w:val="24"/>
        </w:rPr>
        <w:tab/>
        <w:t xml:space="preserve">Zúčastněné státy, které jsou členskými státy, mohou po vzájemné dohodě se společným podnikem své příslušné dobrovolné příspěvky, včetně příspěvků uvedených v odstavci 4 tohoto článku a jakýchkoli dalších příspěvků, vložit v plné výši nebo částečně do konkrétní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 umělou inteligenci prostřednictvím společného podniku, který pak tyto prostředky jejich jménem spravuje a vyplácí je určené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inteligenci.</w:t>
      </w:r>
    </w:p>
    <w:p w14:paraId="3CEE1BC2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bookmarkStart w:id="10" w:name="_Hlk200573989"/>
      <w:r w:rsidRPr="00CA0B8B">
        <w:rPr>
          <w:szCs w:val="24"/>
        </w:rPr>
        <w:t>7.</w:t>
      </w:r>
      <w:r w:rsidRPr="00CA0B8B">
        <w:rPr>
          <w:szCs w:val="24"/>
        </w:rPr>
        <w:tab/>
        <w:t xml:space="preserve">Společný podnik vlastní část výpočetní infrastruktury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odpovídající příspěvku Unie uvedenému v odstavcích 4 a 5. Doba trvání tohoto vlastnictví nebo pronajaté kapacity uvedené v odstavci 4 je nejméně pět let od zahájení provozu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a je dále upřesněna v dohodě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V případě zásadní modernizace výpočetní infrastruktury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se tato doba </w:t>
      </w:r>
      <w:proofErr w:type="gramStart"/>
      <w:r w:rsidRPr="00CA0B8B">
        <w:rPr>
          <w:szCs w:val="24"/>
        </w:rPr>
        <w:t>prodlouží</w:t>
      </w:r>
      <w:proofErr w:type="gramEnd"/>
      <w:r w:rsidRPr="00CA0B8B">
        <w:rPr>
          <w:szCs w:val="24"/>
        </w:rPr>
        <w:t xml:space="preserve">. Aniž je dotčena likvidace společného podniku podle čl. 23 odst. 4 stanov, toto vlastnictví se převede v souladu s dohodou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nebo se </w:t>
      </w:r>
      <w:proofErr w:type="gramStart"/>
      <w:r w:rsidRPr="00CA0B8B">
        <w:rPr>
          <w:szCs w:val="24"/>
        </w:rPr>
        <w:t>prodlouží</w:t>
      </w:r>
      <w:proofErr w:type="gramEnd"/>
      <w:r w:rsidRPr="00CA0B8B">
        <w:rPr>
          <w:szCs w:val="24"/>
        </w:rPr>
        <w:t xml:space="preserve"> na dohodnuté období za podmínek uvedených v dohodě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V případě převodu vlastnictví na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je zbytková hodnota výpočetní infrastruktury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konvertována na odpovídající </w:t>
      </w:r>
      <w:r w:rsidRPr="00CA0B8B">
        <w:rPr>
          <w:szCs w:val="24"/>
        </w:rPr>
        <w:lastRenderedPageBreak/>
        <w:t xml:space="preserve">přístupová práva pro Unii. Pokud nedojde k převodu vlastnictví na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podle dohody o hostingu, ale bude přijato rozhodnutí o vyřazení z provozu, ponese příslušné náklady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</w:t>
      </w:r>
    </w:p>
    <w:bookmarkEnd w:id="10"/>
    <w:p w14:paraId="15ABC3EF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8.</w:t>
      </w:r>
      <w:r w:rsidRPr="00CA0B8B">
        <w:rPr>
          <w:szCs w:val="24"/>
        </w:rPr>
        <w:tab/>
        <w:t xml:space="preserve">Přístupová práva Unie a zúčastněných států ke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 jsou přímo úměrná jejich příslušným finančním příspěvkům na kapitálové výdaje na výpočetní infrastrukturu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nebo předem dohodnutému zaručenému nákupu přístupového času ke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inteligenci. </w:t>
      </w:r>
    </w:p>
    <w:p w14:paraId="79887539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9.</w:t>
      </w:r>
      <w:r w:rsidRPr="00CA0B8B">
        <w:rPr>
          <w:szCs w:val="24"/>
        </w:rPr>
        <w:tab/>
        <w:t>Správní rada společného podniku určuje:</w:t>
      </w:r>
    </w:p>
    <w:p w14:paraId="0305FDE7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 xml:space="preserve">podmínky přístupového času Unie ke </w:t>
      </w:r>
      <w:proofErr w:type="spellStart"/>
      <w:r w:rsidRPr="00CA0B8B">
        <w:rPr>
          <w:szCs w:val="24"/>
        </w:rPr>
        <w:t>gigatovárnám</w:t>
      </w:r>
      <w:proofErr w:type="spellEnd"/>
      <w:r w:rsidRPr="00CA0B8B">
        <w:rPr>
          <w:szCs w:val="24"/>
        </w:rPr>
        <w:t xml:space="preserve"> na umělou inteligenci; </w:t>
      </w:r>
    </w:p>
    <w:p w14:paraId="17EA3381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 xml:space="preserve">zvláštní pravidla upravující podmínky přístupu ke </w:t>
      </w:r>
      <w:proofErr w:type="spellStart"/>
      <w:r w:rsidRPr="00CA0B8B">
        <w:rPr>
          <w:szCs w:val="24"/>
        </w:rPr>
        <w:t>gigatovárnám</w:t>
      </w:r>
      <w:proofErr w:type="spellEnd"/>
      <w:r w:rsidRPr="00CA0B8B">
        <w:rPr>
          <w:szCs w:val="24"/>
        </w:rPr>
        <w:t xml:space="preserve"> na umělou inteligenci, která se týkají přidělování přístupového času pro projekty a činnosti považované za strategické pro Unii</w:t>
      </w:r>
      <w:r w:rsidRPr="00CA0B8B">
        <w:rPr>
          <w:b/>
          <w:bCs/>
          <w:i/>
          <w:iCs/>
          <w:szCs w:val="24"/>
        </w:rPr>
        <w:t>;</w:t>
      </w:r>
    </w:p>
    <w:p w14:paraId="0EC69244" w14:textId="77777777" w:rsidR="00690C2E" w:rsidRPr="00CA0B8B" w:rsidRDefault="00690C2E" w:rsidP="00DA2E4B">
      <w:pPr>
        <w:pStyle w:val="Point1"/>
        <w:spacing w:line="360" w:lineRule="auto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ba)</w:t>
      </w:r>
      <w:r w:rsidRPr="00CA0B8B">
        <w:rPr>
          <w:b/>
          <w:i/>
          <w:szCs w:val="24"/>
        </w:rPr>
        <w:tab/>
        <w:t xml:space="preserve">mechanismy pro sledování míry využití a výsledků, aby se zajistilo účinné využití a kapacita </w:t>
      </w:r>
      <w:proofErr w:type="spellStart"/>
      <w:r w:rsidRPr="00CA0B8B">
        <w:rPr>
          <w:b/>
          <w:i/>
          <w:szCs w:val="24"/>
        </w:rPr>
        <w:t>gigatováren</w:t>
      </w:r>
      <w:proofErr w:type="spellEnd"/>
      <w:r w:rsidRPr="00CA0B8B">
        <w:rPr>
          <w:b/>
          <w:i/>
          <w:szCs w:val="24"/>
        </w:rPr>
        <w:t xml:space="preserve"> na umělou inteligenci a současně se zabránilo tomu, aby zdroje zůstávaly nevyužity. Pravidelně podává zprávy o využití a výkonnosti každé </w:t>
      </w:r>
      <w:proofErr w:type="spellStart"/>
      <w:r w:rsidRPr="00CA0B8B">
        <w:rPr>
          <w:b/>
          <w:i/>
          <w:szCs w:val="24"/>
        </w:rPr>
        <w:t>gigatovárny</w:t>
      </w:r>
      <w:proofErr w:type="spellEnd"/>
      <w:r w:rsidRPr="00CA0B8B">
        <w:rPr>
          <w:b/>
          <w:i/>
          <w:szCs w:val="24"/>
        </w:rPr>
        <w:t>.</w:t>
      </w:r>
    </w:p>
    <w:p w14:paraId="72E6003C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10.</w:t>
      </w:r>
      <w:r w:rsidRPr="00CA0B8B">
        <w:rPr>
          <w:szCs w:val="24"/>
        </w:rPr>
        <w:tab/>
        <w:t>Při určování podmínek upravujících přístupový čas Unie podle odstavce 9 správní rada zajistí, aby přístup:</w:t>
      </w:r>
    </w:p>
    <w:p w14:paraId="7CA3ED36" w14:textId="77777777" w:rsidR="00690C2E" w:rsidRPr="00CA0B8B" w:rsidRDefault="00690C2E" w:rsidP="00DA2E4B">
      <w:pPr>
        <w:pStyle w:val="Point1"/>
        <w:spacing w:line="360" w:lineRule="auto"/>
        <w:jc w:val="left"/>
        <w:rPr>
          <w:rFonts w:eastAsia="Times New Roman"/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>byl poskytnut uživatelům bydlícím, usazeným nebo nacházejícím se v členském státě nebo v třetí zemi přidružené k programu Digitální Evropa, programu Horizont Evropa nebo k Nástroji pro propojení Evropy;</w:t>
      </w:r>
    </w:p>
    <w:p w14:paraId="37D034B7" w14:textId="77777777" w:rsidR="00690C2E" w:rsidRPr="00CA0B8B" w:rsidRDefault="00690C2E" w:rsidP="00DA2E4B">
      <w:pPr>
        <w:pStyle w:val="Point1"/>
        <w:spacing w:line="360" w:lineRule="auto"/>
        <w:jc w:val="left"/>
        <w:rPr>
          <w:rFonts w:eastAsia="Times New Roman"/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>byl bezplatný pro uživatele z řad veřejnoprávních subjektů. Bezplatný je v případě průmyslových uživatelů, pokud jde o jejich aplikace týkající se činnosti v oblasti výzkumu a inovací financované z programu Horizont Evropa, programu Digitální Evropa nebo Nástroje pro propojení Evropy a činnosti, která v rámci programu Horizont Evropa nebo programu Digitální Evropa obdržela „pečeť excelence“, a v případě soukromé inovační činnost malých a středních podniků a </w:t>
      </w:r>
      <w:proofErr w:type="spellStart"/>
      <w:r w:rsidRPr="00CA0B8B">
        <w:rPr>
          <w:szCs w:val="24"/>
        </w:rPr>
        <w:t>scaleupů</w:t>
      </w:r>
      <w:proofErr w:type="spellEnd"/>
      <w:r w:rsidRPr="00CA0B8B">
        <w:rPr>
          <w:szCs w:val="24"/>
        </w:rPr>
        <w:t>;</w:t>
      </w:r>
    </w:p>
    <w:p w14:paraId="49833350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c)</w:t>
      </w:r>
      <w:r w:rsidRPr="00CA0B8B">
        <w:rPr>
          <w:szCs w:val="24"/>
        </w:rPr>
        <w:tab/>
        <w:t>zahrnoval výpočetní zdroje vyhrazené speciálně pro výzkumné projekty financované EU a </w:t>
      </w:r>
      <w:r w:rsidRPr="00CA0B8B">
        <w:rPr>
          <w:b/>
          <w:bCs/>
          <w:i/>
          <w:iCs/>
          <w:szCs w:val="24"/>
        </w:rPr>
        <w:t>pro malé společnosti a subjekty fungující podle zásady otevřené vědy</w:t>
      </w:r>
      <w:r w:rsidRPr="00CA0B8B">
        <w:rPr>
          <w:szCs w:val="24"/>
        </w:rPr>
        <w:t xml:space="preserve"> a zajišťoval zaručenou dostupnost a prioritu v termínovém plánování</w:t>
      </w:r>
      <w:r w:rsidRPr="00CA0B8B">
        <w:rPr>
          <w:b/>
          <w:bCs/>
          <w:i/>
          <w:iCs/>
          <w:szCs w:val="24"/>
        </w:rPr>
        <w:t>;</w:t>
      </w:r>
    </w:p>
    <w:p w14:paraId="49544DF1" w14:textId="77777777" w:rsidR="00690C2E" w:rsidRPr="00CA0B8B" w:rsidRDefault="00690C2E" w:rsidP="00DA2E4B">
      <w:pPr>
        <w:pStyle w:val="Point1"/>
        <w:spacing w:line="360" w:lineRule="auto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ca)</w:t>
      </w:r>
      <w:r w:rsidRPr="00CA0B8B">
        <w:rPr>
          <w:b/>
          <w:i/>
          <w:szCs w:val="24"/>
        </w:rPr>
        <w:tab/>
        <w:t xml:space="preserve">poskytoval přednostní přístup, a je-li to proveditelné, cílená podpůrná opatření pro malé a střední podniky, začínající podniky, mikropodniky a výzkumné organizace, mimo jiné ty, jež se zabývají neziskovým nebo </w:t>
      </w:r>
      <w:proofErr w:type="spellStart"/>
      <w:r w:rsidRPr="00CA0B8B">
        <w:rPr>
          <w:b/>
          <w:i/>
          <w:szCs w:val="24"/>
        </w:rPr>
        <w:t>předkonkurenčním</w:t>
      </w:r>
      <w:proofErr w:type="spellEnd"/>
      <w:r w:rsidRPr="00CA0B8B">
        <w:rPr>
          <w:b/>
          <w:i/>
          <w:szCs w:val="24"/>
        </w:rPr>
        <w:t xml:space="preserve"> výzkumem, které vyvíjejí aplikace s vysokým společenským nebo průmyslovým dopadem na Unii.</w:t>
      </w:r>
    </w:p>
    <w:p w14:paraId="423EF423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11.</w:t>
      </w:r>
      <w:r w:rsidRPr="00CA0B8B">
        <w:rPr>
          <w:szCs w:val="24"/>
        </w:rPr>
        <w:tab/>
        <w:t>Správní rada sleduje podíl přístupového času Unie pro různé typy uživatelů definované v odst. 10 písm. a). V případě, že existuje výrazná nerovnováha v podílech přístupového času mezi různými typy uživatelů a poptávkou, přijme vhodná nápravná opatření k odstranění této nerovnováhy.</w:t>
      </w:r>
    </w:p>
    <w:p w14:paraId="0428B78A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12.</w:t>
      </w:r>
      <w:r w:rsidRPr="00CA0B8B">
        <w:rPr>
          <w:szCs w:val="24"/>
        </w:rPr>
        <w:tab/>
        <w:t xml:space="preserve">Příspěvky Unie nebo zúčastněných států podléhají podmínkám zajišťujícím ochranu strategických zájmů Unie. Konkrétní podmínky uvedené v tomto odstavci jsou stanoveny ve zvláštní dohodě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uzavřené mezi společným podnikem a konsorciem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Dohoda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se řídí právem Unie; na veškeré záležitosti, které toto nařízení ani jiné právní akty Unie neupravují, se použije právo členského státu, v němž je usazen hostitelský subjekt. Dohoda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inteligenci:</w:t>
      </w:r>
    </w:p>
    <w:p w14:paraId="2915CDED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 xml:space="preserve">stanovuje podrobně vlastnickou a řídicí strukturu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</w:t>
      </w:r>
    </w:p>
    <w:p w14:paraId="4489B7B1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 xml:space="preserve">zahrnuje ustanovení zajišťující účinnou kontrolu a dohled nad </w:t>
      </w:r>
      <w:proofErr w:type="spellStart"/>
      <w:r w:rsidRPr="00CA0B8B">
        <w:rPr>
          <w:szCs w:val="24"/>
        </w:rPr>
        <w:t>gigatovárnou</w:t>
      </w:r>
      <w:proofErr w:type="spellEnd"/>
      <w:r w:rsidRPr="00CA0B8B">
        <w:rPr>
          <w:szCs w:val="24"/>
        </w:rPr>
        <w:t xml:space="preserve"> na umělou inteligenci ze strany Unie za účelem ochrany strategických aktiv, zájmů, autonomie nebo bezpečnosti Unie;</w:t>
      </w:r>
    </w:p>
    <w:p w14:paraId="7258DCC9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  <w:t xml:space="preserve">stanovuje finanční příspěvky Unie, zúčastněných států a veřejných, příp. soukromých partnerů konsorcia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v příslušných případech včetně zaručeného přístupového času ke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 podle odstavce 8 a doby jeho trvání;</w:t>
      </w:r>
    </w:p>
    <w:p w14:paraId="561B02E7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d)</w:t>
      </w:r>
      <w:r w:rsidRPr="00CA0B8B">
        <w:rPr>
          <w:szCs w:val="24"/>
        </w:rPr>
        <w:tab/>
        <w:t xml:space="preserve">případně vymezuje veškeré další zájmy Unie vyplývající z investic Unie upravených zvláštními investičními dohodami mezi konsorciem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a programem </w:t>
      </w:r>
      <w:proofErr w:type="spellStart"/>
      <w:r w:rsidRPr="00CA0B8B">
        <w:rPr>
          <w:szCs w:val="24"/>
        </w:rPr>
        <w:t>InvestEU</w:t>
      </w:r>
      <w:proofErr w:type="spellEnd"/>
      <w:r w:rsidRPr="00CA0B8B">
        <w:rPr>
          <w:szCs w:val="24"/>
        </w:rPr>
        <w:t>;</w:t>
      </w:r>
    </w:p>
    <w:p w14:paraId="654B49BB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e)</w:t>
      </w:r>
      <w:r w:rsidRPr="00CA0B8B">
        <w:rPr>
          <w:szCs w:val="24"/>
        </w:rPr>
        <w:tab/>
        <w:t xml:space="preserve">stanovuje podmínky způsobilosti pro uživatele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mimo Unii; ti musí splňovat stejné podmínky jako podmínky způsobilosti uvedené v odstavci 2; </w:t>
      </w:r>
    </w:p>
    <w:p w14:paraId="145887C4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f)</w:t>
      </w:r>
      <w:r w:rsidRPr="00CA0B8B">
        <w:rPr>
          <w:szCs w:val="24"/>
        </w:rPr>
        <w:tab/>
        <w:t xml:space="preserve">stanovuje podrobné podmínky přístupu pro uživatele z Unie a způsoby účtování přístupových časů ke službám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</w:t>
      </w:r>
    </w:p>
    <w:p w14:paraId="235D3535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g)</w:t>
      </w:r>
      <w:r w:rsidRPr="00CA0B8B">
        <w:rPr>
          <w:szCs w:val="24"/>
        </w:rPr>
        <w:tab/>
        <w:t xml:space="preserve">stanovuje kvalitu služeb nabízených uživatelům společného podniku při provozování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jak je stanovena v dohodě o úrovni služeb obsažené v dohodě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</w:t>
      </w:r>
    </w:p>
    <w:p w14:paraId="49CF0546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h)</w:t>
      </w:r>
      <w:r w:rsidRPr="00CA0B8B">
        <w:rPr>
          <w:szCs w:val="24"/>
        </w:rPr>
        <w:tab/>
        <w:t xml:space="preserve">v příslušných případech stanovuje způsoby pořízení, provozu a využívání datové a výpočetní infrastruktury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včetně požadavků uživatelů z veřejného sektoru; pokud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zahrnuje jednoho nebo více dodavatelů technologické infrastruktury, musí dohoda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obsahovat ustanovení o posílených zárukách proti střetu zájmů u těchto dodavatelů; </w:t>
      </w:r>
    </w:p>
    <w:p w14:paraId="260A3229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i)</w:t>
      </w:r>
      <w:r w:rsidRPr="00CA0B8B">
        <w:rPr>
          <w:szCs w:val="24"/>
        </w:rPr>
        <w:tab/>
        <w:t>v příslušných případech stanovuje podmínky pro převod vlastnictví podle odstavce 7;</w:t>
      </w:r>
    </w:p>
    <w:p w14:paraId="70331FAA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j)</w:t>
      </w:r>
      <w:r w:rsidRPr="00CA0B8B">
        <w:rPr>
          <w:szCs w:val="24"/>
        </w:rPr>
        <w:tab/>
        <w:t xml:space="preserve">v příslušných případech podrobně upravuje prodloužení vlastnictví nebo předem dohodnutého zaručeného zakoupeného přístupového času a případně podmínky vyřazení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z provozu;</w:t>
      </w:r>
    </w:p>
    <w:p w14:paraId="7452B59D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k)</w:t>
      </w:r>
      <w:r w:rsidRPr="00CA0B8B">
        <w:rPr>
          <w:szCs w:val="24"/>
        </w:rPr>
        <w:tab/>
        <w:t xml:space="preserve">v příslušných případech stanovuje podmínky odpovědnosti pro provozování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</w:t>
      </w:r>
    </w:p>
    <w:p w14:paraId="240E47CA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l)</w:t>
      </w:r>
      <w:r w:rsidRPr="00CA0B8B">
        <w:rPr>
          <w:szCs w:val="24"/>
        </w:rPr>
        <w:tab/>
        <w:t xml:space="preserve">stanovuje povinnost hostitelského subjektu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předložit správní radě do 31. ledna každého roku auditní zprávu a údaje týkající se využívání přístupového času Unie v předchozím rozpočtovém roce;</w:t>
      </w:r>
    </w:p>
    <w:p w14:paraId="52E4DEAF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m)</w:t>
      </w:r>
      <w:r w:rsidRPr="00CA0B8B">
        <w:rPr>
          <w:szCs w:val="24"/>
        </w:rPr>
        <w:tab/>
        <w:t>obsahuje rozhodčí doložku ve smyslu článku 272 Smlouvy o fungování Evropské unie, která uděluje Soudnímu dvoru Evropské unie pravomoc rozhodovat ve všech záležitostech upravených touto dohodou o hostingu.</w:t>
      </w:r>
    </w:p>
    <w:p w14:paraId="313FB24C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13.</w:t>
      </w:r>
      <w:r w:rsidRPr="00CA0B8B">
        <w:rPr>
          <w:szCs w:val="24"/>
        </w:rPr>
        <w:tab/>
      </w:r>
      <w:proofErr w:type="spellStart"/>
      <w:r w:rsidRPr="00CA0B8B">
        <w:rPr>
          <w:szCs w:val="24"/>
        </w:rPr>
        <w:t>Gigatovárna</w:t>
      </w:r>
      <w:proofErr w:type="spellEnd"/>
      <w:r w:rsidRPr="00CA0B8B">
        <w:rPr>
          <w:szCs w:val="24"/>
        </w:rPr>
        <w:t xml:space="preserve"> na umělou inteligenci zahrnuje orgán veřejné správy složený ze zástupců Komise a zúčastněných států, které dané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 poskytují veřejné financování. Aniž je dotčena řídicí a provozní autonomie konsorcia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a k zajištění souladu s cíli veřejného zájmu, které jsou základem veřejného financování, vyžadují výslovný předchozí souhlas tohoto určeného </w:t>
      </w:r>
      <w:bookmarkStart w:id="11" w:name="_Hlk201233923"/>
      <w:r w:rsidRPr="00CA0B8B">
        <w:rPr>
          <w:szCs w:val="24"/>
        </w:rPr>
        <w:t>orgánu veřejné správy následující prvky:</w:t>
      </w:r>
    </w:p>
    <w:bookmarkEnd w:id="11"/>
    <w:p w14:paraId="73A7D576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>veškeré navrhované dohody o přístupu se subjekty ze třetích zemí, které mohou vyvolat obavy týkající se strategických aktiv, zájmů, autonomie nebo bezpečnosti Unie;</w:t>
      </w:r>
    </w:p>
    <w:p w14:paraId="08B5177E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 xml:space="preserve">podstatné změny právní a finanční struktury nebo kontroly, které mají dopad na zájmy Unie nebo zájmy zúčastněných států, jako je změna konečného vlastnictví nebo kontroly nad </w:t>
      </w:r>
      <w:proofErr w:type="spellStart"/>
      <w:r w:rsidRPr="00CA0B8B">
        <w:rPr>
          <w:szCs w:val="24"/>
        </w:rPr>
        <w:t>gigatovárnou</w:t>
      </w:r>
      <w:proofErr w:type="spellEnd"/>
      <w:r w:rsidRPr="00CA0B8B">
        <w:rPr>
          <w:szCs w:val="24"/>
        </w:rPr>
        <w:t xml:space="preserve"> na umělou inteligenci, jakékoli přemístění kritických aktiv mimo Unii nebo významná rozhodnutí o finanční restrukturalizaci;</w:t>
      </w:r>
    </w:p>
    <w:p w14:paraId="2652E78F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  <w:t xml:space="preserve">významná změna strategického účelu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inteligenci.</w:t>
      </w:r>
    </w:p>
    <w:p w14:paraId="558A27EC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14.</w:t>
      </w:r>
      <w:r w:rsidRPr="00CA0B8B">
        <w:rPr>
          <w:szCs w:val="24"/>
        </w:rPr>
        <w:tab/>
        <w:t xml:space="preserve">Po výzvě k vyjádření zájmu vybere správní rada společného podniku spravedlivým a transparentního postupem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s podporou skupiny nezávislých odborníků a akreditované finanční instituce jmenované správní radou za účelem hodnocení, které proběhne mimo jiné na základě těchto kritérií:</w:t>
      </w:r>
    </w:p>
    <w:p w14:paraId="302A73CF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>technické hodnocení:</w:t>
      </w:r>
    </w:p>
    <w:p w14:paraId="67A99554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1)</w:t>
      </w:r>
      <w:r w:rsidRPr="00CA0B8B">
        <w:rPr>
          <w:szCs w:val="24"/>
        </w:rPr>
        <w:tab/>
        <w:t>cíle a technická kvalita návrhu;</w:t>
      </w:r>
    </w:p>
    <w:p w14:paraId="6FD29C24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2)</w:t>
      </w:r>
      <w:r w:rsidRPr="00CA0B8B">
        <w:rPr>
          <w:szCs w:val="24"/>
        </w:rPr>
        <w:tab/>
        <w:t>kvalita pracovního plánu;</w:t>
      </w:r>
    </w:p>
    <w:p w14:paraId="7DBD0F1B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3)</w:t>
      </w:r>
      <w:r w:rsidRPr="00CA0B8B">
        <w:rPr>
          <w:szCs w:val="24"/>
        </w:rPr>
        <w:tab/>
        <w:t>kvalita a </w:t>
      </w:r>
      <w:r w:rsidRPr="00CA0B8B">
        <w:rPr>
          <w:b/>
          <w:bCs/>
          <w:i/>
          <w:iCs/>
          <w:szCs w:val="24"/>
        </w:rPr>
        <w:t>bezpečnost</w:t>
      </w:r>
      <w:r w:rsidRPr="00CA0B8B">
        <w:rPr>
          <w:szCs w:val="24"/>
        </w:rPr>
        <w:t xml:space="preserve"> fyzické, informační a síťové infrastruktury;</w:t>
      </w:r>
    </w:p>
    <w:p w14:paraId="58F96CBA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4)</w:t>
      </w:r>
      <w:r w:rsidRPr="00CA0B8B">
        <w:rPr>
          <w:szCs w:val="24"/>
        </w:rPr>
        <w:tab/>
        <w:t>udržitelnost</w:t>
      </w:r>
      <w:r w:rsidRPr="00CA0B8B">
        <w:rPr>
          <w:b/>
          <w:i/>
          <w:szCs w:val="24"/>
        </w:rPr>
        <w:t>,</w:t>
      </w:r>
      <w:r w:rsidRPr="00CA0B8B">
        <w:rPr>
          <w:szCs w:val="24"/>
        </w:rPr>
        <w:t xml:space="preserve"> energetická účinnost a </w:t>
      </w:r>
      <w:r w:rsidRPr="00CA0B8B">
        <w:rPr>
          <w:b/>
          <w:i/>
          <w:szCs w:val="24"/>
        </w:rPr>
        <w:t>účinné hospodaření s vodou</w:t>
      </w:r>
      <w:r w:rsidRPr="00CA0B8B">
        <w:rPr>
          <w:szCs w:val="24"/>
        </w:rPr>
        <w:t>;</w:t>
      </w:r>
    </w:p>
    <w:p w14:paraId="73CD0764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5)</w:t>
      </w:r>
      <w:r w:rsidRPr="00CA0B8B">
        <w:rPr>
          <w:szCs w:val="24"/>
        </w:rPr>
        <w:tab/>
        <w:t>zkušenosti a know-how konsorcia při zřizování podobných rozsáhlých zařízení;</w:t>
      </w:r>
    </w:p>
    <w:p w14:paraId="1BA16FC8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lastRenderedPageBreak/>
        <w:t>b)</w:t>
      </w:r>
      <w:r w:rsidRPr="00CA0B8B">
        <w:rPr>
          <w:szCs w:val="24"/>
        </w:rPr>
        <w:tab/>
        <w:t>potenciální dopad:</w:t>
      </w:r>
    </w:p>
    <w:p w14:paraId="1B4A073A" w14:textId="77777777" w:rsidR="00690C2E" w:rsidRPr="00CA0B8B" w:rsidRDefault="00690C2E" w:rsidP="00DA2E4B">
      <w:pPr>
        <w:pStyle w:val="Point2"/>
        <w:spacing w:line="360" w:lineRule="auto"/>
        <w:jc w:val="left"/>
        <w:rPr>
          <w:b/>
          <w:i/>
          <w:szCs w:val="24"/>
        </w:rPr>
      </w:pPr>
      <w:r w:rsidRPr="00CA0B8B">
        <w:rPr>
          <w:szCs w:val="24"/>
        </w:rPr>
        <w:t>1)</w:t>
      </w:r>
      <w:r w:rsidRPr="00CA0B8B">
        <w:rPr>
          <w:szCs w:val="24"/>
        </w:rPr>
        <w:tab/>
        <w:t>kvalita služeb, včetně bezpečnosti</w:t>
      </w:r>
      <w:r w:rsidRPr="00CA0B8B">
        <w:rPr>
          <w:b/>
          <w:i/>
          <w:szCs w:val="24"/>
        </w:rPr>
        <w:t xml:space="preserve">, </w:t>
      </w:r>
      <w:r w:rsidRPr="00CA0B8B">
        <w:rPr>
          <w:szCs w:val="24"/>
        </w:rPr>
        <w:t>důvěryhodnosti a </w:t>
      </w:r>
      <w:r w:rsidRPr="00CA0B8B">
        <w:rPr>
          <w:b/>
          <w:i/>
          <w:szCs w:val="24"/>
        </w:rPr>
        <w:t>zaměření na uživatele</w:t>
      </w:r>
      <w:r w:rsidRPr="00CA0B8B">
        <w:rPr>
          <w:szCs w:val="24"/>
        </w:rPr>
        <w:t>;</w:t>
      </w:r>
    </w:p>
    <w:p w14:paraId="0203FF0F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2)</w:t>
      </w:r>
      <w:r w:rsidRPr="00CA0B8B">
        <w:rPr>
          <w:szCs w:val="24"/>
        </w:rPr>
        <w:tab/>
        <w:t>dopad na evropský ekosystém umělé inteligence</w:t>
      </w:r>
      <w:r w:rsidRPr="00CA0B8B">
        <w:rPr>
          <w:b/>
          <w:bCs/>
          <w:i/>
          <w:iCs/>
          <w:szCs w:val="24"/>
        </w:rPr>
        <w:t>, včetně zeměpisné vyváženosti a rozšíření přístupu v celé Unii</w:t>
      </w:r>
      <w:r w:rsidRPr="00CA0B8B">
        <w:rPr>
          <w:szCs w:val="24"/>
        </w:rPr>
        <w:t>;</w:t>
      </w:r>
      <w:r w:rsidRPr="00CA0B8B">
        <w:rPr>
          <w:b/>
          <w:i/>
          <w:szCs w:val="24"/>
        </w:rPr>
        <w:t xml:space="preserve"> </w:t>
      </w:r>
    </w:p>
    <w:p w14:paraId="6E5CA4C2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3)</w:t>
      </w:r>
      <w:r w:rsidRPr="00CA0B8B">
        <w:rPr>
          <w:szCs w:val="24"/>
        </w:rPr>
        <w:tab/>
        <w:t>přidaná hodnota EU</w:t>
      </w:r>
      <w:r w:rsidRPr="00CA0B8B">
        <w:rPr>
          <w:b/>
          <w:i/>
          <w:szCs w:val="24"/>
        </w:rPr>
        <w:t>, která zvyšuje technologickou suverenitu Unie a má pozitivní dopad na její strategickou autonomii</w:t>
      </w:r>
      <w:r w:rsidRPr="00CA0B8B">
        <w:rPr>
          <w:szCs w:val="24"/>
        </w:rPr>
        <w:t>;</w:t>
      </w:r>
    </w:p>
    <w:p w14:paraId="73299D2A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  <w:t>finanční proveditelnost:</w:t>
      </w:r>
    </w:p>
    <w:p w14:paraId="1E7F3A63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1)</w:t>
      </w:r>
      <w:r w:rsidRPr="00CA0B8B">
        <w:rPr>
          <w:szCs w:val="24"/>
        </w:rPr>
        <w:tab/>
        <w:t xml:space="preserve">investiční závazky zúčastněných států a konsorcia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</w:t>
      </w:r>
    </w:p>
    <w:p w14:paraId="11EFB19F" w14:textId="77777777" w:rsidR="00690C2E" w:rsidRPr="00CA0B8B" w:rsidRDefault="00690C2E" w:rsidP="00DA2E4B">
      <w:pPr>
        <w:pStyle w:val="Point2"/>
        <w:spacing w:line="360" w:lineRule="auto"/>
        <w:jc w:val="left"/>
        <w:rPr>
          <w:b/>
          <w:i/>
          <w:szCs w:val="24"/>
        </w:rPr>
      </w:pPr>
      <w:proofErr w:type="gramStart"/>
      <w:r w:rsidRPr="00CA0B8B">
        <w:rPr>
          <w:b/>
          <w:i/>
          <w:szCs w:val="24"/>
        </w:rPr>
        <w:t>1a</w:t>
      </w:r>
      <w:proofErr w:type="gramEnd"/>
      <w:r w:rsidRPr="00CA0B8B">
        <w:rPr>
          <w:b/>
          <w:i/>
          <w:szCs w:val="24"/>
        </w:rPr>
        <w:t>)</w:t>
      </w:r>
      <w:r w:rsidRPr="00CA0B8B">
        <w:rPr>
          <w:b/>
          <w:i/>
          <w:szCs w:val="24"/>
        </w:rPr>
        <w:tab/>
        <w:t xml:space="preserve">podrobné věrohodné odhady poptávky založené na závazcích; </w:t>
      </w:r>
    </w:p>
    <w:p w14:paraId="337DE971" w14:textId="77777777" w:rsidR="00690C2E" w:rsidRPr="00CA0B8B" w:rsidRDefault="00690C2E" w:rsidP="00DA2E4B">
      <w:pPr>
        <w:pStyle w:val="Point2"/>
        <w:spacing w:line="360" w:lineRule="auto"/>
        <w:jc w:val="left"/>
        <w:rPr>
          <w:szCs w:val="24"/>
        </w:rPr>
      </w:pPr>
      <w:r w:rsidRPr="00CA0B8B">
        <w:rPr>
          <w:szCs w:val="24"/>
        </w:rPr>
        <w:t>2)</w:t>
      </w:r>
      <w:r w:rsidRPr="00CA0B8B">
        <w:rPr>
          <w:szCs w:val="24"/>
        </w:rPr>
        <w:tab/>
        <w:t>kvalita a finanční životaschopnost navrhovaného obchodního modelu (včetně hloubkové kontroly, kterou provede jmenovaná akreditovaná finanční instituce)</w:t>
      </w:r>
      <w:r w:rsidRPr="00CA0B8B">
        <w:rPr>
          <w:b/>
          <w:bCs/>
          <w:i/>
          <w:iCs/>
          <w:szCs w:val="24"/>
        </w:rPr>
        <w:t>;</w:t>
      </w:r>
    </w:p>
    <w:p w14:paraId="0071753D" w14:textId="482A333F" w:rsidR="00690C2E" w:rsidRPr="00CA0B8B" w:rsidRDefault="00690C2E" w:rsidP="00DA2E4B">
      <w:pPr>
        <w:pStyle w:val="Point2"/>
        <w:spacing w:line="360" w:lineRule="auto"/>
        <w:ind w:left="0" w:firstLine="720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d)</w:t>
      </w:r>
      <w:r w:rsidRPr="00CA0B8B">
        <w:rPr>
          <w:b/>
          <w:i/>
          <w:szCs w:val="24"/>
        </w:rPr>
        <w:tab/>
        <w:t>dopad na pracovní trh:</w:t>
      </w:r>
    </w:p>
    <w:p w14:paraId="1BAB48D4" w14:textId="77777777" w:rsidR="00690C2E" w:rsidRPr="00CA0B8B" w:rsidRDefault="00690C2E" w:rsidP="00DA2E4B">
      <w:pPr>
        <w:pStyle w:val="Point2"/>
        <w:spacing w:line="360" w:lineRule="auto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1)</w:t>
      </w:r>
      <w:r w:rsidRPr="00CA0B8B">
        <w:rPr>
          <w:b/>
          <w:i/>
          <w:szCs w:val="24"/>
        </w:rPr>
        <w:tab/>
        <w:t>přilákání, rozvoj a udržení vysoce kvalifikovaných různorodých talentů v oblasti umělé inteligence;</w:t>
      </w:r>
    </w:p>
    <w:p w14:paraId="1515B22E" w14:textId="77777777" w:rsidR="00690C2E" w:rsidRPr="00CA0B8B" w:rsidRDefault="00690C2E" w:rsidP="00DA2E4B">
      <w:pPr>
        <w:pStyle w:val="Point2"/>
        <w:spacing w:line="360" w:lineRule="auto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2)</w:t>
      </w:r>
      <w:r w:rsidRPr="00CA0B8B">
        <w:rPr>
          <w:b/>
          <w:i/>
          <w:szCs w:val="24"/>
        </w:rPr>
        <w:tab/>
        <w:t>vytváření kvalitních pracovních míst.</w:t>
      </w:r>
    </w:p>
    <w:p w14:paraId="7C61406C" w14:textId="77777777" w:rsidR="00690C2E" w:rsidRPr="00CA0B8B" w:rsidRDefault="00690C2E" w:rsidP="00DA2E4B">
      <w:pPr>
        <w:pStyle w:val="Point2"/>
        <w:spacing w:line="360" w:lineRule="auto"/>
        <w:ind w:left="851" w:hanging="851"/>
        <w:jc w:val="left"/>
        <w:rPr>
          <w:b/>
          <w:i/>
          <w:szCs w:val="24"/>
        </w:rPr>
      </w:pPr>
      <w:proofErr w:type="gramStart"/>
      <w:r w:rsidRPr="00CA0B8B">
        <w:rPr>
          <w:b/>
          <w:i/>
          <w:szCs w:val="24"/>
        </w:rPr>
        <w:t>14a</w:t>
      </w:r>
      <w:proofErr w:type="gramEnd"/>
      <w:r w:rsidRPr="00CA0B8B">
        <w:rPr>
          <w:b/>
          <w:i/>
          <w:szCs w:val="24"/>
        </w:rPr>
        <w:t>.</w:t>
      </w:r>
      <w:r w:rsidRPr="00CA0B8B">
        <w:rPr>
          <w:szCs w:val="24"/>
        </w:rPr>
        <w:tab/>
      </w:r>
      <w:r w:rsidRPr="00CA0B8B">
        <w:rPr>
          <w:b/>
          <w:i/>
          <w:szCs w:val="24"/>
        </w:rPr>
        <w:t>Společný podnik podává každoročně zprávu o:</w:t>
      </w:r>
    </w:p>
    <w:p w14:paraId="39F17026" w14:textId="15FCCFDB" w:rsidR="00690C2E" w:rsidRPr="00CA0B8B" w:rsidRDefault="00690C2E" w:rsidP="00DA2E4B">
      <w:pPr>
        <w:pStyle w:val="Point2"/>
        <w:spacing w:line="360" w:lineRule="auto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a)</w:t>
      </w:r>
      <w:r w:rsidRPr="00CA0B8B">
        <w:rPr>
          <w:b/>
          <w:i/>
          <w:szCs w:val="24"/>
        </w:rPr>
        <w:tab/>
        <w:t>využívání kapacity výpočetní infrastruktury pro účely vývoje evropských velkých modelů umělé inteligence;</w:t>
      </w:r>
    </w:p>
    <w:p w14:paraId="7E683C3D" w14:textId="1EBEC17A" w:rsidR="00690C2E" w:rsidRPr="00CA0B8B" w:rsidRDefault="00690C2E" w:rsidP="00DA2E4B">
      <w:pPr>
        <w:pStyle w:val="Point2"/>
        <w:spacing w:line="360" w:lineRule="auto"/>
        <w:ind w:left="1982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b)</w:t>
      </w:r>
      <w:r w:rsidRPr="00CA0B8B">
        <w:rPr>
          <w:b/>
          <w:i/>
          <w:szCs w:val="24"/>
        </w:rPr>
        <w:tab/>
        <w:t>počtu vyvinutých nových původních velkých modelů umělé inteligence;</w:t>
      </w:r>
    </w:p>
    <w:p w14:paraId="7FDBF993" w14:textId="171132A6" w:rsidR="00690C2E" w:rsidRPr="00CA0B8B" w:rsidRDefault="00690C2E" w:rsidP="00DA2E4B">
      <w:pPr>
        <w:pStyle w:val="Point2"/>
        <w:spacing w:line="360" w:lineRule="auto"/>
        <w:ind w:left="1982"/>
        <w:jc w:val="left"/>
        <w:rPr>
          <w:b/>
          <w:i/>
          <w:szCs w:val="24"/>
        </w:rPr>
      </w:pPr>
      <w:r w:rsidRPr="00CA0B8B">
        <w:rPr>
          <w:b/>
          <w:i/>
          <w:szCs w:val="24"/>
        </w:rPr>
        <w:t>c)</w:t>
      </w:r>
      <w:r w:rsidRPr="00CA0B8B">
        <w:rPr>
          <w:b/>
          <w:i/>
          <w:szCs w:val="24"/>
        </w:rPr>
        <w:tab/>
      </w:r>
      <w:r w:rsidRPr="00CA0B8B">
        <w:rPr>
          <w:b/>
          <w:bCs/>
          <w:i/>
          <w:szCs w:val="24"/>
        </w:rPr>
        <w:t>udržitelnosti, účinném využívání energie a vody a přístupu k energii z obnovitelných zdrojů.</w:t>
      </w:r>
    </w:p>
    <w:p w14:paraId="350281B3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15.</w:t>
      </w:r>
      <w:r w:rsidRPr="00CA0B8B">
        <w:rPr>
          <w:szCs w:val="24"/>
        </w:rPr>
        <w:tab/>
        <w:t xml:space="preserve">Pokud konsorcium nezahrnuje jednoho nebo více dodavatelů technologické infrastruktury, vybere dodavatele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konsorcium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 na základě spravedlivých a transparentních specifikací pro nabídky, které zohlední obecné specifikace systému, a zejména požadavky uživatelů z veřejného sektoru, které Unie uvedla ve výzvě k vyjádření </w:t>
      </w:r>
      <w:r w:rsidRPr="00CA0B8B">
        <w:rPr>
          <w:szCs w:val="24"/>
        </w:rPr>
        <w:lastRenderedPageBreak/>
        <w:t xml:space="preserve">zájmu a které jsou dále specifikovány v dohodě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inteligenci. Výběr musí být založen na spravedlivých, otevřených a transparentních kritériích a musí také zajistit přidanou hodnotu EU a řešit otázku bezpečnosti a odolnosti dodavatelského řetězce. Vybraní uchazeči musí splňovat podmínky způsobilosti uvedené v odstavci 2. </w:t>
      </w:r>
    </w:p>
    <w:p w14:paraId="3C368F43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16.</w:t>
      </w:r>
      <w:r w:rsidRPr="00CA0B8B">
        <w:rPr>
          <w:szCs w:val="24"/>
        </w:rPr>
        <w:tab/>
        <w:t xml:space="preserve">Společný podnik může uzavírat rámcové smlouvy na dodávku hlavních a vysoce žádaných komponentů, jako jsou pokročilé procesory umělé inteligence. Konsorcia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mohou při zadávání zakázek používat rámcové smlouvy uvedené v tomto odstavci.</w:t>
      </w:r>
    </w:p>
    <w:p w14:paraId="1422D203" w14:textId="77777777" w:rsidR="00690C2E" w:rsidRPr="00CA0B8B" w:rsidRDefault="00690C2E" w:rsidP="00DA2E4B">
      <w:pPr>
        <w:pStyle w:val="Point2"/>
        <w:spacing w:line="360" w:lineRule="auto"/>
        <w:ind w:left="851" w:hanging="851"/>
        <w:jc w:val="left"/>
        <w:rPr>
          <w:szCs w:val="24"/>
        </w:rPr>
      </w:pPr>
      <w:r w:rsidRPr="00CA0B8B">
        <w:rPr>
          <w:b/>
          <w:i/>
          <w:szCs w:val="24"/>
        </w:rPr>
        <w:t>17.</w:t>
      </w:r>
      <w:r w:rsidRPr="00CA0B8B">
        <w:rPr>
          <w:szCs w:val="24"/>
        </w:rPr>
        <w:tab/>
        <w:t xml:space="preserve"> </w:t>
      </w:r>
      <w:r w:rsidRPr="00CA0B8B">
        <w:rPr>
          <w:b/>
          <w:i/>
          <w:szCs w:val="24"/>
        </w:rPr>
        <w:t xml:space="preserve">Společný podnik podporuje vyváženou účast členských států na zřizování </w:t>
      </w:r>
      <w:proofErr w:type="spellStart"/>
      <w:r w:rsidRPr="00CA0B8B">
        <w:rPr>
          <w:b/>
          <w:i/>
          <w:szCs w:val="24"/>
        </w:rPr>
        <w:t>gigatováren</w:t>
      </w:r>
      <w:proofErr w:type="spellEnd"/>
      <w:r w:rsidRPr="00CA0B8B">
        <w:rPr>
          <w:b/>
          <w:i/>
          <w:szCs w:val="24"/>
        </w:rPr>
        <w:t xml:space="preserve"> na umělou inteligenci a odborných středisek pro kvantové technologie a jejich vyvážený přístup k nim.“;</w:t>
      </w:r>
    </w:p>
    <w:p w14:paraId="16DF7A4F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26)</w:t>
      </w:r>
      <w:r w:rsidRPr="00CA0B8B">
        <w:rPr>
          <w:szCs w:val="24"/>
        </w:rPr>
        <w:tab/>
        <w:t>článek 16 se mění takto:</w:t>
      </w:r>
    </w:p>
    <w:p w14:paraId="1663EB8A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27)</w:t>
      </w:r>
      <w:r w:rsidRPr="00CA0B8B">
        <w:rPr>
          <w:szCs w:val="24"/>
        </w:rPr>
        <w:tab/>
        <w:t>odstavec 1 se nahrazuje tímto:</w:t>
      </w:r>
    </w:p>
    <w:p w14:paraId="124FC183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„Aniž je dotčen čl. 17 odst. 9, je využívání superpočítačů </w:t>
      </w:r>
      <w:proofErr w:type="spellStart"/>
      <w:r w:rsidRPr="00CA0B8B">
        <w:rPr>
          <w:szCs w:val="24"/>
        </w:rPr>
        <w:t>EuroHPC</w:t>
      </w:r>
      <w:proofErr w:type="spellEnd"/>
      <w:r w:rsidRPr="00CA0B8B">
        <w:rPr>
          <w:szCs w:val="24"/>
        </w:rPr>
        <w:t xml:space="preserve"> umožněno uživatelům aplikací ve veřejném i soukromém sektoru. Jiné superpočítače </w:t>
      </w:r>
      <w:proofErr w:type="spellStart"/>
      <w:proofErr w:type="gramStart"/>
      <w:r w:rsidRPr="00CA0B8B">
        <w:rPr>
          <w:szCs w:val="24"/>
        </w:rPr>
        <w:t>EuroHPC</w:t>
      </w:r>
      <w:proofErr w:type="spellEnd"/>
      <w:proofErr w:type="gramEnd"/>
      <w:r w:rsidRPr="00CA0B8B">
        <w:rPr>
          <w:szCs w:val="24"/>
        </w:rPr>
        <w:t xml:space="preserve"> než průmyslové se používají primárně pro účely výzkumu a inovací, jež spadají pod programy veřejného financování, pro účely aplikací ve veřejném sektoru a případně pro účely soukromé inovační činnosti malých a středních podniků.“</w:t>
      </w:r>
    </w:p>
    <w:p w14:paraId="18BF70CB" w14:textId="77777777" w:rsidR="00690C2E" w:rsidRPr="00CA0B8B" w:rsidRDefault="00690C2E" w:rsidP="00DA2E4B">
      <w:pPr>
        <w:pStyle w:val="Titrearticle"/>
        <w:spacing w:before="120" w:line="360" w:lineRule="auto"/>
        <w:rPr>
          <w:szCs w:val="24"/>
        </w:rPr>
      </w:pPr>
      <w:r w:rsidRPr="00CA0B8B">
        <w:rPr>
          <w:szCs w:val="24"/>
        </w:rPr>
        <w:t>Příloha</w:t>
      </w:r>
    </w:p>
    <w:p w14:paraId="0356EA0D" w14:textId="77777777" w:rsidR="00690C2E" w:rsidRPr="00CA0B8B" w:rsidRDefault="00690C2E" w:rsidP="00DA2E4B">
      <w:pPr>
        <w:keepNext/>
        <w:spacing w:before="120" w:after="120" w:line="360" w:lineRule="auto"/>
        <w:rPr>
          <w:szCs w:val="24"/>
        </w:rPr>
      </w:pPr>
      <w:r w:rsidRPr="00CA0B8B">
        <w:rPr>
          <w:szCs w:val="24"/>
        </w:rPr>
        <w:t>Příloha se mění takto:</w:t>
      </w:r>
    </w:p>
    <w:p w14:paraId="385DA115" w14:textId="77777777" w:rsidR="00690C2E" w:rsidRPr="00CA0B8B" w:rsidRDefault="00690C2E" w:rsidP="00DA2E4B">
      <w:pPr>
        <w:pStyle w:val="Point0"/>
        <w:keepNext/>
        <w:spacing w:line="360" w:lineRule="auto"/>
        <w:jc w:val="left"/>
        <w:rPr>
          <w:szCs w:val="24"/>
        </w:rPr>
      </w:pPr>
      <w:r w:rsidRPr="00CA0B8B">
        <w:rPr>
          <w:szCs w:val="24"/>
        </w:rPr>
        <w:t>28)</w:t>
      </w:r>
      <w:r w:rsidRPr="00CA0B8B">
        <w:rPr>
          <w:szCs w:val="24"/>
        </w:rPr>
        <w:tab/>
        <w:t xml:space="preserve">článek 3 přílohy se mění takto: </w:t>
      </w:r>
    </w:p>
    <w:p w14:paraId="7AF96A7B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29)</w:t>
      </w:r>
      <w:r w:rsidRPr="00CA0B8B">
        <w:rPr>
          <w:szCs w:val="24"/>
        </w:rPr>
        <w:tab/>
        <w:t xml:space="preserve">odstavec 2 se mění takto: </w:t>
      </w:r>
    </w:p>
    <w:p w14:paraId="4D76F84E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„Každá žádost členského státu nebo třetí země přidružené k programu Horizont Evropa nebo programu Digitální Evropa o členství ve společném podniku musí být podána správní radě. Kandidátské země poskytnou písemné prohlášení o přijetí těchto stanov a veškerých dalších ustanovení, jimiž se fungování společného podniku řídí. Kandidáti uvedou také svou motivaci pro podání žádosti o členství ve společném podniku a představí, jak je jejich vnitrostátní strategie v oblasti superpočítačů nebo </w:t>
      </w:r>
      <w:r w:rsidRPr="006A7857">
        <w:rPr>
          <w:szCs w:val="24"/>
        </w:rPr>
        <w:t>kvantové technologie</w:t>
      </w:r>
      <w:r w:rsidRPr="00CA0B8B">
        <w:rPr>
          <w:szCs w:val="24"/>
        </w:rPr>
        <w:t xml:space="preserve"> v souladu s cíli společného podniku. Správní rada žádost posoudí s přihlédnutím k relevantnosti a potenciální přidané </w:t>
      </w:r>
      <w:r w:rsidRPr="00CA0B8B">
        <w:rPr>
          <w:szCs w:val="24"/>
        </w:rPr>
        <w:lastRenderedPageBreak/>
        <w:t>hodnotě kandidáta z hlediska dosažení poslání a cílů společného podniku a může se před tím, než ji schválí, rozhodnout, že požádá o objasnění kandidatury.“;</w:t>
      </w:r>
    </w:p>
    <w:p w14:paraId="6820997B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30)</w:t>
      </w:r>
      <w:r w:rsidRPr="00CA0B8B">
        <w:rPr>
          <w:szCs w:val="24"/>
        </w:rPr>
        <w:tab/>
        <w:t xml:space="preserve">článek 4 přílohy se mění takto: </w:t>
      </w:r>
    </w:p>
    <w:p w14:paraId="45ACF905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31)</w:t>
      </w:r>
      <w:r w:rsidRPr="00CA0B8B">
        <w:rPr>
          <w:szCs w:val="24"/>
        </w:rPr>
        <w:tab/>
        <w:t xml:space="preserve">v odstavci 1 se doplňuje nové písmeno d), které zní: </w:t>
      </w:r>
    </w:p>
    <w:p w14:paraId="17DA1FE4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„d)</w:t>
      </w:r>
      <w:r w:rsidRPr="00CA0B8B">
        <w:rPr>
          <w:szCs w:val="24"/>
        </w:rPr>
        <w:tab/>
        <w:t>poradní skupina pro kvantovou strategii.“;</w:t>
      </w:r>
    </w:p>
    <w:p w14:paraId="260636F6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32)</w:t>
      </w:r>
      <w:r w:rsidRPr="00CA0B8B">
        <w:rPr>
          <w:szCs w:val="24"/>
        </w:rPr>
        <w:tab/>
        <w:t xml:space="preserve">článek 5 přílohy se mění takto: </w:t>
      </w:r>
    </w:p>
    <w:p w14:paraId="577739A2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33)</w:t>
      </w:r>
      <w:r w:rsidRPr="00CA0B8B">
        <w:rPr>
          <w:szCs w:val="24"/>
        </w:rPr>
        <w:tab/>
        <w:t xml:space="preserve">doplňuje se odstavec 3, který zní: </w:t>
      </w:r>
    </w:p>
    <w:p w14:paraId="13EAD385" w14:textId="77777777" w:rsidR="00690C2E" w:rsidRPr="00CA0B8B" w:rsidRDefault="00690C2E" w:rsidP="00DA2E4B">
      <w:pPr>
        <w:pStyle w:val="Point0"/>
        <w:spacing w:line="360" w:lineRule="auto"/>
        <w:ind w:firstLine="0"/>
        <w:jc w:val="left"/>
        <w:rPr>
          <w:szCs w:val="24"/>
        </w:rPr>
      </w:pPr>
      <w:r w:rsidRPr="00CA0B8B">
        <w:rPr>
          <w:szCs w:val="24"/>
        </w:rPr>
        <w:t>„3. V případě činnosti v rámci pilíře kvantových technologií jmenují zúčastněné státy zástupce ze svých příslušných orgánů v oblasti kvantových technologií.“;</w:t>
      </w:r>
    </w:p>
    <w:p w14:paraId="32C15CB9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34)</w:t>
      </w:r>
      <w:r w:rsidRPr="00CA0B8B">
        <w:rPr>
          <w:szCs w:val="24"/>
        </w:rPr>
        <w:tab/>
        <w:t xml:space="preserve">článek 6 přílohy se mění takto: </w:t>
      </w:r>
    </w:p>
    <w:p w14:paraId="3F0F0305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35)</w:t>
      </w:r>
      <w:r w:rsidRPr="00CA0B8B">
        <w:rPr>
          <w:szCs w:val="24"/>
        </w:rPr>
        <w:tab/>
        <w:t xml:space="preserve">vkládá se nový odstavec </w:t>
      </w:r>
      <w:proofErr w:type="gramStart"/>
      <w:r w:rsidRPr="00CA0B8B">
        <w:rPr>
          <w:szCs w:val="24"/>
        </w:rPr>
        <w:t>5a</w:t>
      </w:r>
      <w:proofErr w:type="gramEnd"/>
      <w:r w:rsidRPr="00CA0B8B">
        <w:rPr>
          <w:szCs w:val="24"/>
        </w:rPr>
        <w:t xml:space="preserve">, který zní: </w:t>
      </w:r>
    </w:p>
    <w:p w14:paraId="3DF39A2D" w14:textId="77777777" w:rsidR="00690C2E" w:rsidRPr="00CA0B8B" w:rsidRDefault="00690C2E" w:rsidP="00DA2E4B">
      <w:pPr>
        <w:pStyle w:val="Point0"/>
        <w:spacing w:line="360" w:lineRule="auto"/>
        <w:ind w:firstLine="0"/>
        <w:jc w:val="left"/>
        <w:rPr>
          <w:szCs w:val="24"/>
        </w:rPr>
      </w:pPr>
      <w:r w:rsidRPr="00CA0B8B">
        <w:rPr>
          <w:szCs w:val="24"/>
        </w:rPr>
        <w:t>„</w:t>
      </w:r>
      <w:proofErr w:type="gramStart"/>
      <w:r w:rsidRPr="00CA0B8B">
        <w:rPr>
          <w:szCs w:val="24"/>
        </w:rPr>
        <w:t>5a</w:t>
      </w:r>
      <w:proofErr w:type="gramEnd"/>
      <w:r w:rsidRPr="00CA0B8B">
        <w:rPr>
          <w:szCs w:val="24"/>
        </w:rPr>
        <w:t>.</w:t>
      </w:r>
      <w:r w:rsidRPr="00CA0B8B">
        <w:rPr>
          <w:szCs w:val="24"/>
        </w:rPr>
        <w:tab/>
        <w:t xml:space="preserve"> Ve vztahu k úkolům uvedeným v čl. 7 odst. </w:t>
      </w:r>
      <w:proofErr w:type="gramStart"/>
      <w:r w:rsidRPr="00CA0B8B">
        <w:rPr>
          <w:szCs w:val="24"/>
        </w:rPr>
        <w:t>4a</w:t>
      </w:r>
      <w:proofErr w:type="gramEnd"/>
      <w:r w:rsidRPr="00CA0B8B">
        <w:rPr>
          <w:szCs w:val="24"/>
        </w:rPr>
        <w:t xml:space="preserve"> těchto stanov a ve vztahu ke každé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 se hlasovací práva zúčastněných států rozdělují v poměru k výši jejich přislíbených finančních příspěvků a k jejich věcným příspěvkům k dané </w:t>
      </w:r>
      <w:proofErr w:type="spellStart"/>
      <w:r w:rsidRPr="00CA0B8B">
        <w:rPr>
          <w:szCs w:val="24"/>
        </w:rPr>
        <w:t>gigatovárně</w:t>
      </w:r>
      <w:proofErr w:type="spellEnd"/>
      <w:r w:rsidRPr="00CA0B8B">
        <w:rPr>
          <w:szCs w:val="24"/>
        </w:rPr>
        <w:t xml:space="preserve"> na umělou inteligenci až do konce platnosti dohody o hostingu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 k věcným příspěvkům se přihlédne pouze v případě, že byly předem certifikovány nezávislým odborníkem nebo auditorem.</w:t>
      </w:r>
    </w:p>
    <w:p w14:paraId="456E9580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Pro účely tohoto odstavce se rozhodnutí správní rady přijímají většinou skládající se z alespoň 75 % všech hlasů, včetně hlasů nepřítomných členů.“;</w:t>
      </w:r>
    </w:p>
    <w:p w14:paraId="3E6A3195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36)</w:t>
      </w:r>
      <w:r w:rsidRPr="00CA0B8B">
        <w:rPr>
          <w:szCs w:val="24"/>
        </w:rPr>
        <w:tab/>
        <w:t xml:space="preserve">odstavec 6 se mění takto: </w:t>
      </w:r>
    </w:p>
    <w:p w14:paraId="0AFCF20E" w14:textId="77777777" w:rsidR="00690C2E" w:rsidRPr="00CA0B8B" w:rsidRDefault="00690C2E" w:rsidP="00DA2E4B">
      <w:pPr>
        <w:pStyle w:val="Text1"/>
        <w:spacing w:line="360" w:lineRule="auto"/>
        <w:ind w:firstLine="1"/>
        <w:jc w:val="left"/>
        <w:rPr>
          <w:szCs w:val="24"/>
        </w:rPr>
      </w:pPr>
      <w:r w:rsidRPr="00CA0B8B">
        <w:rPr>
          <w:szCs w:val="24"/>
        </w:rPr>
        <w:t xml:space="preserve">„6. Ve vztahu k úkolům uvedeným v čl. 7 odst. 5, </w:t>
      </w:r>
      <w:proofErr w:type="gramStart"/>
      <w:r w:rsidRPr="00CA0B8B">
        <w:rPr>
          <w:szCs w:val="24"/>
        </w:rPr>
        <w:t>5a</w:t>
      </w:r>
      <w:proofErr w:type="gramEnd"/>
      <w:r w:rsidRPr="00CA0B8B">
        <w:rPr>
          <w:szCs w:val="24"/>
        </w:rPr>
        <w:t xml:space="preserve">, 6 a 7 těchto stanov se rozhodnutí správní rady přijímají ve dvou fázích.“; </w:t>
      </w:r>
    </w:p>
    <w:p w14:paraId="24DEBD28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37)</w:t>
      </w:r>
      <w:r w:rsidRPr="00CA0B8B">
        <w:rPr>
          <w:szCs w:val="24"/>
        </w:rPr>
        <w:tab/>
        <w:t xml:space="preserve">článek 7 přílohy se mění takto: </w:t>
      </w:r>
    </w:p>
    <w:p w14:paraId="100B789B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38)</w:t>
      </w:r>
      <w:r w:rsidRPr="00CA0B8B">
        <w:rPr>
          <w:szCs w:val="24"/>
        </w:rPr>
        <w:tab/>
        <w:t xml:space="preserve">vkládá se nový odstavec </w:t>
      </w:r>
      <w:proofErr w:type="gramStart"/>
      <w:r w:rsidRPr="00CA0B8B">
        <w:rPr>
          <w:szCs w:val="24"/>
        </w:rPr>
        <w:t>4a</w:t>
      </w:r>
      <w:proofErr w:type="gramEnd"/>
      <w:r w:rsidRPr="00CA0B8B">
        <w:rPr>
          <w:szCs w:val="24"/>
        </w:rPr>
        <w:t xml:space="preserve">, který zní: </w:t>
      </w:r>
    </w:p>
    <w:p w14:paraId="231E9A51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„</w:t>
      </w:r>
      <w:proofErr w:type="gramStart"/>
      <w:r w:rsidRPr="00CA0B8B">
        <w:rPr>
          <w:szCs w:val="24"/>
        </w:rPr>
        <w:t>4a</w:t>
      </w:r>
      <w:proofErr w:type="gramEnd"/>
      <w:r w:rsidRPr="00CA0B8B">
        <w:rPr>
          <w:szCs w:val="24"/>
        </w:rPr>
        <w:t>. Správní rada plní následující úkoly související s </w:t>
      </w:r>
      <w:proofErr w:type="spellStart"/>
      <w:r w:rsidRPr="00CA0B8B">
        <w:rPr>
          <w:szCs w:val="24"/>
        </w:rPr>
        <w:t>gigatovárnami</w:t>
      </w:r>
      <w:proofErr w:type="spellEnd"/>
      <w:r w:rsidRPr="00CA0B8B">
        <w:rPr>
          <w:szCs w:val="24"/>
        </w:rPr>
        <w:t xml:space="preserve"> na umělou inteligenci podle článku 12b tohoto nařízení:</w:t>
      </w:r>
    </w:p>
    <w:p w14:paraId="6812DE41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lastRenderedPageBreak/>
        <w:t>a)</w:t>
      </w:r>
      <w:r w:rsidRPr="00CA0B8B">
        <w:rPr>
          <w:szCs w:val="24"/>
        </w:rPr>
        <w:tab/>
        <w:t xml:space="preserve">projednává a přijímá část víceletého strategického programu týkající se zřizování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podle čl. 18 odst. 1 těchto stanov; </w:t>
      </w:r>
    </w:p>
    <w:p w14:paraId="36E552BC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 xml:space="preserve">projednává a přijímá část ročního pracovního programu týkající se zřizování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a výběru konsorcií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 a příslušných odhadů výdajů; </w:t>
      </w:r>
    </w:p>
    <w:p w14:paraId="16A3B816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  <w:t>schvaluje vyhlášení výzev k vyjádření zájmu v souladu s ročním pracovním programem;</w:t>
      </w:r>
    </w:p>
    <w:p w14:paraId="21D9E9E7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t>d)</w:t>
      </w:r>
      <w:r w:rsidRPr="00CA0B8B">
        <w:rPr>
          <w:szCs w:val="24"/>
        </w:rPr>
        <w:tab/>
        <w:t xml:space="preserve">schvaluje výběr konsorcií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inteligenci, která budou zřizovat a provozovat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inteligenci;</w:t>
      </w:r>
    </w:p>
    <w:p w14:paraId="3FEF0874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t>e)</w:t>
      </w:r>
      <w:r w:rsidRPr="00CA0B8B">
        <w:rPr>
          <w:szCs w:val="24"/>
        </w:rPr>
        <w:tab/>
        <w:t xml:space="preserve">určuje podmínky upravující přístupový čas Unie ke </w:t>
      </w:r>
      <w:proofErr w:type="spellStart"/>
      <w:r w:rsidRPr="00CA0B8B">
        <w:rPr>
          <w:szCs w:val="24"/>
        </w:rPr>
        <w:t>gigatovárnám</w:t>
      </w:r>
      <w:proofErr w:type="spellEnd"/>
      <w:r w:rsidRPr="00CA0B8B">
        <w:rPr>
          <w:szCs w:val="24"/>
        </w:rPr>
        <w:t xml:space="preserve"> na umělou inteligenci; </w:t>
      </w:r>
    </w:p>
    <w:p w14:paraId="50241332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t xml:space="preserve">f) </w:t>
      </w:r>
      <w:r w:rsidRPr="00CA0B8B">
        <w:rPr>
          <w:szCs w:val="24"/>
        </w:rPr>
        <w:tab/>
        <w:t xml:space="preserve">schvaluje veškeré nabídky týkající se zřízení </w:t>
      </w:r>
      <w:proofErr w:type="spellStart"/>
      <w:r w:rsidRPr="00CA0B8B">
        <w:rPr>
          <w:szCs w:val="24"/>
        </w:rPr>
        <w:t>gigatovárny</w:t>
      </w:r>
      <w:proofErr w:type="spellEnd"/>
      <w:r w:rsidRPr="00CA0B8B">
        <w:rPr>
          <w:szCs w:val="24"/>
        </w:rPr>
        <w:t xml:space="preserve"> na umělou inteligenci, které byly vybrány pro financování;</w:t>
      </w:r>
    </w:p>
    <w:p w14:paraId="130142D4" w14:textId="77777777" w:rsidR="00690C2E" w:rsidRPr="00CA0B8B" w:rsidRDefault="00690C2E" w:rsidP="00DA2E4B">
      <w:pPr>
        <w:pStyle w:val="Point2"/>
        <w:spacing w:line="360" w:lineRule="auto"/>
        <w:ind w:left="1985"/>
        <w:jc w:val="left"/>
        <w:rPr>
          <w:szCs w:val="24"/>
        </w:rPr>
      </w:pPr>
      <w:r w:rsidRPr="00CA0B8B">
        <w:rPr>
          <w:szCs w:val="24"/>
        </w:rPr>
        <w:t>g)</w:t>
      </w:r>
      <w:r w:rsidRPr="00CA0B8B">
        <w:rPr>
          <w:szCs w:val="24"/>
        </w:rPr>
        <w:tab/>
        <w:t xml:space="preserve">schvaluje rámcové smlouvy uzavřené společným podnikem </w:t>
      </w:r>
      <w:proofErr w:type="spellStart"/>
      <w:r w:rsidRPr="00CA0B8B">
        <w:rPr>
          <w:szCs w:val="24"/>
        </w:rPr>
        <w:t>EuroHPC</w:t>
      </w:r>
      <w:proofErr w:type="spellEnd"/>
      <w:r w:rsidRPr="00CA0B8B">
        <w:rPr>
          <w:szCs w:val="24"/>
        </w:rPr>
        <w:t xml:space="preserve"> na dodávku hlavních a vysoce žádaných komponent </w:t>
      </w:r>
      <w:proofErr w:type="spellStart"/>
      <w:r w:rsidRPr="00CA0B8B">
        <w:rPr>
          <w:szCs w:val="24"/>
        </w:rPr>
        <w:t>gigatováren</w:t>
      </w:r>
      <w:proofErr w:type="spellEnd"/>
      <w:r w:rsidRPr="00CA0B8B">
        <w:rPr>
          <w:szCs w:val="24"/>
        </w:rPr>
        <w:t xml:space="preserve"> na umělou inteligenci.“;</w:t>
      </w:r>
    </w:p>
    <w:p w14:paraId="326D7471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39)</w:t>
      </w:r>
      <w:r w:rsidRPr="00CA0B8B">
        <w:rPr>
          <w:szCs w:val="24"/>
        </w:rPr>
        <w:tab/>
        <w:t xml:space="preserve">vkládá se nový odstavec </w:t>
      </w:r>
      <w:proofErr w:type="gramStart"/>
      <w:r w:rsidRPr="00CA0B8B">
        <w:rPr>
          <w:szCs w:val="24"/>
        </w:rPr>
        <w:t>5a</w:t>
      </w:r>
      <w:proofErr w:type="gramEnd"/>
      <w:r w:rsidRPr="00CA0B8B">
        <w:rPr>
          <w:szCs w:val="24"/>
        </w:rPr>
        <w:t xml:space="preserve">, který zní: </w:t>
      </w:r>
    </w:p>
    <w:p w14:paraId="2C18DA16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</w:t>
      </w:r>
      <w:proofErr w:type="gramStart"/>
      <w:r w:rsidRPr="00CA0B8B">
        <w:rPr>
          <w:szCs w:val="24"/>
        </w:rPr>
        <w:t>5a</w:t>
      </w:r>
      <w:proofErr w:type="gramEnd"/>
      <w:r w:rsidRPr="00CA0B8B">
        <w:rPr>
          <w:szCs w:val="24"/>
        </w:rPr>
        <w:t>.</w:t>
      </w:r>
      <w:r w:rsidRPr="00CA0B8B">
        <w:rPr>
          <w:szCs w:val="24"/>
        </w:rPr>
        <w:tab/>
        <w:t xml:space="preserve">Na činnosti v rámci pilíře kvantových technologií se vztahují ustanovení čl. 7 odst. 5 těchto stanov, s výjimkou činností souvisejících s pořízením a provozem kvantových počítačů, na které se vztahují ustanovení čl. 7 odst. 4 těchto stanov.“; </w:t>
      </w:r>
    </w:p>
    <w:p w14:paraId="507338F6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40)</w:t>
      </w:r>
      <w:r w:rsidRPr="00CA0B8B">
        <w:rPr>
          <w:szCs w:val="24"/>
        </w:rPr>
        <w:tab/>
        <w:t xml:space="preserve">článek 10 přílohy se mění takto: </w:t>
      </w:r>
    </w:p>
    <w:p w14:paraId="6F5D0D55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41)</w:t>
      </w:r>
      <w:r w:rsidRPr="00CA0B8B">
        <w:rPr>
          <w:szCs w:val="24"/>
        </w:rPr>
        <w:tab/>
        <w:t xml:space="preserve">odstavec 1 se mění takto: </w:t>
      </w:r>
    </w:p>
    <w:p w14:paraId="5FD55928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</w:t>
      </w:r>
      <w:bookmarkStart w:id="12" w:name="_Hlk201234016"/>
      <w:r w:rsidRPr="00CA0B8B">
        <w:rPr>
          <w:szCs w:val="24"/>
        </w:rPr>
        <w:t>Průmyslová a vědecká poradní rada</w:t>
      </w:r>
      <w:bookmarkEnd w:id="12"/>
      <w:r w:rsidRPr="00CA0B8B">
        <w:rPr>
          <w:szCs w:val="24"/>
        </w:rPr>
        <w:t xml:space="preserve"> se skládá z poradní skupiny pro výzkum a inovace, poradní skupiny pro infrastrukturu a poradní skupiny pro kvantovou strategii.“;</w:t>
      </w:r>
    </w:p>
    <w:p w14:paraId="16CA474C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42)</w:t>
      </w:r>
      <w:r w:rsidRPr="00CA0B8B">
        <w:rPr>
          <w:szCs w:val="24"/>
        </w:rPr>
        <w:tab/>
        <w:t xml:space="preserve">doplňuje se nový odstavec 7, který zní: </w:t>
      </w:r>
    </w:p>
    <w:p w14:paraId="691DFA6F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 xml:space="preserve">„7. </w:t>
      </w:r>
      <w:r w:rsidRPr="00CA0B8B">
        <w:rPr>
          <w:szCs w:val="24"/>
        </w:rPr>
        <w:tab/>
      </w:r>
      <w:bookmarkStart w:id="13" w:name="_Hlk202956349"/>
      <w:r w:rsidRPr="00CA0B8B">
        <w:rPr>
          <w:szCs w:val="24"/>
        </w:rPr>
        <w:t xml:space="preserve">Poradní skupina pro kvantovou strategii se skládá nejvýše z dvanácti členů, z nichž až šest jmenují soukromí členové s přihlédnutím ke svým závazkům vůči </w:t>
      </w:r>
      <w:r w:rsidRPr="00CA0B8B">
        <w:rPr>
          <w:szCs w:val="24"/>
        </w:rPr>
        <w:lastRenderedPageBreak/>
        <w:t>společnému podniku a až šest jmenuje správní rada v souladu s čl. 7 odst. 3 písm. k) těchto stanov.“;</w:t>
      </w:r>
      <w:bookmarkEnd w:id="13"/>
    </w:p>
    <w:p w14:paraId="3E1D6DA2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43)</w:t>
      </w:r>
      <w:r w:rsidRPr="00CA0B8B">
        <w:rPr>
          <w:szCs w:val="24"/>
        </w:rPr>
        <w:tab/>
        <w:t>vkládá se nový článek </w:t>
      </w:r>
      <w:proofErr w:type="gramStart"/>
      <w:r w:rsidRPr="00CA0B8B">
        <w:rPr>
          <w:szCs w:val="24"/>
        </w:rPr>
        <w:t>12a</w:t>
      </w:r>
      <w:proofErr w:type="gramEnd"/>
      <w:r w:rsidRPr="00CA0B8B">
        <w:rPr>
          <w:szCs w:val="24"/>
        </w:rPr>
        <w:t xml:space="preserve">, který zní: </w:t>
      </w:r>
    </w:p>
    <w:p w14:paraId="0A03BC9E" w14:textId="77777777" w:rsidR="00690C2E" w:rsidRPr="00CA0B8B" w:rsidRDefault="00690C2E" w:rsidP="00DA2E4B">
      <w:pPr>
        <w:spacing w:before="120" w:after="120" w:line="360" w:lineRule="auto"/>
        <w:jc w:val="center"/>
        <w:rPr>
          <w:szCs w:val="24"/>
        </w:rPr>
      </w:pPr>
      <w:r w:rsidRPr="00CA0B8B">
        <w:rPr>
          <w:szCs w:val="24"/>
        </w:rPr>
        <w:t>„Článek </w:t>
      </w:r>
      <w:proofErr w:type="gramStart"/>
      <w:r w:rsidRPr="00CA0B8B">
        <w:rPr>
          <w:szCs w:val="24"/>
        </w:rPr>
        <w:t>12a</w:t>
      </w:r>
      <w:proofErr w:type="gramEnd"/>
    </w:p>
    <w:p w14:paraId="4C67A7EE" w14:textId="77777777" w:rsidR="00690C2E" w:rsidRPr="00CA0B8B" w:rsidRDefault="00690C2E" w:rsidP="00DA2E4B">
      <w:pPr>
        <w:spacing w:before="120" w:after="120" w:line="360" w:lineRule="auto"/>
        <w:jc w:val="center"/>
        <w:rPr>
          <w:i/>
          <w:iCs/>
          <w:szCs w:val="24"/>
        </w:rPr>
      </w:pPr>
      <w:r w:rsidRPr="00CA0B8B">
        <w:rPr>
          <w:i/>
          <w:szCs w:val="24"/>
        </w:rPr>
        <w:t>Fungování poradní skupiny pro kvantovou strategii</w:t>
      </w:r>
    </w:p>
    <w:p w14:paraId="3FA22795" w14:textId="77777777" w:rsidR="00690C2E" w:rsidRPr="00CA0B8B" w:rsidRDefault="00690C2E" w:rsidP="00DA2E4B">
      <w:pPr>
        <w:pStyle w:val="ManualNumPar1"/>
        <w:spacing w:line="360" w:lineRule="auto"/>
        <w:ind w:left="1418" w:hanging="567"/>
        <w:jc w:val="left"/>
        <w:rPr>
          <w:szCs w:val="24"/>
        </w:rPr>
      </w:pPr>
      <w:r w:rsidRPr="00CA0B8B">
        <w:rPr>
          <w:szCs w:val="24"/>
        </w:rPr>
        <w:t>1.</w:t>
      </w:r>
      <w:r w:rsidRPr="00CA0B8B">
        <w:rPr>
          <w:szCs w:val="24"/>
        </w:rPr>
        <w:tab/>
        <w:t>Poradní skupina pro kvantovou strategii se schází nejméně dvakrát ročně.</w:t>
      </w:r>
    </w:p>
    <w:p w14:paraId="4AD55BF7" w14:textId="77777777" w:rsidR="00690C2E" w:rsidRPr="00CA0B8B" w:rsidRDefault="00690C2E" w:rsidP="00DA2E4B">
      <w:pPr>
        <w:pStyle w:val="ManualNumPar1"/>
        <w:spacing w:line="360" w:lineRule="auto"/>
        <w:ind w:left="1418" w:hanging="567"/>
        <w:jc w:val="left"/>
        <w:rPr>
          <w:szCs w:val="24"/>
        </w:rPr>
      </w:pPr>
      <w:r w:rsidRPr="00CA0B8B">
        <w:rPr>
          <w:szCs w:val="24"/>
        </w:rPr>
        <w:t>2.</w:t>
      </w:r>
      <w:r w:rsidRPr="00CA0B8B">
        <w:rPr>
          <w:szCs w:val="24"/>
        </w:rPr>
        <w:tab/>
        <w:t>V případě potřeby může jmenovat pracovní skupiny, které jsou celkově koordinovány jedním či více členy.</w:t>
      </w:r>
    </w:p>
    <w:p w14:paraId="7635EE97" w14:textId="77777777" w:rsidR="00690C2E" w:rsidRPr="00CA0B8B" w:rsidRDefault="00690C2E" w:rsidP="00DA2E4B">
      <w:pPr>
        <w:pStyle w:val="ManualNumPar1"/>
        <w:spacing w:line="360" w:lineRule="auto"/>
        <w:ind w:left="1418" w:hanging="567"/>
        <w:jc w:val="left"/>
        <w:rPr>
          <w:szCs w:val="24"/>
        </w:rPr>
      </w:pPr>
      <w:r w:rsidRPr="00CA0B8B">
        <w:rPr>
          <w:szCs w:val="24"/>
        </w:rPr>
        <w:t>3.</w:t>
      </w:r>
      <w:r w:rsidRPr="00CA0B8B">
        <w:rPr>
          <w:szCs w:val="24"/>
        </w:rPr>
        <w:tab/>
        <w:t>Poradní skupina pro kvantovou strategii si zvolí předsedu.</w:t>
      </w:r>
    </w:p>
    <w:p w14:paraId="0E0F0B39" w14:textId="77777777" w:rsidR="00690C2E" w:rsidRPr="00CA0B8B" w:rsidRDefault="00690C2E" w:rsidP="00DA2E4B">
      <w:pPr>
        <w:pStyle w:val="ManualNumPar1"/>
        <w:spacing w:line="360" w:lineRule="auto"/>
        <w:ind w:left="1418" w:hanging="567"/>
        <w:jc w:val="left"/>
        <w:rPr>
          <w:szCs w:val="24"/>
        </w:rPr>
      </w:pPr>
      <w:r w:rsidRPr="00CA0B8B">
        <w:rPr>
          <w:szCs w:val="24"/>
        </w:rPr>
        <w:t>4.</w:t>
      </w:r>
      <w:r w:rsidRPr="00CA0B8B">
        <w:rPr>
          <w:szCs w:val="24"/>
        </w:rPr>
        <w:tab/>
        <w:t xml:space="preserve">Poradní skupina pro kvantovou strategii přijme svůj jednací řád, včetně jmenování členských subjektů, které poradní skupinu reprezentují, a délky jejich jmenování.“; </w:t>
      </w:r>
    </w:p>
    <w:p w14:paraId="722E40A0" w14:textId="77777777" w:rsidR="00690C2E" w:rsidRPr="00CA0B8B" w:rsidRDefault="00690C2E" w:rsidP="00DA2E4B">
      <w:pPr>
        <w:pStyle w:val="Point0"/>
        <w:spacing w:line="360" w:lineRule="auto"/>
        <w:jc w:val="left"/>
        <w:rPr>
          <w:szCs w:val="24"/>
        </w:rPr>
      </w:pPr>
      <w:r w:rsidRPr="00CA0B8B">
        <w:rPr>
          <w:szCs w:val="24"/>
        </w:rPr>
        <w:t>44)</w:t>
      </w:r>
      <w:r w:rsidRPr="00CA0B8B">
        <w:rPr>
          <w:szCs w:val="24"/>
        </w:rPr>
        <w:tab/>
        <w:t xml:space="preserve">vkládá se nový článek </w:t>
      </w:r>
      <w:proofErr w:type="gramStart"/>
      <w:r w:rsidRPr="00CA0B8B">
        <w:rPr>
          <w:szCs w:val="24"/>
        </w:rPr>
        <w:t>14a</w:t>
      </w:r>
      <w:proofErr w:type="gramEnd"/>
      <w:r w:rsidRPr="00CA0B8B">
        <w:rPr>
          <w:szCs w:val="24"/>
        </w:rPr>
        <w:t xml:space="preserve">, který zní: </w:t>
      </w:r>
    </w:p>
    <w:p w14:paraId="73723FCB" w14:textId="77777777" w:rsidR="00690C2E" w:rsidRPr="00CA0B8B" w:rsidRDefault="00690C2E" w:rsidP="00DA2E4B">
      <w:pPr>
        <w:spacing w:before="120" w:after="120" w:line="360" w:lineRule="auto"/>
        <w:jc w:val="center"/>
        <w:rPr>
          <w:szCs w:val="24"/>
        </w:rPr>
      </w:pPr>
      <w:r w:rsidRPr="00CA0B8B">
        <w:rPr>
          <w:szCs w:val="24"/>
        </w:rPr>
        <w:t>„Článek </w:t>
      </w:r>
      <w:proofErr w:type="gramStart"/>
      <w:r w:rsidRPr="00CA0B8B">
        <w:rPr>
          <w:szCs w:val="24"/>
        </w:rPr>
        <w:t>14a</w:t>
      </w:r>
      <w:proofErr w:type="gramEnd"/>
    </w:p>
    <w:p w14:paraId="010650C0" w14:textId="77777777" w:rsidR="00690C2E" w:rsidRPr="00CA0B8B" w:rsidRDefault="00690C2E" w:rsidP="00DA2E4B">
      <w:pPr>
        <w:spacing w:before="120" w:after="120" w:line="360" w:lineRule="auto"/>
        <w:jc w:val="center"/>
        <w:rPr>
          <w:i/>
          <w:iCs/>
          <w:szCs w:val="24"/>
        </w:rPr>
      </w:pPr>
      <w:r w:rsidRPr="00CA0B8B">
        <w:rPr>
          <w:i/>
          <w:szCs w:val="24"/>
        </w:rPr>
        <w:t>Úkoly poradní skupiny pro kvantovou strategii</w:t>
      </w:r>
    </w:p>
    <w:p w14:paraId="6A548EEB" w14:textId="77777777" w:rsidR="00690C2E" w:rsidRPr="00CA0B8B" w:rsidRDefault="00690C2E" w:rsidP="00DA2E4B">
      <w:pPr>
        <w:pStyle w:val="ManualNumPar1"/>
        <w:spacing w:line="360" w:lineRule="auto"/>
        <w:jc w:val="left"/>
        <w:rPr>
          <w:szCs w:val="24"/>
        </w:rPr>
      </w:pPr>
      <w:r w:rsidRPr="00CA0B8B">
        <w:rPr>
          <w:szCs w:val="24"/>
        </w:rPr>
        <w:t>1.</w:t>
      </w:r>
      <w:r w:rsidRPr="00CA0B8B">
        <w:rPr>
          <w:szCs w:val="24"/>
        </w:rPr>
        <w:tab/>
        <w:t xml:space="preserve">Poradní skupina pro kvantovou strategii: </w:t>
      </w:r>
    </w:p>
    <w:p w14:paraId="48FBBDEA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a)</w:t>
      </w:r>
      <w:r w:rsidRPr="00CA0B8B">
        <w:rPr>
          <w:szCs w:val="24"/>
        </w:rPr>
        <w:tab/>
        <w:t xml:space="preserve">připravuje svůj příspěvek k návrhu víceletého strategického programu uvedeného v článku 20 těchto stanov týkající se činností v oblasti kvantových technologií a pravidelně jej podrobuje přezkumu v souladu s vývojem vědeckých, průmyslových a politických potřeb; </w:t>
      </w:r>
    </w:p>
    <w:p w14:paraId="7CB19890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b)</w:t>
      </w:r>
      <w:r w:rsidRPr="00CA0B8B">
        <w:rPr>
          <w:szCs w:val="24"/>
        </w:rPr>
        <w:tab/>
        <w:t>organizuje veřejné konzultace, které jsou otevřeny všem veřejným i soukromým zainteresovaným stranám, jež se zajímají o oblast kvantových technologií, aby je informovala o návrhu víceletého strategického programu a souvisejících navrhovaných činností pracovního programu v oblasti kvantových technologií pro daný rok a získala od nich zpětnou vazbu.</w:t>
      </w:r>
    </w:p>
    <w:p w14:paraId="4436D55B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c)</w:t>
      </w:r>
      <w:r w:rsidRPr="00CA0B8B">
        <w:rPr>
          <w:szCs w:val="24"/>
        </w:rPr>
        <w:tab/>
        <w:t xml:space="preserve">Příspěvek k návrhu víceletého strategického programu uvedený v odstavci 1 se zaměřuje na: </w:t>
      </w:r>
    </w:p>
    <w:p w14:paraId="06A3E671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d)</w:t>
      </w:r>
      <w:r w:rsidRPr="00CA0B8B">
        <w:rPr>
          <w:szCs w:val="24"/>
        </w:rPr>
        <w:tab/>
        <w:t xml:space="preserve">strategické priority v oblasti výzkumu, inovací, zavádění a infrastruktury v zájmu vývoje a využívání kvantových technologií a jejich začlenění do </w:t>
      </w:r>
      <w:r w:rsidRPr="00CA0B8B">
        <w:rPr>
          <w:szCs w:val="24"/>
        </w:rPr>
        <w:lastRenderedPageBreak/>
        <w:t>evropského digitálního ekosystému, aby se podpořila odolnost, technologická suverenita a strategická autonomie Unie a zároveň se zohlednil potenciál dvojího užití těchto technologií;</w:t>
      </w:r>
    </w:p>
    <w:p w14:paraId="58CC437B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e)</w:t>
      </w:r>
      <w:r w:rsidRPr="00CA0B8B">
        <w:rPr>
          <w:szCs w:val="24"/>
        </w:rPr>
        <w:tab/>
        <w:t>potenciální činnost v oblasti mezinárodní spolupráce na poli kvantových technologií, která přináší přidanou hodnotu a je ve společném zájmu a zároveň zajišťuje soulad s hodnotami a bezpečnostními zájmy Unie;</w:t>
      </w:r>
    </w:p>
    <w:p w14:paraId="2F45BBFF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f)</w:t>
      </w:r>
      <w:r w:rsidRPr="00CA0B8B">
        <w:rPr>
          <w:szCs w:val="24"/>
        </w:rPr>
        <w:tab/>
        <w:t>priority v oblasti odborné přípravy, vzdělávání a rozvoje pracovních sil za účelem řešení klíčových kompetencí a nedostatku dovedností v oblasti kvantových technologií, včetně povědomí o bezpečnostně citlivých aplikacích;</w:t>
      </w:r>
    </w:p>
    <w:p w14:paraId="2149F836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g)</w:t>
      </w:r>
      <w:r w:rsidRPr="00CA0B8B">
        <w:rPr>
          <w:szCs w:val="24"/>
        </w:rPr>
        <w:tab/>
        <w:t xml:space="preserve">pořizování, zavádění a provozování kvantové infrastruktury, včetně propojování a sjednocování s infrastrukturou pro vysoce výkonnou výpočetní techniku a další digitální infrastrukturou, jako jsou kvantové komunikace a kvantové snímání; </w:t>
      </w:r>
    </w:p>
    <w:p w14:paraId="2DC3E98A" w14:textId="77777777" w:rsidR="00690C2E" w:rsidRPr="00CA0B8B" w:rsidRDefault="00690C2E" w:rsidP="00DA2E4B">
      <w:pPr>
        <w:pStyle w:val="Point1"/>
        <w:spacing w:line="360" w:lineRule="auto"/>
        <w:jc w:val="left"/>
        <w:rPr>
          <w:szCs w:val="24"/>
        </w:rPr>
      </w:pPr>
      <w:r w:rsidRPr="00CA0B8B">
        <w:rPr>
          <w:szCs w:val="24"/>
        </w:rPr>
        <w:t>h)</w:t>
      </w:r>
      <w:r w:rsidRPr="00CA0B8B">
        <w:rPr>
          <w:szCs w:val="24"/>
        </w:rPr>
        <w:tab/>
        <w:t>opatření pro budování schopností, interoperabilitu, normalizaci, bezpečnost v oblasti kvantových technologií se zvláštním zřetelem na rizika dvojího užití a </w:t>
      </w:r>
      <w:r w:rsidRPr="00CA0B8B">
        <w:rPr>
          <w:szCs w:val="24"/>
          <w:u w:val="single"/>
        </w:rPr>
        <w:t>ochranu strategických</w:t>
      </w:r>
      <w:r w:rsidRPr="00CA0B8B">
        <w:rPr>
          <w:szCs w:val="24"/>
        </w:rPr>
        <w:t xml:space="preserve"> aktiv, zájmů, autonomie nebo bezpečnosti </w:t>
      </w:r>
      <w:r w:rsidRPr="00CA0B8B">
        <w:rPr>
          <w:szCs w:val="24"/>
          <w:u w:val="single"/>
        </w:rPr>
        <w:t>Unie</w:t>
      </w:r>
      <w:r w:rsidRPr="00CA0B8B">
        <w:rPr>
          <w:szCs w:val="24"/>
        </w:rPr>
        <w:t>.“;</w:t>
      </w:r>
    </w:p>
    <w:p w14:paraId="4FE31645" w14:textId="77777777" w:rsidR="00690C2E" w:rsidRPr="00CA0B8B" w:rsidRDefault="00690C2E" w:rsidP="00DA2E4B">
      <w:pPr>
        <w:pStyle w:val="Point0"/>
        <w:keepNext/>
        <w:spacing w:line="360" w:lineRule="auto"/>
        <w:ind w:left="851" w:hanging="851"/>
        <w:jc w:val="left"/>
        <w:rPr>
          <w:szCs w:val="24"/>
        </w:rPr>
      </w:pPr>
      <w:r w:rsidRPr="00CA0B8B">
        <w:rPr>
          <w:szCs w:val="24"/>
        </w:rPr>
        <w:t>45)</w:t>
      </w:r>
      <w:r w:rsidRPr="00CA0B8B">
        <w:rPr>
          <w:szCs w:val="24"/>
        </w:rPr>
        <w:tab/>
        <w:t xml:space="preserve">článek 16 přílohy se mění takto: </w:t>
      </w:r>
    </w:p>
    <w:p w14:paraId="55DA2550" w14:textId="77777777" w:rsidR="00690C2E" w:rsidRPr="00CA0B8B" w:rsidRDefault="00690C2E" w:rsidP="00DA2E4B">
      <w:pPr>
        <w:pStyle w:val="Text1"/>
        <w:spacing w:line="360" w:lineRule="auto"/>
        <w:jc w:val="left"/>
        <w:rPr>
          <w:szCs w:val="24"/>
        </w:rPr>
      </w:pPr>
      <w:r w:rsidRPr="00CA0B8B">
        <w:rPr>
          <w:szCs w:val="24"/>
        </w:rPr>
        <w:t>„Finanční závazky společného podniku mohou být rozděleny do ročních splátek. Od ledna 2025 není ročními splátkami kryto nejméně 20 % kumulativního rozpočtu na zbývající roky.“</w:t>
      </w:r>
    </w:p>
    <w:p w14:paraId="2CD65C82" w14:textId="77777777" w:rsidR="00690C2E" w:rsidRPr="00CA0B8B" w:rsidRDefault="00690C2E" w:rsidP="00DA2E4B">
      <w:pPr>
        <w:pStyle w:val="Titrearticle"/>
        <w:spacing w:before="120" w:line="360" w:lineRule="auto"/>
        <w:rPr>
          <w:szCs w:val="24"/>
        </w:rPr>
      </w:pPr>
      <w:r w:rsidRPr="00CA0B8B">
        <w:rPr>
          <w:szCs w:val="24"/>
        </w:rPr>
        <w:t>Článek 40</w:t>
      </w:r>
    </w:p>
    <w:p w14:paraId="36A7B707" w14:textId="77777777" w:rsidR="00690C2E" w:rsidRPr="00CA0B8B" w:rsidRDefault="00690C2E" w:rsidP="00DA2E4B">
      <w:pPr>
        <w:spacing w:before="120" w:after="120" w:line="360" w:lineRule="auto"/>
        <w:rPr>
          <w:szCs w:val="24"/>
        </w:rPr>
      </w:pPr>
      <w:r w:rsidRPr="00CA0B8B">
        <w:rPr>
          <w:szCs w:val="24"/>
        </w:rPr>
        <w:t>Toto nařízení vstupuje v platnost dvacátým dnem po vyhlášení v </w:t>
      </w:r>
      <w:r w:rsidRPr="00CA0B8B">
        <w:rPr>
          <w:i/>
          <w:iCs/>
          <w:szCs w:val="24"/>
        </w:rPr>
        <w:t>Úředním věstníku Evropské unie</w:t>
      </w:r>
      <w:r w:rsidRPr="00CA0B8B">
        <w:rPr>
          <w:szCs w:val="24"/>
        </w:rPr>
        <w:t>.</w:t>
      </w:r>
    </w:p>
    <w:p w14:paraId="5B254C2D" w14:textId="77777777" w:rsidR="00690C2E" w:rsidRPr="00CA0B8B" w:rsidRDefault="00690C2E" w:rsidP="00DA2E4B">
      <w:pPr>
        <w:pStyle w:val="Applicationdirecte"/>
        <w:spacing w:before="120" w:line="360" w:lineRule="auto"/>
        <w:jc w:val="left"/>
        <w:rPr>
          <w:szCs w:val="24"/>
        </w:rPr>
      </w:pPr>
      <w:r w:rsidRPr="00CA0B8B">
        <w:rPr>
          <w:szCs w:val="24"/>
        </w:rPr>
        <w:t>Toto nařízení je závazné v celém rozsahu a přímo použitelné ve všech členských státech.</w:t>
      </w:r>
    </w:p>
    <w:p w14:paraId="40E842DF" w14:textId="77777777" w:rsidR="00690C2E" w:rsidRPr="00CA0B8B" w:rsidRDefault="00690C2E" w:rsidP="00DA2E4B">
      <w:pPr>
        <w:pStyle w:val="Fait"/>
        <w:spacing w:after="120" w:line="360" w:lineRule="auto"/>
        <w:rPr>
          <w:szCs w:val="24"/>
        </w:rPr>
      </w:pPr>
      <w:r w:rsidRPr="00CA0B8B">
        <w:rPr>
          <w:szCs w:val="24"/>
        </w:rPr>
        <w:t>V Bruselu dne</w:t>
      </w:r>
    </w:p>
    <w:p w14:paraId="6F0430BF" w14:textId="77777777" w:rsidR="00963802" w:rsidRDefault="00963802" w:rsidP="00963802">
      <w:pPr>
        <w:pStyle w:val="Institutionquisigne"/>
        <w:spacing w:before="120" w:after="120" w:line="360" w:lineRule="auto"/>
        <w:rPr>
          <w:szCs w:val="24"/>
        </w:rPr>
      </w:pPr>
    </w:p>
    <w:p w14:paraId="2B903B59" w14:textId="5F17333F" w:rsidR="00963802" w:rsidRPr="00963802" w:rsidRDefault="00963802" w:rsidP="00963802">
      <w:pPr>
        <w:pStyle w:val="Institutionquisigne"/>
        <w:spacing w:before="120" w:after="120" w:line="360" w:lineRule="auto"/>
        <w:rPr>
          <w:szCs w:val="24"/>
        </w:rPr>
      </w:pPr>
      <w:r w:rsidRPr="00963802">
        <w:rPr>
          <w:szCs w:val="24"/>
        </w:rPr>
        <w:t xml:space="preserve">Za Evropský parlament </w:t>
      </w:r>
      <w:r>
        <w:rPr>
          <w:szCs w:val="24"/>
        </w:rPr>
        <w:tab/>
        <w:t>Za Radu</w:t>
      </w:r>
    </w:p>
    <w:p w14:paraId="7F8E6BA2" w14:textId="3E9DFC34" w:rsidR="00963802" w:rsidRPr="00963802" w:rsidRDefault="00963802" w:rsidP="00963802">
      <w:pPr>
        <w:pStyle w:val="Institutionquisigne"/>
        <w:spacing w:before="120" w:after="120" w:line="360" w:lineRule="auto"/>
        <w:rPr>
          <w:szCs w:val="24"/>
        </w:rPr>
      </w:pPr>
      <w:r w:rsidRPr="00963802">
        <w:rPr>
          <w:szCs w:val="24"/>
        </w:rPr>
        <w:t>předsedkyně</w:t>
      </w:r>
      <w:r w:rsidR="006B6AB1">
        <w:rPr>
          <w:szCs w:val="24"/>
        </w:rPr>
        <w:tab/>
      </w:r>
      <w:r w:rsidRPr="00963802">
        <w:rPr>
          <w:szCs w:val="24"/>
        </w:rPr>
        <w:t>předseda/předsedkyně</w:t>
      </w:r>
    </w:p>
    <w:p w14:paraId="0A1E43CD" w14:textId="35379999" w:rsidR="00E365E1" w:rsidRPr="00CA0B8B" w:rsidRDefault="00E365E1" w:rsidP="00DA2E4B">
      <w:pPr>
        <w:spacing w:before="120" w:after="120" w:line="360" w:lineRule="auto"/>
      </w:pPr>
    </w:p>
    <w:sectPr w:rsidR="00E365E1" w:rsidRPr="00CA0B8B" w:rsidSect="00CA0B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D5A80" w14:textId="77777777" w:rsidR="0008698F" w:rsidRPr="00CA0B8B" w:rsidRDefault="0008698F">
      <w:r w:rsidRPr="00CA0B8B">
        <w:separator/>
      </w:r>
    </w:p>
  </w:endnote>
  <w:endnote w:type="continuationSeparator" w:id="0">
    <w:p w14:paraId="5FA321B1" w14:textId="77777777" w:rsidR="0008698F" w:rsidRPr="00CA0B8B" w:rsidRDefault="0008698F">
      <w:r w:rsidRPr="00CA0B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F2A0" w14:textId="77777777" w:rsidR="00064002" w:rsidRPr="00CA0B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3255E" w14:textId="77777777" w:rsidR="00064002" w:rsidRPr="00CA0B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04C31" w14:textId="77777777" w:rsidR="00064002" w:rsidRPr="00CA0B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68105" w14:textId="77777777" w:rsidR="0008698F" w:rsidRPr="00CA0B8B" w:rsidRDefault="0008698F">
      <w:r w:rsidRPr="00CA0B8B">
        <w:separator/>
      </w:r>
    </w:p>
  </w:footnote>
  <w:footnote w:type="continuationSeparator" w:id="0">
    <w:p w14:paraId="3CFC8FDC" w14:textId="77777777" w:rsidR="0008698F" w:rsidRPr="00CA0B8B" w:rsidRDefault="0008698F">
      <w:r w:rsidRPr="00CA0B8B">
        <w:continuationSeparator/>
      </w:r>
    </w:p>
  </w:footnote>
  <w:footnote w:id="1">
    <w:p w14:paraId="353A67BB" w14:textId="0E45C720" w:rsidR="00690C2E" w:rsidRPr="00CA0B8B" w:rsidRDefault="00690C2E" w:rsidP="00CA0B8B">
      <w:pPr>
        <w:pStyle w:val="FootnoteText"/>
        <w:ind w:left="567" w:hanging="567"/>
        <w:rPr>
          <w:sz w:val="24"/>
          <w:lang w:val="cs-CZ"/>
        </w:rPr>
      </w:pPr>
      <w:r w:rsidRPr="00CA0B8B">
        <w:rPr>
          <w:rStyle w:val="FootnoteReference"/>
          <w:sz w:val="24"/>
          <w:lang w:val="cs-CZ"/>
        </w:rPr>
        <w:t>*</w:t>
      </w:r>
      <w:r w:rsidRPr="00CA0B8B">
        <w:rPr>
          <w:rStyle w:val="FootnoteReference"/>
          <w:sz w:val="24"/>
          <w:lang w:val="cs-CZ"/>
        </w:rPr>
        <w:tab/>
      </w:r>
      <w:r w:rsidRPr="00CA0B8B">
        <w:rPr>
          <w:sz w:val="24"/>
          <w:lang w:val="cs-CZ"/>
        </w:rPr>
        <w:t xml:space="preserve">Pozměňovací návrhy: text či text nahrazující původní znění je označen </w:t>
      </w:r>
      <w:r w:rsidRPr="00CA0B8B">
        <w:rPr>
          <w:b/>
          <w:i/>
          <w:sz w:val="24"/>
          <w:lang w:val="cs-CZ"/>
        </w:rPr>
        <w:t>tučnou kurzivou</w:t>
      </w:r>
      <w:r w:rsidRPr="00CA0B8B">
        <w:rPr>
          <w:sz w:val="24"/>
          <w:lang w:val="cs-CZ"/>
        </w:rPr>
        <w:t>; vypuštění je označeno symbolem ▌.</w:t>
      </w:r>
    </w:p>
  </w:footnote>
  <w:footnote w:id="2">
    <w:p w14:paraId="1CAA307A" w14:textId="3723B364" w:rsidR="00690C2E" w:rsidRPr="00CA0B8B" w:rsidRDefault="00690C2E" w:rsidP="00CA0B8B">
      <w:pPr>
        <w:pStyle w:val="FootnoteText"/>
        <w:ind w:left="567" w:hanging="567"/>
        <w:rPr>
          <w:sz w:val="24"/>
          <w:lang w:val="cs-CZ"/>
        </w:rPr>
      </w:pPr>
      <w:r w:rsidRPr="00CA0B8B">
        <w:rPr>
          <w:rStyle w:val="FootnoteReference"/>
          <w:sz w:val="24"/>
          <w:lang w:val="cs-CZ"/>
        </w:rPr>
        <w:footnoteRef/>
      </w:r>
      <w:r w:rsidR="00CA0B8B" w:rsidRPr="00CA0B8B">
        <w:rPr>
          <w:sz w:val="24"/>
          <w:lang w:val="cs-CZ"/>
        </w:rPr>
        <w:t xml:space="preserve"> </w:t>
      </w:r>
      <w:r w:rsidR="00CA0B8B" w:rsidRPr="00CA0B8B">
        <w:rPr>
          <w:sz w:val="24"/>
          <w:lang w:val="cs-CZ"/>
        </w:rPr>
        <w:tab/>
      </w:r>
      <w:proofErr w:type="spellStart"/>
      <w:r w:rsidRPr="00CA0B8B">
        <w:rPr>
          <w:sz w:val="24"/>
          <w:lang w:val="cs-CZ"/>
        </w:rPr>
        <w:t>Úř</w:t>
      </w:r>
      <w:proofErr w:type="spellEnd"/>
      <w:r w:rsidRPr="00CA0B8B">
        <w:rPr>
          <w:sz w:val="24"/>
          <w:lang w:val="cs-CZ"/>
        </w:rPr>
        <w:t xml:space="preserve">. </w:t>
      </w:r>
      <w:proofErr w:type="spellStart"/>
      <w:r w:rsidRPr="00CA0B8B">
        <w:rPr>
          <w:sz w:val="24"/>
          <w:lang w:val="cs-CZ"/>
        </w:rPr>
        <w:t>věst</w:t>
      </w:r>
      <w:proofErr w:type="spellEnd"/>
      <w:r w:rsidRPr="00CA0B8B">
        <w:rPr>
          <w:sz w:val="24"/>
          <w:lang w:val="cs-CZ"/>
        </w:rPr>
        <w:t xml:space="preserve"> </w:t>
      </w:r>
      <w:proofErr w:type="gramStart"/>
      <w:r w:rsidRPr="00CA0B8B">
        <w:rPr>
          <w:sz w:val="24"/>
          <w:lang w:val="cs-CZ"/>
        </w:rPr>
        <w:t>C ,</w:t>
      </w:r>
      <w:proofErr w:type="gramEnd"/>
      <w:r w:rsidRPr="00CA0B8B">
        <w:rPr>
          <w:sz w:val="24"/>
          <w:lang w:val="cs-CZ"/>
        </w:rPr>
        <w:t xml:space="preserve"> , s. .</w:t>
      </w:r>
    </w:p>
  </w:footnote>
  <w:footnote w:id="3">
    <w:p w14:paraId="48126CFF" w14:textId="473142AB" w:rsidR="00690C2E" w:rsidRPr="00CA0B8B" w:rsidRDefault="00690C2E" w:rsidP="00CA0B8B">
      <w:pPr>
        <w:pStyle w:val="FootnoteText"/>
        <w:ind w:left="567" w:hanging="567"/>
        <w:rPr>
          <w:sz w:val="24"/>
          <w:lang w:val="cs-CZ"/>
        </w:rPr>
      </w:pPr>
      <w:r w:rsidRPr="00CA0B8B">
        <w:rPr>
          <w:rStyle w:val="FootnoteReference"/>
          <w:sz w:val="24"/>
          <w:lang w:val="cs-CZ"/>
        </w:rPr>
        <w:footnoteRef/>
      </w:r>
      <w:r w:rsidR="00CA0B8B" w:rsidRPr="00CA0B8B">
        <w:rPr>
          <w:sz w:val="24"/>
          <w:lang w:val="cs-CZ"/>
        </w:rPr>
        <w:t xml:space="preserve"> </w:t>
      </w:r>
      <w:r w:rsidR="00CA0B8B" w:rsidRPr="00CA0B8B">
        <w:rPr>
          <w:sz w:val="24"/>
          <w:lang w:val="cs-CZ"/>
        </w:rPr>
        <w:tab/>
      </w:r>
      <w:proofErr w:type="spellStart"/>
      <w:r w:rsidRPr="00CA0B8B">
        <w:rPr>
          <w:sz w:val="24"/>
          <w:lang w:val="cs-CZ"/>
        </w:rPr>
        <w:t>Úř</w:t>
      </w:r>
      <w:proofErr w:type="spellEnd"/>
      <w:r w:rsidRPr="00CA0B8B">
        <w:rPr>
          <w:sz w:val="24"/>
          <w:lang w:val="cs-CZ"/>
        </w:rPr>
        <w:t xml:space="preserve">. </w:t>
      </w:r>
      <w:proofErr w:type="spellStart"/>
      <w:r w:rsidRPr="00CA0B8B">
        <w:rPr>
          <w:sz w:val="24"/>
          <w:lang w:val="cs-CZ"/>
        </w:rPr>
        <w:t>věst</w:t>
      </w:r>
      <w:proofErr w:type="spellEnd"/>
      <w:r w:rsidRPr="00CA0B8B">
        <w:rPr>
          <w:sz w:val="24"/>
          <w:lang w:val="cs-CZ"/>
        </w:rPr>
        <w:t>. C […], […], s. […]</w:t>
      </w:r>
    </w:p>
  </w:footnote>
  <w:footnote w:id="4">
    <w:p w14:paraId="05EC40B7" w14:textId="2D15D23C" w:rsidR="00690C2E" w:rsidRPr="00CA0B8B" w:rsidRDefault="00690C2E" w:rsidP="00CA0B8B">
      <w:pPr>
        <w:pStyle w:val="FootnoteText"/>
        <w:ind w:left="567" w:hanging="567"/>
        <w:rPr>
          <w:b/>
          <w:bCs/>
          <w:i/>
          <w:iCs/>
          <w:sz w:val="24"/>
          <w:lang w:val="cs-CZ"/>
        </w:rPr>
      </w:pPr>
      <w:r w:rsidRPr="00CA0B8B">
        <w:rPr>
          <w:rStyle w:val="FootnoteReference"/>
          <w:b/>
          <w:bCs/>
          <w:i/>
          <w:iCs/>
          <w:sz w:val="24"/>
          <w:lang w:val="cs-CZ"/>
        </w:rPr>
        <w:footnoteRef/>
      </w:r>
      <w:r w:rsidR="00CA0B8B" w:rsidRPr="00CA0B8B">
        <w:rPr>
          <w:b/>
          <w:bCs/>
          <w:i/>
          <w:iCs/>
          <w:sz w:val="24"/>
          <w:lang w:val="cs-CZ"/>
        </w:rPr>
        <w:t xml:space="preserve"> </w:t>
      </w:r>
      <w:r w:rsidR="00CA0B8B" w:rsidRPr="00CA0B8B">
        <w:rPr>
          <w:b/>
          <w:bCs/>
          <w:i/>
          <w:iCs/>
          <w:sz w:val="24"/>
          <w:lang w:val="cs-CZ"/>
        </w:rPr>
        <w:tab/>
      </w:r>
      <w:r w:rsidRPr="00CA0B8B">
        <w:rPr>
          <w:b/>
          <w:bCs/>
          <w:i/>
          <w:iCs/>
          <w:sz w:val="24"/>
          <w:lang w:val="cs-CZ"/>
        </w:rPr>
        <w:t>Nařízení Evropského parlamentu a Rady (EU) 2021/695 ze dne 28. dubna 2021, kterým se zavádí rámcový program pro výzkum a inovace Horizont Evropa a stanoví pravidla pro účast a šíření výsledků a zrušují nařízení (EU) č. 1290/2013 a (EU) č. 1291/2013 (</w:t>
      </w:r>
      <w:proofErr w:type="spellStart"/>
      <w:r w:rsidRPr="00CA0B8B">
        <w:rPr>
          <w:b/>
          <w:bCs/>
          <w:i/>
          <w:iCs/>
          <w:sz w:val="24"/>
          <w:lang w:val="cs-CZ"/>
        </w:rPr>
        <w:t>Úř</w:t>
      </w:r>
      <w:proofErr w:type="spellEnd"/>
      <w:r w:rsidRPr="00CA0B8B">
        <w:rPr>
          <w:b/>
          <w:bCs/>
          <w:i/>
          <w:iCs/>
          <w:sz w:val="24"/>
          <w:lang w:val="cs-CZ"/>
        </w:rPr>
        <w:t xml:space="preserve">. </w:t>
      </w:r>
      <w:proofErr w:type="spellStart"/>
      <w:r w:rsidRPr="00CA0B8B">
        <w:rPr>
          <w:b/>
          <w:bCs/>
          <w:i/>
          <w:iCs/>
          <w:sz w:val="24"/>
          <w:lang w:val="cs-CZ"/>
        </w:rPr>
        <w:t>věst</w:t>
      </w:r>
      <w:proofErr w:type="spellEnd"/>
      <w:r w:rsidRPr="00CA0B8B">
        <w:rPr>
          <w:b/>
          <w:bCs/>
          <w:i/>
          <w:iCs/>
          <w:sz w:val="24"/>
          <w:lang w:val="cs-CZ"/>
        </w:rPr>
        <w:t>. L 170, 12.5.2021, s. 1, ELI:</w:t>
      </w:r>
      <w:r w:rsidRPr="00CA0B8B">
        <w:rPr>
          <w:b/>
          <w:i/>
          <w:sz w:val="24"/>
          <w:lang w:val="cs-CZ"/>
        </w:rPr>
        <w:t> </w:t>
      </w:r>
      <w:hyperlink r:id="rId1" w:tooltip="Umožňuje přístup k tomuto dokumentu prostřednictvím jeho identifikátoru URI používaného v rámci ELI." w:history="1">
        <w:r w:rsidRPr="00CA0B8B">
          <w:rPr>
            <w:rStyle w:val="Hyperlink"/>
            <w:b/>
            <w:i/>
            <w:sz w:val="24"/>
            <w:lang w:val="cs-CZ"/>
          </w:rPr>
          <w:t>http://data.europa.eu/</w:t>
        </w:r>
        <w:proofErr w:type="spellStart"/>
        <w:r w:rsidRPr="00CA0B8B">
          <w:rPr>
            <w:rStyle w:val="Hyperlink"/>
            <w:b/>
            <w:i/>
            <w:sz w:val="24"/>
            <w:lang w:val="cs-CZ"/>
          </w:rPr>
          <w:t>eli</w:t>
        </w:r>
        <w:proofErr w:type="spellEnd"/>
        <w:r w:rsidRPr="00CA0B8B">
          <w:rPr>
            <w:rStyle w:val="Hyperlink"/>
            <w:b/>
            <w:i/>
            <w:sz w:val="24"/>
            <w:lang w:val="cs-CZ"/>
          </w:rPr>
          <w:t>/</w:t>
        </w:r>
        <w:proofErr w:type="spellStart"/>
        <w:r w:rsidRPr="00CA0B8B">
          <w:rPr>
            <w:rStyle w:val="Hyperlink"/>
            <w:b/>
            <w:i/>
            <w:sz w:val="24"/>
            <w:lang w:val="cs-CZ"/>
          </w:rPr>
          <w:t>reg</w:t>
        </w:r>
        <w:proofErr w:type="spellEnd"/>
        <w:r w:rsidRPr="00CA0B8B">
          <w:rPr>
            <w:rStyle w:val="Hyperlink"/>
            <w:b/>
            <w:i/>
            <w:sz w:val="24"/>
            <w:lang w:val="cs-CZ"/>
          </w:rPr>
          <w:t>/2021/695/oj</w:t>
        </w:r>
      </w:hyperlink>
      <w:r w:rsidRPr="00CA0B8B">
        <w:rPr>
          <w:b/>
          <w:bCs/>
          <w:i/>
          <w:iCs/>
          <w:sz w:val="24"/>
          <w:lang w:val="cs-CZ"/>
        </w:rPr>
        <w:t>).</w:t>
      </w:r>
    </w:p>
  </w:footnote>
  <w:footnote w:id="5">
    <w:p w14:paraId="537B6A4C" w14:textId="76DE99CB" w:rsidR="00690C2E" w:rsidRPr="00CA0B8B" w:rsidRDefault="00690C2E" w:rsidP="00CA0B8B">
      <w:pPr>
        <w:pStyle w:val="FootnoteText"/>
        <w:ind w:left="567" w:hanging="567"/>
        <w:rPr>
          <w:sz w:val="24"/>
          <w:lang w:val="cs-CZ"/>
        </w:rPr>
      </w:pPr>
      <w:r w:rsidRPr="00CA0B8B">
        <w:rPr>
          <w:rStyle w:val="FootnoteReference"/>
          <w:sz w:val="24"/>
          <w:lang w:val="cs-CZ"/>
        </w:rPr>
        <w:footnoteRef/>
      </w:r>
      <w:r w:rsidR="00CA0B8B" w:rsidRPr="00CA0B8B">
        <w:rPr>
          <w:sz w:val="24"/>
          <w:lang w:val="cs-CZ"/>
        </w:rPr>
        <w:t xml:space="preserve"> </w:t>
      </w:r>
      <w:r w:rsidR="00CA0B8B" w:rsidRPr="00CA0B8B">
        <w:rPr>
          <w:sz w:val="24"/>
          <w:lang w:val="cs-CZ"/>
        </w:rPr>
        <w:tab/>
      </w:r>
      <w:hyperlink r:id="rId2" w:history="1">
        <w:r w:rsidRPr="00CA0B8B">
          <w:rPr>
            <w:rStyle w:val="Hyperlink"/>
            <w:sz w:val="24"/>
            <w:lang w:val="cs-CZ"/>
          </w:rPr>
          <w:t>https://digital-strategy.ec.europa.eu/en/news/commission-sets-course-europes-ai-leadership-ambitious-ai-continent-action-plan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6BA1" w14:textId="77777777" w:rsidR="00064002" w:rsidRPr="00CA0B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6F05" w14:textId="77777777" w:rsidR="00064002" w:rsidRPr="00CA0B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812FF" w14:textId="77777777" w:rsidR="00064002" w:rsidRPr="00CA0B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6448196">
    <w:abstractNumId w:val="9"/>
  </w:num>
  <w:num w:numId="2" w16cid:durableId="1794902181">
    <w:abstractNumId w:val="9"/>
  </w:num>
  <w:num w:numId="3" w16cid:durableId="93399835">
    <w:abstractNumId w:val="7"/>
  </w:num>
  <w:num w:numId="4" w16cid:durableId="542056522">
    <w:abstractNumId w:val="7"/>
  </w:num>
  <w:num w:numId="5" w16cid:durableId="330916587">
    <w:abstractNumId w:val="6"/>
  </w:num>
  <w:num w:numId="6" w16cid:durableId="1065176324">
    <w:abstractNumId w:val="6"/>
  </w:num>
  <w:num w:numId="7" w16cid:durableId="1720517917">
    <w:abstractNumId w:val="5"/>
  </w:num>
  <w:num w:numId="8" w16cid:durableId="1060514371">
    <w:abstractNumId w:val="5"/>
  </w:num>
  <w:num w:numId="9" w16cid:durableId="252593838">
    <w:abstractNumId w:val="4"/>
  </w:num>
  <w:num w:numId="10" w16cid:durableId="1072435672">
    <w:abstractNumId w:val="4"/>
  </w:num>
  <w:num w:numId="11" w16cid:durableId="788085949">
    <w:abstractNumId w:val="8"/>
  </w:num>
  <w:num w:numId="12" w16cid:durableId="1439719541">
    <w:abstractNumId w:val="8"/>
  </w:num>
  <w:num w:numId="13" w16cid:durableId="428090754">
    <w:abstractNumId w:val="3"/>
  </w:num>
  <w:num w:numId="14" w16cid:durableId="1380087705">
    <w:abstractNumId w:val="3"/>
  </w:num>
  <w:num w:numId="15" w16cid:durableId="846870547">
    <w:abstractNumId w:val="2"/>
  </w:num>
  <w:num w:numId="16" w16cid:durableId="81033371">
    <w:abstractNumId w:val="2"/>
  </w:num>
  <w:num w:numId="17" w16cid:durableId="1467503762">
    <w:abstractNumId w:val="1"/>
  </w:num>
  <w:num w:numId="18" w16cid:durableId="528833153">
    <w:abstractNumId w:val="1"/>
  </w:num>
  <w:num w:numId="19" w16cid:durableId="1651129301">
    <w:abstractNumId w:val="0"/>
  </w:num>
  <w:num w:numId="20" w16cid:durableId="1404451437">
    <w:abstractNumId w:val="0"/>
  </w:num>
  <w:num w:numId="21" w16cid:durableId="791481657">
    <w:abstractNumId w:val="9"/>
  </w:num>
  <w:num w:numId="22" w16cid:durableId="213274937">
    <w:abstractNumId w:val="7"/>
  </w:num>
  <w:num w:numId="23" w16cid:durableId="1535265878">
    <w:abstractNumId w:val="6"/>
  </w:num>
  <w:num w:numId="24" w16cid:durableId="1807699506">
    <w:abstractNumId w:val="5"/>
  </w:num>
  <w:num w:numId="25" w16cid:durableId="816531815">
    <w:abstractNumId w:val="4"/>
  </w:num>
  <w:num w:numId="26" w16cid:durableId="875890688">
    <w:abstractNumId w:val="8"/>
  </w:num>
  <w:num w:numId="27" w16cid:durableId="583337488">
    <w:abstractNumId w:val="3"/>
  </w:num>
  <w:num w:numId="28" w16cid:durableId="429424546">
    <w:abstractNumId w:val="2"/>
  </w:num>
  <w:num w:numId="29" w16cid:durableId="856189687">
    <w:abstractNumId w:val="1"/>
  </w:num>
  <w:num w:numId="30" w16cid:durableId="1462502563">
    <w:abstractNumId w:val="0"/>
  </w:num>
  <w:num w:numId="31" w16cid:durableId="27530185">
    <w:abstractNumId w:val="9"/>
  </w:num>
  <w:num w:numId="32" w16cid:durableId="379985980">
    <w:abstractNumId w:val="7"/>
  </w:num>
  <w:num w:numId="33" w16cid:durableId="379866639">
    <w:abstractNumId w:val="6"/>
  </w:num>
  <w:num w:numId="34" w16cid:durableId="1316374550">
    <w:abstractNumId w:val="5"/>
  </w:num>
  <w:num w:numId="35" w16cid:durableId="1612282145">
    <w:abstractNumId w:val="4"/>
  </w:num>
  <w:num w:numId="36" w16cid:durableId="1542741617">
    <w:abstractNumId w:val="8"/>
  </w:num>
  <w:num w:numId="37" w16cid:durableId="97023007">
    <w:abstractNumId w:val="3"/>
  </w:num>
  <w:num w:numId="38" w16cid:durableId="1022249219">
    <w:abstractNumId w:val="2"/>
  </w:num>
  <w:num w:numId="39" w16cid:durableId="259458086">
    <w:abstractNumId w:val="1"/>
  </w:num>
  <w:num w:numId="40" w16cid:durableId="358513197">
    <w:abstractNumId w:val="0"/>
  </w:num>
  <w:num w:numId="41" w16cid:durableId="1890146015">
    <w:abstractNumId w:val="10"/>
  </w:num>
  <w:num w:numId="42" w16cid:durableId="310790245">
    <w:abstractNumId w:val="10"/>
  </w:num>
  <w:num w:numId="43" w16cid:durableId="1310790791">
    <w:abstractNumId w:val="10"/>
  </w:num>
  <w:num w:numId="44" w16cid:durableId="10105695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1/2025"/>
    <w:docVar w:name="dvlangue" w:val="CS"/>
    <w:docVar w:name="dvnumam" w:val="0"/>
    <w:docVar w:name="dvpe" w:val="779.752"/>
    <w:docVar w:name="dvrapporteur" w:val="Zpravodaj: "/>
    <w:docVar w:name="dvstar" w:val="*"/>
    <w:docVar w:name="dvtitre" w:val="Legislativní usnesení Evropského parlamentu ze dne.... 2025 o návrhu nařízení Rady o změně nařízení Rady (EU) 2021/1173 ze dne 13. července 2021, kterým se zřizuje společný podnik pro evropskou vysoce výkonnou výpočetní techniku a zrušuje nařízení (EU) 2018/1488(COM(2025)0414 – C10-0204/2025 – 2025/0229(NLE))"/>
  </w:docVars>
  <w:rsids>
    <w:rsidRoot w:val="0008698F"/>
    <w:rsid w:val="00002272"/>
    <w:rsid w:val="00005378"/>
    <w:rsid w:val="00064002"/>
    <w:rsid w:val="000677B9"/>
    <w:rsid w:val="000831BA"/>
    <w:rsid w:val="0008698F"/>
    <w:rsid w:val="000A42CC"/>
    <w:rsid w:val="000E162B"/>
    <w:rsid w:val="000E7DD9"/>
    <w:rsid w:val="0010095E"/>
    <w:rsid w:val="00125B37"/>
    <w:rsid w:val="00187494"/>
    <w:rsid w:val="0019453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C2E"/>
    <w:rsid w:val="006A7857"/>
    <w:rsid w:val="006B6AB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802"/>
    <w:rsid w:val="00981893"/>
    <w:rsid w:val="009840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7FB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B8B"/>
    <w:rsid w:val="00CC2357"/>
    <w:rsid w:val="00CF071A"/>
    <w:rsid w:val="00D058B8"/>
    <w:rsid w:val="00D21141"/>
    <w:rsid w:val="00D56C11"/>
    <w:rsid w:val="00D834A0"/>
    <w:rsid w:val="00D858E7"/>
    <w:rsid w:val="00D872DF"/>
    <w:rsid w:val="00D91E21"/>
    <w:rsid w:val="00DA2E4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1AF"/>
    <w:rsid w:val="00F74202"/>
    <w:rsid w:val="00F87713"/>
    <w:rsid w:val="00FA51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D57B4"/>
  <w15:chartTrackingRefBased/>
  <w15:docId w15:val="{852265EA-BE26-4E0E-A40E-D76F83BC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90C2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90C2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90C2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90C2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90C2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90C2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690C2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690C2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690C2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690C2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90C2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90C2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90C2E"/>
    <w:pPr>
      <w:spacing w:after="120"/>
    </w:pPr>
  </w:style>
  <w:style w:type="paragraph" w:customStyle="1" w:styleId="PageHeading">
    <w:name w:val="PageHeading"/>
    <w:basedOn w:val="Normal"/>
    <w:rsid w:val="00690C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90C2E"/>
    <w:rPr>
      <w:b/>
    </w:rPr>
  </w:style>
  <w:style w:type="paragraph" w:customStyle="1" w:styleId="AmJustText">
    <w:name w:val="AmJustText"/>
    <w:basedOn w:val="Normal"/>
    <w:rsid w:val="00690C2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90C2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90C2E"/>
    <w:pPr>
      <w:spacing w:after="480"/>
      <w:ind w:left="1417"/>
    </w:pPr>
  </w:style>
  <w:style w:type="paragraph" w:customStyle="1" w:styleId="CoverNormal">
    <w:name w:val="CoverNormal"/>
    <w:basedOn w:val="Normal"/>
    <w:rsid w:val="00690C2E"/>
    <w:pPr>
      <w:ind w:left="1418"/>
    </w:pPr>
  </w:style>
  <w:style w:type="paragraph" w:customStyle="1" w:styleId="AmCrossRef">
    <w:name w:val="AmCrossRef"/>
    <w:basedOn w:val="Normal"/>
    <w:rsid w:val="00690C2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90C2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90C2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90C2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90C2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90C2E"/>
    <w:pPr>
      <w:spacing w:before="240" w:after="1200"/>
    </w:pPr>
  </w:style>
  <w:style w:type="paragraph" w:styleId="Header">
    <w:name w:val="header"/>
    <w:basedOn w:val="Normal"/>
    <w:link w:val="HeaderChar"/>
    <w:rsid w:val="00690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90C2E"/>
    <w:rPr>
      <w:sz w:val="24"/>
      <w:lang w:val="cs-CZ"/>
    </w:rPr>
  </w:style>
  <w:style w:type="paragraph" w:customStyle="1" w:styleId="AmOrLang">
    <w:name w:val="AmOrLang"/>
    <w:basedOn w:val="Normal"/>
    <w:rsid w:val="00690C2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90C2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90C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a">
    <w:name w:val="NormalBold12a"/>
    <w:basedOn w:val="Normal"/>
    <w:rsid w:val="00690C2E"/>
    <w:pPr>
      <w:spacing w:after="240"/>
    </w:pPr>
    <w:rPr>
      <w:b/>
    </w:rPr>
  </w:style>
  <w:style w:type="paragraph" w:customStyle="1" w:styleId="EPBody">
    <w:name w:val="EPBody"/>
    <w:basedOn w:val="Normal"/>
    <w:rsid w:val="00690C2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90C2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90C2E"/>
    <w:pPr>
      <w:spacing w:before="480" w:after="240"/>
    </w:pPr>
  </w:style>
  <w:style w:type="paragraph" w:customStyle="1" w:styleId="Lgendesigne">
    <w:name w:val="Légende signe"/>
    <w:basedOn w:val="Normal"/>
    <w:rsid w:val="00690C2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90C2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90C2E"/>
    <w:rPr>
      <w:sz w:val="18"/>
    </w:rPr>
  </w:style>
  <w:style w:type="character" w:styleId="Hyperlink">
    <w:name w:val="Hyperlink"/>
    <w:uiPriority w:val="99"/>
    <w:unhideWhenUsed/>
    <w:rsid w:val="00690C2E"/>
    <w:rPr>
      <w:color w:val="0000FF"/>
      <w:u w:val="single"/>
    </w:rPr>
  </w:style>
  <w:style w:type="paragraph" w:customStyle="1" w:styleId="Text1">
    <w:name w:val="Text 1"/>
    <w:basedOn w:val="Normal"/>
    <w:rsid w:val="00690C2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90C2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90C2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90C2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90C2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90C2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90C2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690C2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90C2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90C2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90C2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90C2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90C2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90C2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Normal24">
    <w:name w:val="Normal24"/>
    <w:basedOn w:val="Normal"/>
    <w:rsid w:val="00690C2E"/>
    <w:pPr>
      <w:spacing w:after="480"/>
    </w:pPr>
  </w:style>
  <w:style w:type="paragraph" w:customStyle="1" w:styleId="Normal24a">
    <w:name w:val="Normal24a"/>
    <w:basedOn w:val="Normal"/>
    <w:rsid w:val="00690C2E"/>
    <w:pPr>
      <w:spacing w:after="480"/>
    </w:pPr>
  </w:style>
  <w:style w:type="paragraph" w:customStyle="1" w:styleId="NormalBoldCenter">
    <w:name w:val="NormalBoldCenter"/>
    <w:basedOn w:val="Normal"/>
    <w:rsid w:val="00690C2E"/>
    <w:pPr>
      <w:jc w:val="center"/>
    </w:pPr>
    <w:rPr>
      <w:b/>
    </w:rPr>
  </w:style>
  <w:style w:type="paragraph" w:customStyle="1" w:styleId="Footprint12b">
    <w:name w:val="Footprint12b"/>
    <w:basedOn w:val="Normal"/>
    <w:rsid w:val="00690C2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90C2E"/>
    <w:rPr>
      <w:szCs w:val="24"/>
    </w:rPr>
  </w:style>
  <w:style w:type="paragraph" w:customStyle="1" w:styleId="Normal12a">
    <w:name w:val="Normal12a"/>
    <w:basedOn w:val="Normal"/>
    <w:rsid w:val="00690C2E"/>
    <w:pPr>
      <w:spacing w:after="240"/>
    </w:pPr>
  </w:style>
  <w:style w:type="paragraph" w:customStyle="1" w:styleId="RollCallVotes">
    <w:name w:val="RollCallVotes"/>
    <w:basedOn w:val="Normal"/>
    <w:rsid w:val="00690C2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90C2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90C2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90C2E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690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90C2E"/>
    <w:rPr>
      <w:sz w:val="24"/>
      <w:lang w:val="cs-CZ"/>
    </w:rPr>
  </w:style>
  <w:style w:type="paragraph" w:styleId="EndnoteText">
    <w:name w:val="endnote text"/>
    <w:basedOn w:val="Normal"/>
    <w:link w:val="EndnoteTextChar"/>
    <w:rsid w:val="00690C2E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90C2E"/>
    <w:rPr>
      <w:lang w:val="cs-CZ"/>
    </w:rPr>
  </w:style>
  <w:style w:type="character" w:styleId="EndnoteReference">
    <w:name w:val="endnote reference"/>
    <w:basedOn w:val="DefaultParagraphFont"/>
    <w:rsid w:val="00690C2E"/>
    <w:rPr>
      <w:vertAlign w:val="superscript"/>
    </w:rPr>
  </w:style>
  <w:style w:type="paragraph" w:styleId="Revision">
    <w:name w:val="Revision"/>
    <w:hidden/>
    <w:uiPriority w:val="99"/>
    <w:semiHidden/>
    <w:rsid w:val="0096380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igital-strategy.ec.europa.eu/en/news/commission-sets-course-europes-ai-leadership-ambitious-ai-continent-action-plan" TargetMode="External"/><Relationship Id="rId1" Type="http://schemas.openxmlformats.org/officeDocument/2006/relationships/hyperlink" Target="http://data.europa.eu/eli/reg/2021/6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25</Pages>
  <Words>6736</Words>
  <Characters>42051</Characters>
  <Application>Microsoft Office Word</Application>
  <DocSecurity>0</DocSecurity>
  <Lines>350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2026-02-16T11:51:00Z</dcterms:created>
  <dcterms:modified xsi:type="dcterms:W3CDTF">2026-02-16T11:51:00Z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P10_TA(2025)0333_</vt:lpwstr>
  </property>
  <property fmtid="{D5CDD505-2E9C-101B-9397-08002B2CF9AE}" pid="4" name="&lt;Type&gt;">
    <vt:lpwstr>RR</vt:lpwstr>
  </property>
</Properties>
</file>