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224F" w14:paraId="748C107F" w14:textId="77777777" w:rsidTr="0010095E">
        <w:trPr>
          <w:trHeight w:hRule="exact" w:val="1418"/>
        </w:trPr>
        <w:tc>
          <w:tcPr>
            <w:tcW w:w="6804" w:type="dxa"/>
            <w:shd w:val="clear" w:color="auto" w:fill="auto"/>
            <w:vAlign w:val="center"/>
          </w:tcPr>
          <w:p w14:paraId="383860B1" w14:textId="77777777" w:rsidR="00751A4A" w:rsidRPr="0076224F" w:rsidRDefault="00B7311D" w:rsidP="0010095E">
            <w:pPr>
              <w:pStyle w:val="EPName"/>
            </w:pPr>
            <w:r w:rsidRPr="0076224F">
              <w:t>Evropski parlament</w:t>
            </w:r>
          </w:p>
          <w:p w14:paraId="65E2483B" w14:textId="77777777" w:rsidR="00751A4A" w:rsidRPr="0076224F" w:rsidRDefault="005F1B17" w:rsidP="005F1B17">
            <w:pPr>
              <w:pStyle w:val="EPTerm"/>
              <w:rPr>
                <w:rStyle w:val="HideTWBExt"/>
                <w:noProof w:val="0"/>
                <w:vanish w:val="0"/>
                <w:color w:val="auto"/>
              </w:rPr>
            </w:pPr>
            <w:r w:rsidRPr="0076224F">
              <w:t>2024</w:t>
            </w:r>
            <w:r w:rsidR="00817416" w:rsidRPr="0076224F">
              <w:t>-202</w:t>
            </w:r>
            <w:r w:rsidRPr="0076224F">
              <w:t>9</w:t>
            </w:r>
          </w:p>
        </w:tc>
        <w:tc>
          <w:tcPr>
            <w:tcW w:w="2268" w:type="dxa"/>
            <w:shd w:val="clear" w:color="auto" w:fill="auto"/>
          </w:tcPr>
          <w:p w14:paraId="34F9F72C" w14:textId="77777777" w:rsidR="00751A4A" w:rsidRPr="0076224F" w:rsidRDefault="00187494" w:rsidP="0010095E">
            <w:pPr>
              <w:pStyle w:val="EPLogo"/>
            </w:pPr>
            <w:r w:rsidRPr="0076224F">
              <w:rPr>
                <w:noProof/>
                <w:lang w:eastAsia="ja-JP"/>
              </w:rPr>
              <w:drawing>
                <wp:inline distT="0" distB="0" distL="0" distR="0" wp14:anchorId="731FD6A9" wp14:editId="277B10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61DD36" w14:textId="77777777" w:rsidR="00D058B8" w:rsidRPr="0076224F" w:rsidRDefault="00D058B8" w:rsidP="004C5D52">
      <w:pPr>
        <w:pStyle w:val="LineTop"/>
      </w:pPr>
    </w:p>
    <w:p w14:paraId="11702AE0" w14:textId="77777777" w:rsidR="00680577" w:rsidRPr="0076224F" w:rsidRDefault="00B7311D" w:rsidP="00680577">
      <w:pPr>
        <w:pStyle w:val="EPBodyTA1"/>
      </w:pPr>
      <w:r w:rsidRPr="0076224F">
        <w:t>SPREJETA BESEDILA</w:t>
      </w:r>
    </w:p>
    <w:p w14:paraId="17298714" w14:textId="77777777" w:rsidR="00D058B8" w:rsidRPr="0076224F" w:rsidRDefault="00D058B8" w:rsidP="00D058B8">
      <w:pPr>
        <w:pStyle w:val="LineBottom"/>
      </w:pPr>
    </w:p>
    <w:p w14:paraId="2F2FCA7B" w14:textId="0D818EC4" w:rsidR="00B7311D" w:rsidRPr="0076224F" w:rsidRDefault="00B7311D" w:rsidP="00B7311D">
      <w:pPr>
        <w:pStyle w:val="ATHeading1"/>
      </w:pPr>
      <w:bookmarkStart w:id="0" w:name="TANumber"/>
      <w:r w:rsidRPr="0076224F">
        <w:t>P10_TA(2025)0</w:t>
      </w:r>
      <w:r w:rsidR="0076224F" w:rsidRPr="0076224F">
        <w:t>333</w:t>
      </w:r>
      <w:bookmarkEnd w:id="0"/>
    </w:p>
    <w:p w14:paraId="57779DB5" w14:textId="77777777" w:rsidR="00B7311D" w:rsidRPr="0076224F" w:rsidRDefault="00B7311D" w:rsidP="00B7311D">
      <w:pPr>
        <w:pStyle w:val="ATHeading2"/>
      </w:pPr>
      <w:bookmarkStart w:id="1" w:name="title"/>
      <w:r w:rsidRPr="0076224F">
        <w:t>Skupno podjetje za evropsko visokozmogljivostno računalništvo (EuroHPC)</w:t>
      </w:r>
      <w:bookmarkEnd w:id="1"/>
    </w:p>
    <w:p w14:paraId="22EA1E78" w14:textId="77777777" w:rsidR="00B7311D" w:rsidRPr="0076224F" w:rsidRDefault="00B7311D" w:rsidP="00B7311D">
      <w:pPr>
        <w:rPr>
          <w:i/>
          <w:vanish/>
        </w:rPr>
      </w:pPr>
      <w:r w:rsidRPr="0076224F">
        <w:rPr>
          <w:i/>
        </w:rPr>
        <w:fldChar w:fldCharType="begin"/>
      </w:r>
      <w:r w:rsidRPr="0076224F">
        <w:rPr>
          <w:i/>
        </w:rPr>
        <w:instrText xml:space="preserve"> TC"(</w:instrText>
      </w:r>
      <w:bookmarkStart w:id="2" w:name="DocNumber"/>
      <w:r w:rsidRPr="0076224F">
        <w:rPr>
          <w:i/>
        </w:rPr>
        <w:instrText>A10-0241/2025</w:instrText>
      </w:r>
      <w:bookmarkEnd w:id="2"/>
      <w:r w:rsidRPr="0076224F">
        <w:rPr>
          <w:i/>
        </w:rPr>
        <w:instrText xml:space="preserve"> - Poročevalec: Borys Budka)"\l3 \n&gt; \* MERGEFORMAT </w:instrText>
      </w:r>
      <w:r w:rsidRPr="0076224F">
        <w:rPr>
          <w:i/>
        </w:rPr>
        <w:fldChar w:fldCharType="end"/>
      </w:r>
    </w:p>
    <w:p w14:paraId="0A9FA2C9" w14:textId="77777777" w:rsidR="00B7311D" w:rsidRPr="0076224F" w:rsidRDefault="00B7311D" w:rsidP="00B7311D">
      <w:pPr>
        <w:rPr>
          <w:vanish/>
        </w:rPr>
      </w:pPr>
      <w:bookmarkStart w:id="3" w:name="Commission"/>
      <w:r w:rsidRPr="0076224F">
        <w:rPr>
          <w:vanish/>
        </w:rPr>
        <w:t>Odbor za industrijo, raziskave in energetiko</w:t>
      </w:r>
      <w:bookmarkEnd w:id="3"/>
    </w:p>
    <w:p w14:paraId="2934AD8C" w14:textId="77777777" w:rsidR="00B7311D" w:rsidRPr="0076224F" w:rsidRDefault="00B7311D" w:rsidP="00B7311D">
      <w:pPr>
        <w:rPr>
          <w:vanish/>
        </w:rPr>
      </w:pPr>
      <w:bookmarkStart w:id="4" w:name="PE"/>
      <w:r w:rsidRPr="0076224F">
        <w:rPr>
          <w:vanish/>
        </w:rPr>
        <w:t>PE779.752</w:t>
      </w:r>
      <w:bookmarkEnd w:id="4"/>
    </w:p>
    <w:p w14:paraId="64F293FF" w14:textId="42A677D4" w:rsidR="00B7311D" w:rsidRPr="0076224F" w:rsidRDefault="00B7311D" w:rsidP="00B7311D">
      <w:pPr>
        <w:pStyle w:val="ATHeading3"/>
      </w:pPr>
      <w:bookmarkStart w:id="5" w:name="Sujet"/>
      <w:r w:rsidRPr="0076224F">
        <w:t xml:space="preserve">Zakonodajna resolucija Evropskega parlamenta z dne </w:t>
      </w:r>
      <w:r w:rsidR="001D4C8A" w:rsidRPr="0076224F">
        <w:t>17</w:t>
      </w:r>
      <w:r w:rsidRPr="0076224F">
        <w:t>. decembra 2025 o predlogu uredbe Sveta o spremembi Uredbe Sveta (EU) 2021/1173 z dne 13. julija 2021 o ustanovitvi Skupnega podjetja za evropsko visokozmogljivostno računalništvo in razveljavitvi Uredbe (EU) 2018/1488</w:t>
      </w:r>
      <w:bookmarkEnd w:id="5"/>
      <w:r w:rsidRPr="0076224F">
        <w:t xml:space="preserve"> </w:t>
      </w:r>
      <w:bookmarkStart w:id="6" w:name="References"/>
      <w:r w:rsidRPr="0076224F">
        <w:t>(COM(2025)0414 – C10-0204/2025 – 2025/0229(NLE))</w:t>
      </w:r>
      <w:bookmarkEnd w:id="6"/>
    </w:p>
    <w:p w14:paraId="49248A0F" w14:textId="77777777" w:rsidR="00B7311D" w:rsidRPr="0076224F" w:rsidRDefault="00B7311D" w:rsidP="00B7311D"/>
    <w:p w14:paraId="77EE2C5E" w14:textId="77777777" w:rsidR="00BC2082" w:rsidRPr="0076224F" w:rsidRDefault="00BC2082" w:rsidP="00BC2082">
      <w:pPr>
        <w:pStyle w:val="NormalBold"/>
      </w:pPr>
      <w:bookmarkStart w:id="7" w:name="TextBodyBegin"/>
      <w:bookmarkEnd w:id="7"/>
      <w:r w:rsidRPr="0076224F">
        <w:t>(Posvetovanje)</w:t>
      </w:r>
    </w:p>
    <w:p w14:paraId="072912F4" w14:textId="77777777" w:rsidR="00BC2082" w:rsidRPr="0076224F" w:rsidRDefault="00BC2082" w:rsidP="00BC2082">
      <w:pPr>
        <w:pStyle w:val="EPComma"/>
      </w:pPr>
      <w:r w:rsidRPr="0076224F">
        <w:rPr>
          <w:i/>
        </w:rPr>
        <w:t>Evropski parlament</w:t>
      </w:r>
      <w:r w:rsidRPr="0076224F">
        <w:t>,</w:t>
      </w:r>
    </w:p>
    <w:p w14:paraId="4DC8D768" w14:textId="77777777" w:rsidR="00BC2082" w:rsidRPr="0076224F" w:rsidRDefault="00BC2082" w:rsidP="00BC2082">
      <w:pPr>
        <w:pStyle w:val="NormalHanging12a"/>
      </w:pPr>
      <w:r w:rsidRPr="0076224F">
        <w:t>–</w:t>
      </w:r>
      <w:r w:rsidRPr="0076224F">
        <w:tab/>
        <w:t>ob upoštevanju predloga Komisije Svetu (COM(2025)0414),</w:t>
      </w:r>
    </w:p>
    <w:p w14:paraId="2CFC9689" w14:textId="6EEB4D18" w:rsidR="00BC2082" w:rsidRPr="0076224F" w:rsidRDefault="00BC2082" w:rsidP="00BC2082">
      <w:pPr>
        <w:pStyle w:val="NormalHanging12a"/>
      </w:pPr>
      <w:r w:rsidRPr="0076224F">
        <w:t>–</w:t>
      </w:r>
      <w:r w:rsidRPr="0076224F">
        <w:tab/>
        <w:t>ob upoštevanju člen</w:t>
      </w:r>
      <w:r w:rsidR="001D4C8A" w:rsidRPr="0076224F">
        <w:t>a</w:t>
      </w:r>
      <w:r w:rsidRPr="0076224F">
        <w:t xml:space="preserve"> 187 in </w:t>
      </w:r>
      <w:r w:rsidR="001D4C8A" w:rsidRPr="0076224F">
        <w:t xml:space="preserve">člena </w:t>
      </w:r>
      <w:r w:rsidRPr="0076224F">
        <w:t>188</w:t>
      </w:r>
      <w:r w:rsidR="001D4C8A" w:rsidRPr="0076224F">
        <w:t>, prvi odstavek,</w:t>
      </w:r>
      <w:r w:rsidRPr="0076224F">
        <w:t xml:space="preserve"> Pogodbe o delovanju Evropske unije, </w:t>
      </w:r>
      <w:r w:rsidR="001D4C8A" w:rsidRPr="0076224F">
        <w:t>na podlagi katerih</w:t>
      </w:r>
      <w:r w:rsidRPr="0076224F">
        <w:t xml:space="preserve"> se je Svet posvetoval s Parlamentom (C10</w:t>
      </w:r>
      <w:r w:rsidRPr="0076224F">
        <w:noBreakHyphen/>
        <w:t>0204/2025),</w:t>
      </w:r>
    </w:p>
    <w:p w14:paraId="7127D2DE" w14:textId="77777777" w:rsidR="00BC2082" w:rsidRPr="0076224F" w:rsidRDefault="00BC2082" w:rsidP="00BC2082">
      <w:pPr>
        <w:pStyle w:val="NormalHanging12a"/>
      </w:pPr>
      <w:r w:rsidRPr="0076224F">
        <w:t>–</w:t>
      </w:r>
      <w:r w:rsidRPr="0076224F">
        <w:tab/>
        <w:t xml:space="preserve">ob upoštevanju člena 84 Poslovnika, </w:t>
      </w:r>
    </w:p>
    <w:p w14:paraId="1FD18B55" w14:textId="77777777" w:rsidR="00BC2082" w:rsidRPr="0076224F" w:rsidRDefault="00BC2082" w:rsidP="00BC2082">
      <w:pPr>
        <w:pStyle w:val="NormalHanging12a"/>
      </w:pPr>
      <w:r w:rsidRPr="0076224F">
        <w:t>–</w:t>
      </w:r>
      <w:r w:rsidRPr="0076224F">
        <w:tab/>
        <w:t>ob upoštevanju poročila Odbora za industrijo, raziskave in energetiko (A10</w:t>
      </w:r>
      <w:r w:rsidRPr="0076224F">
        <w:noBreakHyphen/>
        <w:t>0241/2025),</w:t>
      </w:r>
    </w:p>
    <w:p w14:paraId="44DAF8F2" w14:textId="77777777" w:rsidR="00BC2082" w:rsidRPr="0076224F" w:rsidRDefault="00BC2082" w:rsidP="00BC2082">
      <w:pPr>
        <w:pStyle w:val="NormalHanging12a"/>
      </w:pPr>
      <w:r w:rsidRPr="0076224F">
        <w:t>1.</w:t>
      </w:r>
      <w:r w:rsidRPr="0076224F">
        <w:tab/>
        <w:t>odobri predlog Komisije, kakor je bil spremenjen;</w:t>
      </w:r>
    </w:p>
    <w:p w14:paraId="1F8D372E" w14:textId="77777777" w:rsidR="00BC2082" w:rsidRPr="0076224F" w:rsidRDefault="00BC2082" w:rsidP="00BC2082">
      <w:pPr>
        <w:pStyle w:val="NormalHanging12a"/>
      </w:pPr>
      <w:r w:rsidRPr="0076224F">
        <w:t>2.</w:t>
      </w:r>
      <w:r w:rsidRPr="0076224F">
        <w:tab/>
        <w:t>poziva Komisijo, naj ustrezno spremeni svoj predlog na podlagi člena 293(2) Pogodbe o delovanju Evropske unije;</w:t>
      </w:r>
    </w:p>
    <w:p w14:paraId="078A9C55" w14:textId="53C0D7BD" w:rsidR="00BC2082" w:rsidRPr="0076224F" w:rsidRDefault="00BC2082" w:rsidP="00BC2082">
      <w:pPr>
        <w:pStyle w:val="NormalHanging12a"/>
      </w:pPr>
      <w:r w:rsidRPr="0076224F">
        <w:t>3.</w:t>
      </w:r>
      <w:r w:rsidRPr="0076224F">
        <w:tab/>
        <w:t xml:space="preserve">poziva Svet, naj </w:t>
      </w:r>
      <w:r w:rsidR="001D4C8A" w:rsidRPr="0076224F">
        <w:t xml:space="preserve">Parlament </w:t>
      </w:r>
      <w:r w:rsidRPr="0076224F">
        <w:t>obvesti, če namerava odstopiti od besedila, ki ga je odobril</w:t>
      </w:r>
      <w:r w:rsidR="001D4C8A" w:rsidRPr="0076224F">
        <w:t xml:space="preserve"> Parlament</w:t>
      </w:r>
      <w:r w:rsidRPr="0076224F">
        <w:t>;</w:t>
      </w:r>
    </w:p>
    <w:p w14:paraId="6B9C1A54" w14:textId="77777777" w:rsidR="00BC2082" w:rsidRPr="0076224F" w:rsidRDefault="00BC2082" w:rsidP="00BC2082">
      <w:pPr>
        <w:pStyle w:val="NormalHanging12a"/>
      </w:pPr>
      <w:r w:rsidRPr="0076224F">
        <w:t>4.</w:t>
      </w:r>
      <w:r w:rsidRPr="0076224F">
        <w:tab/>
        <w:t>poziva Svet, naj se ponovno posvetuje s Parlamentom, če namerava bistveno spremeniti predlog Komisije;</w:t>
      </w:r>
    </w:p>
    <w:p w14:paraId="30584BC6" w14:textId="7CA31617" w:rsidR="00BC2082" w:rsidRPr="0076224F" w:rsidRDefault="00BC2082" w:rsidP="001D4C8A">
      <w:pPr>
        <w:pStyle w:val="NormalHanging12a"/>
      </w:pPr>
      <w:r w:rsidRPr="0076224F">
        <w:t>5.</w:t>
      </w:r>
      <w:r w:rsidRPr="0076224F">
        <w:tab/>
        <w:t>naroči svoji predsednici, naj stališče Parlamenta posreduje Svetu in Komisiji.</w:t>
      </w:r>
      <w:r w:rsidRPr="0076224F">
        <w:br w:type="page"/>
      </w:r>
    </w:p>
    <w:p w14:paraId="465FC4EB" w14:textId="219DF5B5" w:rsidR="00BC2082" w:rsidRPr="0076224F" w:rsidRDefault="0076224F" w:rsidP="00BC2082">
      <w:pPr>
        <w:pStyle w:val="AmNumberTabs"/>
        <w:keepNext/>
      </w:pPr>
      <w:r w:rsidRPr="0076224F">
        <w:lastRenderedPageBreak/>
        <w:t>S</w:t>
      </w:r>
      <w:r w:rsidR="00BC2082" w:rsidRPr="0076224F">
        <w:t>prememb</w:t>
      </w:r>
      <w:r w:rsidRPr="0076224F">
        <w:t>a</w:t>
      </w:r>
      <w:r w:rsidR="00BC2082" w:rsidRPr="0076224F">
        <w:tab/>
      </w:r>
      <w:r w:rsidR="00BC2082" w:rsidRPr="0076224F">
        <w:tab/>
        <w:t>1</w:t>
      </w:r>
    </w:p>
    <w:p w14:paraId="6426AF21" w14:textId="55B9CA9D" w:rsidR="008E5BF1" w:rsidRPr="008E5BF1" w:rsidRDefault="008E5BF1" w:rsidP="001D4C8A">
      <w:pPr>
        <w:pStyle w:val="Typedudocument"/>
        <w:spacing w:line="360" w:lineRule="auto"/>
        <w:rPr>
          <w:b w:val="0"/>
          <w:bCs/>
        </w:rPr>
      </w:pPr>
      <w:r w:rsidRPr="008E5BF1">
        <w:rPr>
          <w:b w:val="0"/>
          <w:bCs/>
        </w:rPr>
        <w:t>SPREMEMBE EVROPSKEGA PARLAMENTA</w:t>
      </w:r>
      <w:r w:rsidRPr="008E5BF1">
        <w:rPr>
          <w:rStyle w:val="FootnoteReference"/>
          <w:b w:val="0"/>
          <w:bCs/>
          <w:szCs w:val="24"/>
        </w:rPr>
        <w:footnoteReference w:customMarkFollows="1" w:id="1"/>
        <w:t>*</w:t>
      </w:r>
    </w:p>
    <w:p w14:paraId="5CDB1D30" w14:textId="11A9D7BE" w:rsidR="008E5BF1" w:rsidRPr="008E5BF1" w:rsidRDefault="008E5BF1" w:rsidP="001D4C8A">
      <w:pPr>
        <w:pStyle w:val="Typedudocument"/>
        <w:spacing w:line="360" w:lineRule="auto"/>
        <w:rPr>
          <w:b w:val="0"/>
          <w:bCs/>
        </w:rPr>
      </w:pPr>
      <w:r w:rsidRPr="008E5BF1">
        <w:rPr>
          <w:b w:val="0"/>
          <w:bCs/>
        </w:rPr>
        <w:t>k predlogu Komisije za</w:t>
      </w:r>
    </w:p>
    <w:p w14:paraId="44524166" w14:textId="40E8EA62" w:rsidR="008E5BF1" w:rsidRPr="008E5BF1" w:rsidRDefault="008E5BF1" w:rsidP="008E5BF1">
      <w:pPr>
        <w:pStyle w:val="Titreobjet"/>
        <w:rPr>
          <w:b w:val="0"/>
          <w:bCs/>
        </w:rPr>
      </w:pPr>
      <w:r w:rsidRPr="008E5BF1">
        <w:rPr>
          <w:b w:val="0"/>
          <w:bCs/>
        </w:rPr>
        <w:t>---------------------------------------------------------</w:t>
      </w:r>
    </w:p>
    <w:p w14:paraId="2169E04E" w14:textId="3B19839E" w:rsidR="00BC2082" w:rsidRPr="0076224F" w:rsidRDefault="00BC2082" w:rsidP="001D4C8A">
      <w:pPr>
        <w:pStyle w:val="Typedudocument"/>
        <w:spacing w:line="360" w:lineRule="auto"/>
        <w:rPr>
          <w:noProof/>
        </w:rPr>
      </w:pPr>
      <w:r w:rsidRPr="0076224F">
        <w:t>UREDBA SVETA</w:t>
      </w:r>
    </w:p>
    <w:p w14:paraId="75CED81D" w14:textId="77777777" w:rsidR="00BC2082" w:rsidRPr="0076224F" w:rsidRDefault="00BC2082" w:rsidP="001D4C8A">
      <w:pPr>
        <w:pStyle w:val="Titreobjet"/>
        <w:spacing w:line="360" w:lineRule="auto"/>
        <w:rPr>
          <w:noProof/>
        </w:rPr>
      </w:pPr>
      <w:r w:rsidRPr="0076224F">
        <w:t>o spremembi Uredbe Sveta (EU) 2021/1173 z dne 13. julija 2021 o ustanovitvi Skupnega podjetja za evropsko visokozmogljivostno računalništvo in razveljavitvi Uredbe (EU) 2018/1488</w:t>
      </w:r>
    </w:p>
    <w:p w14:paraId="1B45D131" w14:textId="77777777" w:rsidR="00BC2082" w:rsidRPr="0076224F" w:rsidRDefault="00BC2082" w:rsidP="001D4C8A">
      <w:pPr>
        <w:pStyle w:val="Institutionquiagit"/>
        <w:spacing w:line="360" w:lineRule="auto"/>
        <w:rPr>
          <w:noProof/>
        </w:rPr>
      </w:pPr>
      <w:r w:rsidRPr="0076224F">
        <w:t>SVET EVROPSKE UNIJE –</w:t>
      </w:r>
    </w:p>
    <w:p w14:paraId="6076F3A1" w14:textId="77777777" w:rsidR="00BC2082" w:rsidRPr="0076224F" w:rsidRDefault="00BC2082" w:rsidP="001D4C8A">
      <w:pPr>
        <w:spacing w:line="360" w:lineRule="auto"/>
        <w:rPr>
          <w:noProof/>
        </w:rPr>
      </w:pPr>
      <w:r w:rsidRPr="0076224F">
        <w:t>ob upoštevanju Pogodbe o delovanju Evropske unije ter zlasti člena 187 in člena 188, prvi odstavek, Pogodbe,</w:t>
      </w:r>
    </w:p>
    <w:p w14:paraId="4E6D557C" w14:textId="77777777" w:rsidR="00BC2082" w:rsidRPr="0076224F" w:rsidRDefault="00BC2082" w:rsidP="001D4C8A">
      <w:pPr>
        <w:spacing w:line="360" w:lineRule="auto"/>
        <w:rPr>
          <w:noProof/>
        </w:rPr>
      </w:pPr>
      <w:r w:rsidRPr="0076224F">
        <w:t>ob upoštevanju predloga Evropske komisije,</w:t>
      </w:r>
    </w:p>
    <w:p w14:paraId="53754266" w14:textId="77777777" w:rsidR="00BC2082" w:rsidRPr="0076224F" w:rsidRDefault="00BC2082" w:rsidP="001D4C8A">
      <w:pPr>
        <w:spacing w:line="360" w:lineRule="auto"/>
        <w:rPr>
          <w:noProof/>
        </w:rPr>
      </w:pPr>
      <w:r w:rsidRPr="0076224F">
        <w:t>ob upoštevanju mnenja Evropskega parlamenta</w:t>
      </w:r>
      <w:r w:rsidRPr="0076224F">
        <w:rPr>
          <w:rStyle w:val="FootnoteReference"/>
          <w:noProof/>
        </w:rPr>
        <w:footnoteReference w:id="2"/>
      </w:r>
      <w:r w:rsidRPr="0076224F">
        <w:t>,</w:t>
      </w:r>
    </w:p>
    <w:p w14:paraId="5481206A" w14:textId="77777777" w:rsidR="00BC2082" w:rsidRPr="0076224F" w:rsidRDefault="00BC2082" w:rsidP="001D4C8A">
      <w:pPr>
        <w:spacing w:line="360" w:lineRule="auto"/>
        <w:rPr>
          <w:noProof/>
        </w:rPr>
      </w:pPr>
      <w:r w:rsidRPr="0076224F">
        <w:t>ob upoštevanju mnenja Evropskega ekonomsko-socialnega odbora</w:t>
      </w:r>
      <w:r w:rsidRPr="0076224F">
        <w:rPr>
          <w:rStyle w:val="FootnoteReference"/>
          <w:noProof/>
        </w:rPr>
        <w:footnoteReference w:id="3"/>
      </w:r>
      <w:r w:rsidRPr="0076224F">
        <w:t xml:space="preserve">, </w:t>
      </w:r>
    </w:p>
    <w:p w14:paraId="78C568C8" w14:textId="77777777" w:rsidR="00BC2082" w:rsidRPr="0076224F" w:rsidRDefault="00BC2082" w:rsidP="001D4C8A">
      <w:pPr>
        <w:spacing w:line="360" w:lineRule="auto"/>
        <w:rPr>
          <w:noProof/>
        </w:rPr>
      </w:pPr>
      <w:r w:rsidRPr="0076224F">
        <w:t>ker:</w:t>
      </w:r>
    </w:p>
    <w:p w14:paraId="4851BE89" w14:textId="77777777" w:rsidR="00BC2082" w:rsidRPr="0076224F" w:rsidRDefault="00BC2082" w:rsidP="001D4C8A">
      <w:pPr>
        <w:pStyle w:val="ManualConsidrant"/>
        <w:spacing w:line="360" w:lineRule="auto"/>
        <w:jc w:val="left"/>
        <w:rPr>
          <w:noProof/>
        </w:rPr>
      </w:pPr>
      <w:r w:rsidRPr="0076224F">
        <w:t>(1)</w:t>
      </w:r>
      <w:r w:rsidRPr="0076224F">
        <w:tab/>
        <w:t xml:space="preserve">Cilj Uredbe (EU) 2024/1689 Evropskega parlamenta in Sveta o določitvi harmoniziranih pravil o umetni inteligenci (akt o umetni inteligenci) je izboljšati delovanje notranjega trga z določitvijo enotnega pravnega okvira, zlasti za razvoj, trženje in uporabo umetne inteligence v skladu z vrednotami Unije. </w:t>
      </w:r>
    </w:p>
    <w:p w14:paraId="03076D9B" w14:textId="77777777" w:rsidR="00BC2082" w:rsidRPr="0076224F" w:rsidRDefault="00BC2082" w:rsidP="001D4C8A">
      <w:pPr>
        <w:pStyle w:val="ManualConsidrant"/>
        <w:spacing w:line="360" w:lineRule="auto"/>
        <w:rPr>
          <w:noProof/>
        </w:rPr>
      </w:pPr>
      <w:r w:rsidRPr="0076224F">
        <w:rPr>
          <w:b/>
          <w:i/>
        </w:rPr>
        <w:lastRenderedPageBreak/>
        <w:t>(1a)</w:t>
      </w:r>
      <w:r w:rsidRPr="0076224F">
        <w:tab/>
      </w:r>
      <w:r w:rsidRPr="0076224F">
        <w:rPr>
          <w:b/>
          <w:i/>
        </w:rPr>
        <w:t>V Uredbi (EU) 2021/695 Evropskega parlamenta in Sveta</w:t>
      </w:r>
      <w:r w:rsidRPr="0076224F">
        <w:rPr>
          <w:rStyle w:val="FootnoteReference"/>
          <w:rFonts w:eastAsia="Times New Roman"/>
          <w:b/>
          <w:i/>
          <w:szCs w:val="24"/>
          <w:lang w:eastAsia="en-GB"/>
        </w:rPr>
        <w:footnoteReference w:id="4"/>
      </w:r>
      <w:r w:rsidRPr="0076224F">
        <w:rPr>
          <w:b/>
          <w:i/>
        </w:rPr>
        <w:t xml:space="preserve"> je določen okvir za porabo Unije na področju raziskav in inovacij, vključno z vrstami ukrepov in odhodkov, ki se lahko financirajo v tem okviru.</w:t>
      </w:r>
    </w:p>
    <w:p w14:paraId="4F0492FF" w14:textId="77777777" w:rsidR="00BC2082" w:rsidRPr="0076224F" w:rsidRDefault="00BC2082" w:rsidP="001D4C8A">
      <w:pPr>
        <w:pStyle w:val="ManualConsidrant"/>
        <w:spacing w:line="360" w:lineRule="auto"/>
        <w:jc w:val="left"/>
        <w:rPr>
          <w:noProof/>
        </w:rPr>
      </w:pPr>
      <w:r w:rsidRPr="0076224F">
        <w:t>(2)</w:t>
      </w:r>
      <w:r w:rsidRPr="0076224F">
        <w:tab/>
        <w:t>Od leta 2021, ko je bila sprejeta Uredba Sveta (EU) 2021/1173, je na področju umetne inteligence (UI) prišlo do ogromnega tehničnega napredka, področje pa je na svetovni ravni postalo zelo strateško in sporno. Evropska unija je v ospredju prizadevanj za podporo odgovornim inovacijam na področju umetne inteligence, saj usmerja inovacije, uvaja zaščitne ukrepe in razvija globalno upravljanje.</w:t>
      </w:r>
    </w:p>
    <w:p w14:paraId="7D88299C" w14:textId="77777777" w:rsidR="00BC2082" w:rsidRPr="0076224F" w:rsidRDefault="00BC2082" w:rsidP="001D4C8A">
      <w:pPr>
        <w:pStyle w:val="ManualConsidrant"/>
        <w:spacing w:line="360" w:lineRule="auto"/>
        <w:jc w:val="left"/>
        <w:rPr>
          <w:rFonts w:eastAsia="Times New Roman"/>
          <w:noProof/>
        </w:rPr>
      </w:pPr>
      <w:r w:rsidRPr="0076224F">
        <w:t>(3)</w:t>
      </w:r>
      <w:r w:rsidRPr="0076224F">
        <w:tab/>
        <w:t xml:space="preserve">Veliki umetnointeligenčni sistemi za splošne namene so postali ključni dejavniki gospodarske konkurenčnosti in inovacij. Postajajo ključni za povečanje produktivnosti v različnih sektorjih in preoblikovanje celotnih vrednostnih verig, s čimer določajo prihodnje ustvarjanje gospodarske vrednosti. Pričakuje se, da bo naslednja generacija najnaprednejših umetnointeligenčnih modelov omogočila preskok v zmogljivostih v smeri splošne umetne inteligence, ki bo zmožna opravljati zelo kompleksne in raznovrstne naloge in bo tako dosegla človeške zmogljivosti, </w:t>
      </w:r>
      <w:r w:rsidRPr="0076224F">
        <w:rPr>
          <w:b/>
          <w:bCs/>
          <w:i/>
          <w:iCs/>
        </w:rPr>
        <w:t>hkrati pa bi lahko prinesla nova družbena tveganja</w:t>
      </w:r>
      <w:r w:rsidRPr="0076224F">
        <w:t xml:space="preserve">. Regije, ki bodo sposobne </w:t>
      </w:r>
      <w:r w:rsidRPr="0076224F">
        <w:rPr>
          <w:b/>
          <w:bCs/>
          <w:i/>
          <w:iCs/>
        </w:rPr>
        <w:t>trajnostno in varno</w:t>
      </w:r>
      <w:r w:rsidRPr="0076224F">
        <w:rPr>
          <w:i/>
          <w:iCs/>
        </w:rPr>
        <w:t xml:space="preserve"> </w:t>
      </w:r>
      <w:r w:rsidRPr="0076224F">
        <w:t xml:space="preserve">razvijati in uvajati te umetnointeligenčne modele v velikem obsegu, bodo vodilne v svetovnih inovacijah ter bodo </w:t>
      </w:r>
      <w:r w:rsidRPr="0076224F">
        <w:rPr>
          <w:b/>
          <w:bCs/>
          <w:i/>
          <w:iCs/>
        </w:rPr>
        <w:t>spodbujale zaupanje</w:t>
      </w:r>
      <w:r w:rsidRPr="0076224F">
        <w:t xml:space="preserve"> </w:t>
      </w:r>
      <w:r w:rsidRPr="0076224F">
        <w:rPr>
          <w:b/>
          <w:bCs/>
          <w:i/>
          <w:iCs/>
        </w:rPr>
        <w:t>in</w:t>
      </w:r>
      <w:r w:rsidRPr="0076224F">
        <w:t xml:space="preserve"> privabile vrhunske talente. Hkrati sektorji, ki so vodilni v znanosti in industriji, kot so </w:t>
      </w:r>
      <w:r w:rsidRPr="0076224F">
        <w:rPr>
          <w:b/>
          <w:bCs/>
          <w:i/>
          <w:iCs/>
        </w:rPr>
        <w:t>kmetijska</w:t>
      </w:r>
      <w:r w:rsidRPr="0076224F">
        <w:t xml:space="preserve"> tehnologija, biotehnologija, podnebje, avtomobilska industrija, obramba ter letalska in vesoljska industrija, zahtevajo obsežne računalniške vire za pomembna znanstvena odkritja in industrijske inovacije, ki temeljijo na umetni inteligenci. Sinergije med temi dejavnostmi in dejavnostmi, ki se izvajajo v okviru drugih programov Unije, kot je vesoljski program EU, bodo izkoriščene, pri čemer bodo vzpostavljeni ustrezni zaščitni ukrepi za zaščito strateških interesov Unije in njenih držav članic.</w:t>
      </w:r>
    </w:p>
    <w:p w14:paraId="6BB148DE" w14:textId="77777777" w:rsidR="00BC2082" w:rsidRPr="0076224F" w:rsidRDefault="00BC2082" w:rsidP="001D4C8A">
      <w:pPr>
        <w:pStyle w:val="ManualConsidrant"/>
        <w:spacing w:line="360" w:lineRule="auto"/>
        <w:jc w:val="left"/>
        <w:rPr>
          <w:noProof/>
        </w:rPr>
      </w:pPr>
      <w:r w:rsidRPr="0076224F">
        <w:t>(4)</w:t>
      </w:r>
      <w:r w:rsidRPr="0076224F">
        <w:tab/>
        <w:t xml:space="preserve">Najnaprednejše tovarne umetne inteligence v Evropi bodo opremljene s superračunalniki z do 25 000 naprednimi procesorji za umetno inteligenco, kar bo omogočalo le razvoj srednje zmogljivih umetnointeligenčnih modelov. Zato so potrebne znatne naložbe, da bi lahko Evropa povečala svoje računalniške zmogljivosti </w:t>
      </w:r>
      <w:r w:rsidRPr="0076224F">
        <w:rPr>
          <w:b/>
          <w:bCs/>
          <w:i/>
          <w:iCs/>
        </w:rPr>
        <w:lastRenderedPageBreak/>
        <w:t>ter zagotovila s tem povezane storitve za uporabo raznolikega, decentraliziranega in nemonolitnega ekosistema uporabnikov, značilnega za inovativne tehnologije v Uniji, ter hkrati vzpostavila objekte naslednje generacije, ki omogočajo razvoj najnaprednejših modelov umetne inteligence</w:t>
      </w:r>
      <w:r w:rsidRPr="0076224F">
        <w:rPr>
          <w:i/>
          <w:iCs/>
        </w:rPr>
        <w:t>.</w:t>
      </w:r>
    </w:p>
    <w:p w14:paraId="0B456EF4" w14:textId="77777777" w:rsidR="00BC2082" w:rsidRPr="0076224F" w:rsidRDefault="00BC2082" w:rsidP="001D4C8A">
      <w:pPr>
        <w:pStyle w:val="ManualConsidrant"/>
        <w:spacing w:line="360" w:lineRule="auto"/>
        <w:jc w:val="left"/>
        <w:rPr>
          <w:noProof/>
        </w:rPr>
      </w:pPr>
      <w:r w:rsidRPr="0076224F">
        <w:t>(5)</w:t>
      </w:r>
      <w:r w:rsidRPr="0076224F">
        <w:tab/>
        <w:t>Komisija je 9. aprila 2025 začela izvajati akcijski načrt za celino umetne inteligence</w:t>
      </w:r>
      <w:r w:rsidRPr="0076224F">
        <w:rPr>
          <w:rStyle w:val="FootnoteReference"/>
          <w:noProof/>
        </w:rPr>
        <w:footnoteReference w:id="5"/>
      </w:r>
      <w:r w:rsidRPr="0076224F">
        <w:t xml:space="preserve"> za uveljavitev Unije kot vodilne sile na svetu na področju umetne inteligence. Osrednji steber te strategije je krepitev vseevropske infrastrukture za učenje naprednih umetnointeligenčnih modelov, s čimer se bo koncept tovarn umetne inteligence iz leta 2024 dvignil na višjo raven</w:t>
      </w:r>
      <w:r w:rsidRPr="0076224F">
        <w:rPr>
          <w:b/>
          <w:bCs/>
          <w:i/>
          <w:iCs/>
        </w:rPr>
        <w:t>, dostop do teh računalniških zmogljivosti pa se bo razširili po vsej Uniji.</w:t>
      </w:r>
      <w:r w:rsidRPr="0076224F">
        <w:t xml:space="preserve"> </w:t>
      </w:r>
      <w:r w:rsidRPr="0076224F">
        <w:rPr>
          <w:b/>
          <w:i/>
        </w:rPr>
        <w:t>Zato se uravnotežena geografska porazdelitev teh objektov šteje kot pozitiven prispevek k izpolnjevanju meril, povezanih z morebitnim učinkom.</w:t>
      </w:r>
      <w:r w:rsidRPr="0076224F">
        <w:t xml:space="preserve"> </w:t>
      </w:r>
    </w:p>
    <w:p w14:paraId="01BE3553" w14:textId="77777777" w:rsidR="00BC2082" w:rsidRPr="0076224F" w:rsidRDefault="00BC2082" w:rsidP="001D4C8A">
      <w:pPr>
        <w:pStyle w:val="ManualConsidrant"/>
        <w:spacing w:line="360" w:lineRule="auto"/>
        <w:jc w:val="left"/>
        <w:rPr>
          <w:b/>
          <w:i/>
          <w:noProof/>
        </w:rPr>
      </w:pPr>
      <w:r w:rsidRPr="0076224F">
        <w:rPr>
          <w:b/>
          <w:i/>
        </w:rPr>
        <w:t>(5a)</w:t>
      </w:r>
      <w:r w:rsidRPr="0076224F">
        <w:tab/>
      </w:r>
      <w:r w:rsidRPr="0076224F">
        <w:rPr>
          <w:b/>
          <w:i/>
        </w:rPr>
        <w:t>Da bi zagotovili, da lahko MSP, mikropodjetja in podjetja s srednje veliko tržno kapitalizacijo v praksi uporabljajo gigatovarne umetne inteligence v skladu s svojimi operativnimi zmogljivostmi in pričakovano uporabo, bi bilo treba olajšati in poenostaviti postopek prijave in dostop do njih, da bi se zmanjšale upravne ovire.</w:t>
      </w:r>
      <w:r w:rsidRPr="0076224F">
        <w:rPr>
          <w:rFonts w:ascii="Calibri" w:hAnsi="Calibri"/>
          <w:i/>
          <w:sz w:val="21"/>
        </w:rPr>
        <w:t xml:space="preserve"> </w:t>
      </w:r>
    </w:p>
    <w:p w14:paraId="79106AD8" w14:textId="4DBC9EFE" w:rsidR="00BC2082" w:rsidRPr="0076224F" w:rsidRDefault="00BC2082" w:rsidP="001D4C8A">
      <w:pPr>
        <w:pStyle w:val="ManualConsidrant"/>
        <w:spacing w:line="360" w:lineRule="auto"/>
        <w:jc w:val="left"/>
        <w:rPr>
          <w:noProof/>
        </w:rPr>
      </w:pPr>
      <w:r w:rsidRPr="0076224F">
        <w:t>(6)</w:t>
      </w:r>
      <w:r w:rsidRPr="0076224F">
        <w:tab/>
        <w:t xml:space="preserve">Pričakuje se, da bodo za razvoj naslednje generacije najnaprednejših umetnointeligenčnih modelov potrebni obsežni objekti z vsaj tri- do štirikrat večjim številom najnaprednejših procesorjev za umetno inteligenco, kot jih je zdaj na voljo v najzmogljivejših tovarnah umetne inteligence, ob upoštevanju zmogljivosti za proizvodnjo električne energije ter porabe energije </w:t>
      </w:r>
      <w:r w:rsidRPr="0076224F">
        <w:rPr>
          <w:b/>
          <w:i/>
        </w:rPr>
        <w:t>in</w:t>
      </w:r>
      <w:r w:rsidRPr="0076224F">
        <w:t xml:space="preserve"> </w:t>
      </w:r>
      <w:r w:rsidRPr="0076224F">
        <w:rPr>
          <w:b/>
          <w:bCs/>
          <w:i/>
        </w:rPr>
        <w:t>dostopnosti</w:t>
      </w:r>
      <w:r w:rsidRPr="0076224F">
        <w:t xml:space="preserve"> vode ter krožnosti. Obstoječi mehanizmi iz Uredbe </w:t>
      </w:r>
      <w:r w:rsidR="008E5BF1">
        <w:t xml:space="preserve">(EU) </w:t>
      </w:r>
      <w:r w:rsidRPr="0076224F">
        <w:t xml:space="preserve">2021/1173 trenutno niso prilagojeni za podporo vzpostavitvi in delovanju gigatovarn umetne inteligence. Zato je potrebna </w:t>
      </w:r>
      <w:r w:rsidRPr="0076224F">
        <w:rPr>
          <w:rFonts w:ascii="Arial" w:hAnsi="Arial"/>
        </w:rPr>
        <w:t>▌</w:t>
      </w:r>
      <w:r w:rsidRPr="0076224F">
        <w:t>sprememba, da se Skupnemu podjetju za evropsko visokozmogljivostno računalništvo (v nadaljnjem besedilu: Skupno podjetje) zagotovi potrebna pravna podlaga za izpolnjevanje zavez glede vzpostavitve in upravljanja gigatovarn umetne inteligence v Evropi.</w:t>
      </w:r>
    </w:p>
    <w:p w14:paraId="05DFDB6F" w14:textId="77777777" w:rsidR="00BC2082" w:rsidRPr="0076224F" w:rsidRDefault="00BC2082" w:rsidP="001D4C8A">
      <w:pPr>
        <w:pStyle w:val="ManualConsidrant"/>
        <w:spacing w:line="360" w:lineRule="auto"/>
        <w:jc w:val="left"/>
        <w:rPr>
          <w:noProof/>
        </w:rPr>
      </w:pPr>
      <w:r w:rsidRPr="0076224F">
        <w:rPr>
          <w:b/>
          <w:i/>
        </w:rPr>
        <w:t>(6a)</w:t>
      </w:r>
      <w:r w:rsidRPr="0076224F">
        <w:tab/>
      </w:r>
      <w:r w:rsidRPr="0076224F">
        <w:rPr>
          <w:b/>
          <w:bCs/>
          <w:i/>
          <w:iCs/>
        </w:rPr>
        <w:t>V skladu s posebnim poročilom o svetovni energetski prihodnosti Mednarodne agencije za energijo z naslovom Energy and AI (Energija in umetna inteligenca) vse večje računalniške delovne obremenitve, specifične za umetno inteligenco, prinašajo izredne nove zahteve za električno omrežje:</w:t>
      </w:r>
      <w:r w:rsidRPr="0076224F">
        <w:rPr>
          <w:b/>
          <w:i/>
        </w:rPr>
        <w:t xml:space="preserve"> na svetovni ravni naj bi se poraba </w:t>
      </w:r>
      <w:r w:rsidRPr="0076224F">
        <w:rPr>
          <w:b/>
          <w:i/>
        </w:rPr>
        <w:lastRenderedPageBreak/>
        <w:t>električne energije v podatkovnih centrih več kot podvojila, in sicer s približno 415 teravatnih ur (TWh) leta 2024 na približno 945 TWh do leta 2030. Pričakuje se, da bodo strežniške operacije, ki temeljijo na umetni inteligenci, vsako leto narasle za približno 30 % in bodo predstavljale glavni delež povečanja porabe. V zvezi s tem morajo naložbe in podporni ukrepi vključevati zanesljivo načrtovanje za medsebojno povezovanje omrežij, hladilno infrastrukturo, upravljanje povpraševanja in vključevanje oskrbe z energijo iz obnovljivih virov. Ustrezno je treba obravnavati tveganja lokalne obremenitve omrežja, dragega naknadnega opremljanja in uskladitve s podnebnimi cilji.</w:t>
      </w:r>
    </w:p>
    <w:p w14:paraId="77F1D835" w14:textId="77777777" w:rsidR="00BC2082" w:rsidRPr="0076224F" w:rsidRDefault="00BC2082" w:rsidP="001D4C8A">
      <w:pPr>
        <w:pStyle w:val="ManualConsidrant"/>
        <w:spacing w:line="360" w:lineRule="auto"/>
        <w:jc w:val="left"/>
        <w:rPr>
          <w:b/>
          <w:i/>
          <w:noProof/>
        </w:rPr>
      </w:pPr>
      <w:r w:rsidRPr="0076224F">
        <w:t>(7)</w:t>
      </w:r>
      <w:r w:rsidRPr="0076224F">
        <w:tab/>
        <w:t xml:space="preserve">Krepitev znanstvenih in tehnoloških temeljev Unije je vse pomembnejša za njeno dolgoročno konkurenčnost in strateško avtonomijo. </w:t>
      </w:r>
      <w:r w:rsidRPr="0076224F">
        <w:rPr>
          <w:b/>
          <w:i/>
        </w:rPr>
        <w:t>Zato je bolj kot kadar koli prej pomembno ohraniti porabo Unije na področju raziskav in inovacij.</w:t>
      </w:r>
      <w:r w:rsidRPr="0076224F">
        <w:t xml:space="preserve"> Umetna inteligenca ima potencial, da pospeši znanstvena odkritja in okrepi raziskovalne zmogljivosti na vseh področjih. Zato je bistveno, da imajo zasebni in javni uporabniki umetne inteligence, zlasti MSP, </w:t>
      </w:r>
      <w:r w:rsidRPr="0076224F">
        <w:rPr>
          <w:b/>
          <w:bCs/>
          <w:i/>
          <w:iCs/>
        </w:rPr>
        <w:t>zagonska podjetja, podjetja v razširitveni fazi, mikropodjetja in raziskovalne organizacije, tudi tiste v neprofitnih ali predkonkurenčnih dejavnostih, v celotni</w:t>
      </w:r>
      <w:r w:rsidRPr="0076224F">
        <w:t xml:space="preserve"> Uniji koristi od superračunalniških infrastruktur svetovnega razreda, da bi ohranili in okrepili vodilni položaj Evrope na področju raziskav in inovacij. </w:t>
      </w:r>
      <w:r w:rsidRPr="0076224F">
        <w:rPr>
          <w:b/>
          <w:i/>
        </w:rPr>
        <w:t>Glede na njen strateški pomen in znatne potrebe po naložbah bi bilo treba posebno pozornost nameniti kakovosti in varnosti njene fizične, informacijskotehnološke in omrežne infrastrukture.</w:t>
      </w:r>
    </w:p>
    <w:p w14:paraId="140073E0" w14:textId="77777777" w:rsidR="00BC2082" w:rsidRPr="0076224F" w:rsidRDefault="00BC2082" w:rsidP="001D4C8A">
      <w:pPr>
        <w:pStyle w:val="ManualConsidrant"/>
        <w:spacing w:line="360" w:lineRule="auto"/>
        <w:jc w:val="left"/>
        <w:rPr>
          <w:noProof/>
        </w:rPr>
      </w:pPr>
      <w:r w:rsidRPr="0076224F">
        <w:rPr>
          <w:b/>
          <w:i/>
        </w:rPr>
        <w:t>(7a)</w:t>
      </w:r>
      <w:r w:rsidRPr="0076224F">
        <w:rPr>
          <w:b/>
          <w:i/>
        </w:rPr>
        <w:tab/>
        <w:t xml:space="preserve">Gigatovarne umetne inteligence bi morale spodbujati razvoj proizvodov in storitev, ki odražajo etična in pravna načela Unije. </w:t>
      </w:r>
    </w:p>
    <w:p w14:paraId="706A0D59" w14:textId="77777777" w:rsidR="00BC2082" w:rsidRPr="0076224F" w:rsidRDefault="00BC2082" w:rsidP="001D4C8A">
      <w:pPr>
        <w:pStyle w:val="ManualConsidrant"/>
        <w:spacing w:line="360" w:lineRule="auto"/>
        <w:jc w:val="left"/>
        <w:rPr>
          <w:noProof/>
        </w:rPr>
      </w:pPr>
      <w:r w:rsidRPr="0076224F">
        <w:t>(8)</w:t>
      </w:r>
      <w:r w:rsidRPr="0076224F">
        <w:tab/>
        <w:t>V kompasu Evropske komisije za konkurenčnost, sprejetem 29. januarja 2025, so opredeljene strateške tehnologije, vključno s kvantnimi tehnologijami in visokozmogljivostnim računalništvom, kot ključni stebri za zagotavljanje tehnološke suverenosti in gospodarske odpornosti Evrope ter njenega vodilnega položaja v svetu. V kompasu je poudarjena potreba po usklajenih naložbah in razvoju ekosistemov na področju raziskav, infrastrukture, industrije ter znanj in spretnosti za okrepitev konkurenčnosti Unije na teh področjih.</w:t>
      </w:r>
    </w:p>
    <w:p w14:paraId="2F8EF948" w14:textId="77777777" w:rsidR="00BC2082" w:rsidRPr="0076224F" w:rsidRDefault="00BC2082" w:rsidP="001D4C8A">
      <w:pPr>
        <w:pStyle w:val="ManualConsidrant"/>
        <w:spacing w:line="360" w:lineRule="auto"/>
        <w:jc w:val="left"/>
        <w:rPr>
          <w:noProof/>
        </w:rPr>
      </w:pPr>
      <w:r w:rsidRPr="0076224F">
        <w:t>(9)</w:t>
      </w:r>
      <w:r w:rsidRPr="0076224F">
        <w:tab/>
        <w:t xml:space="preserve">Dopolnjuje ga evropska strategija za kvantno tehnologijo, </w:t>
      </w:r>
      <w:r w:rsidRPr="0076224F">
        <w:rPr>
          <w:rFonts w:ascii="Arial" w:hAnsi="Arial"/>
        </w:rPr>
        <w:t>▌</w:t>
      </w:r>
      <w:r w:rsidRPr="0076224F">
        <w:t xml:space="preserve">sprejeta julija 2025, ki določa celovit okvir za pospešitev kvantnih raziskav, inovacij, industrializacije ter uvajanja kvantnih tehnologij in infrastruktur. Njen cilj je vzpostaviti trajnosten in </w:t>
      </w:r>
      <w:r w:rsidRPr="0076224F">
        <w:lastRenderedPageBreak/>
        <w:t xml:space="preserve">konkurenčen kvantni ekosistem, ki bo zajemal računalništvo, komunikacijo, zaznavanje in meroslovje, z močnim poudarkom na razvoju znanj in spretnosti ter mednarodnem sodelovanju. </w:t>
      </w:r>
      <w:r w:rsidRPr="0076224F">
        <w:rPr>
          <w:b/>
          <w:i/>
        </w:rPr>
        <w:t>Ker evropska strategija za kvantno tehnologijo prenaša financiranje raziskav in inovacij v okviru stebra II programa Obzorje Evropa za kvantno dejavnosti, bi bilo treba zagotoviti zadostno financiranje kvantnih dejavnosti v okviru Skupnega podjetja.</w:t>
      </w:r>
    </w:p>
    <w:p w14:paraId="1AFE1301" w14:textId="77777777" w:rsidR="00BC2082" w:rsidRPr="0076224F" w:rsidRDefault="00BC2082" w:rsidP="001D4C8A">
      <w:pPr>
        <w:pStyle w:val="ManualConsidrant"/>
        <w:spacing w:line="360" w:lineRule="auto"/>
        <w:jc w:val="left"/>
        <w:rPr>
          <w:noProof/>
        </w:rPr>
      </w:pPr>
      <w:r w:rsidRPr="0076224F">
        <w:t>(10)</w:t>
      </w:r>
      <w:r w:rsidRPr="0076224F">
        <w:tab/>
        <w:t xml:space="preserve">Glede na politični pomen </w:t>
      </w:r>
      <w:r w:rsidRPr="0076224F">
        <w:rPr>
          <w:b/>
          <w:bCs/>
          <w:i/>
          <w:iCs/>
        </w:rPr>
        <w:t>vzpostavitve gigatovarn umetne inteligence v Uniji</w:t>
      </w:r>
      <w:r w:rsidRPr="0076224F">
        <w:t xml:space="preserve"> bi bilo treba zneske, ki so bili prvotno dodeljeni iz programa </w:t>
      </w:r>
      <w:r w:rsidRPr="0076224F">
        <w:rPr>
          <w:rFonts w:ascii="Arial" w:hAnsi="Arial"/>
        </w:rPr>
        <w:t>▌</w:t>
      </w:r>
      <w:r w:rsidRPr="0076224F">
        <w:t xml:space="preserve">Digitalna Evropa in Instrumenta za povezovanje Evrope, povečati, da bi Unija lahko dosegla </w:t>
      </w:r>
      <w:r w:rsidRPr="0076224F">
        <w:rPr>
          <w:b/>
          <w:bCs/>
          <w:i/>
          <w:iCs/>
        </w:rPr>
        <w:t>ta</w:t>
      </w:r>
      <w:r w:rsidRPr="0076224F">
        <w:t xml:space="preserve"> cilj. </w:t>
      </w:r>
      <w:r w:rsidRPr="0076224F">
        <w:rPr>
          <w:b/>
          <w:i/>
        </w:rPr>
        <w:t xml:space="preserve">Poleg tega bi bilo treba uporabiti dodatni prispevek iz programa Obzorje Evropa, ki je posebej namenjen temu, da bi zagotovili gotovost glede odjema storitev, ki jih gigatovarne umetne inteligence zagotavljajo raziskovalcem, inovatorjem in zagonskim podjetjem. S tem bi okrepili poslovni vidik gigatovarn umetne inteligence, kar bi konzorcijem omogočilo sprostitev dodatnih finančnih sredstev. Vsi navedeni dodatni prispevki bi morali biti v skladu z veljavnimi pravnimi določbami in odvisni </w:t>
      </w:r>
      <w:r w:rsidRPr="0076224F">
        <w:t xml:space="preserve">od razpoložljivih proračunskih sredstev. </w:t>
      </w:r>
    </w:p>
    <w:p w14:paraId="202BCAA8" w14:textId="77777777" w:rsidR="00BC2082" w:rsidRPr="0076224F" w:rsidRDefault="00BC2082" w:rsidP="001D4C8A">
      <w:pPr>
        <w:pStyle w:val="ManualConsidrant"/>
        <w:spacing w:line="360" w:lineRule="auto"/>
        <w:jc w:val="left"/>
        <w:rPr>
          <w:noProof/>
        </w:rPr>
      </w:pPr>
      <w:r w:rsidRPr="0076224F">
        <w:rPr>
          <w:b/>
          <w:i/>
        </w:rPr>
        <w:t>(10a)</w:t>
      </w:r>
      <w:r w:rsidRPr="0076224F">
        <w:tab/>
      </w:r>
      <w:r w:rsidRPr="0076224F">
        <w:rPr>
          <w:b/>
          <w:i/>
        </w:rPr>
        <w:t>Namenski in jasno ločeni del dodatnega prispevka Unije za Skupno podjetje bi moral biti namenjen izključno raziskavam in inovacijam na področju kvantnih tehnologij. Prenosi med tem jasno ločenim proračunom in proračunom, ki je na voljo za visokozmogljivostno računalništvo in dejavnosti umetne inteligence, ne bi smeli biti dovoljeni. Države članice bi morale imeti možnosti, da svoj prispevek za Skupno podjetje povečajo za podporo raziskavam in inovacijam na področju kvantnih tehnologij. Vsak tak dodatni prispevek bi moral biti prav tako jasno ločen.</w:t>
      </w:r>
    </w:p>
    <w:p w14:paraId="4B0A58D6" w14:textId="77777777" w:rsidR="00BC2082" w:rsidRPr="0076224F" w:rsidRDefault="00BC2082" w:rsidP="001D4C8A">
      <w:pPr>
        <w:pStyle w:val="ManualConsidrant"/>
        <w:spacing w:line="360" w:lineRule="auto"/>
        <w:jc w:val="left"/>
        <w:rPr>
          <w:rFonts w:eastAsia="Calibri"/>
          <w:noProof/>
          <w:color w:val="000000" w:themeColor="text1"/>
          <w:szCs w:val="24"/>
        </w:rPr>
      </w:pPr>
      <w:r w:rsidRPr="0076224F">
        <w:t>(11)</w:t>
      </w:r>
      <w:r w:rsidRPr="0076224F">
        <w:tab/>
        <w:t>Glede na hiter tehnološki razvoj na tem področju in prilagajanje politike Unije na področju umetne inteligence bo v prihodnjih letih morda potrebno znatno dodatno financiranje Unije za gigatovarne umetne inteligence. Ob upoštevanju tega posebnega okvira politike bi moralo biti mogoče Skupnemu podjetju zaupati dodatna sredstva Unije, ki presegajo zneske iz člena 5(1)</w:t>
      </w:r>
      <w:r w:rsidRPr="0076224F">
        <w:rPr>
          <w:b/>
          <w:i/>
        </w:rPr>
        <w:t>, na podlagi ocene gospodarskega učinka, jasnega opisa predvidene uporabe dodeljenih sredstev in časovnega okvira za izvajanje</w:t>
      </w:r>
      <w:r w:rsidRPr="0076224F">
        <w:t>. Tak dodatni prispevek bi morali vsaj v enakem znesku zagotoviti tudi člani Skupnega podjetja razen Unije.</w:t>
      </w:r>
    </w:p>
    <w:p w14:paraId="66FEE05B" w14:textId="77777777" w:rsidR="00BC2082" w:rsidRPr="0076224F" w:rsidRDefault="00BC2082" w:rsidP="001D4C8A">
      <w:pPr>
        <w:pStyle w:val="ManualConsidrant"/>
        <w:spacing w:line="360" w:lineRule="auto"/>
        <w:jc w:val="left"/>
        <w:rPr>
          <w:noProof/>
        </w:rPr>
      </w:pPr>
      <w:r w:rsidRPr="0076224F">
        <w:t>(12)</w:t>
      </w:r>
      <w:r w:rsidRPr="0076224F">
        <w:tab/>
        <w:t xml:space="preserve">Da bi pospešile razvoj gigatovarn umetne inteligence po vsej Uniji, se lahko države članice odločijo, da bodo preostala sredstva v okviru mehanizma za okrevanje in </w:t>
      </w:r>
      <w:r w:rsidRPr="0076224F">
        <w:lastRenderedPageBreak/>
        <w:t>odpornost (RRF) uporabile za financiranje svojih nacionalnih prispevkov za gigatovarno umetne inteligence. V ta namen bi bilo treba državam članicam dovoliti, da Skupnemu podjetju zagotovijo prispevke za podporo projektom gigatovarn umetne inteligence.</w:t>
      </w:r>
    </w:p>
    <w:p w14:paraId="5AF2025C" w14:textId="77777777" w:rsidR="00BC2082" w:rsidRPr="0076224F" w:rsidRDefault="00BC2082" w:rsidP="001D4C8A">
      <w:pPr>
        <w:pStyle w:val="ManualConsidrant"/>
        <w:spacing w:line="360" w:lineRule="auto"/>
        <w:jc w:val="left"/>
        <w:rPr>
          <w:noProof/>
        </w:rPr>
      </w:pPr>
      <w:r w:rsidRPr="0076224F">
        <w:t>(13)</w:t>
      </w:r>
      <w:r w:rsidRPr="0076224F">
        <w:tab/>
        <w:t>Dodatni prispevki Unije za gigatovarne umetne inteligence iz drugih programov, ki niso navedeni v členu 5(1), bi morali biti prav tako mogoči s podpisom posebnih ad hoc sporazumov o prispevkih, pod pogojem, da en ali več članov Skupnega podjetja razen Unije prispevajo sorazmeren delež. V ustrezne sporazume o prispevkih se v skladu z ustreznim delovnim programom Komisije vključita jasen opis predvidene uporabe zaupanih sredstev ter časovni okvir izvajanja.</w:t>
      </w:r>
    </w:p>
    <w:p w14:paraId="11517491" w14:textId="77777777" w:rsidR="00BC2082" w:rsidRPr="0076224F" w:rsidRDefault="00BC2082" w:rsidP="001D4C8A">
      <w:pPr>
        <w:pStyle w:val="ManualConsidrant"/>
        <w:spacing w:line="360" w:lineRule="auto"/>
        <w:jc w:val="left"/>
        <w:rPr>
          <w:noProof/>
        </w:rPr>
      </w:pPr>
      <w:r w:rsidRPr="0076224F">
        <w:rPr>
          <w:b/>
          <w:i/>
        </w:rPr>
        <w:t>(13a)</w:t>
      </w:r>
      <w:r w:rsidRPr="0076224F">
        <w:tab/>
      </w:r>
      <w:r w:rsidRPr="0076224F">
        <w:rPr>
          <w:b/>
          <w:i/>
        </w:rPr>
        <w:t>Ker obsežno uvajanje visokozmogljivostnih računalniških sistemov in infrastrukture za umetno inteligenco z veliko zmogljivostjo vključuje znatno porabo energije in virov, bi bilo treba to infrastrukturo zasnovati in upravljati v skladu s cilji Unije glede podnebne nevtralnosti in energijske učinkovitosti, vključno s pridobivanjem energije iz obnovljivih virov, učinkovitim hlajenjem in izrabo odpadne toplote.</w:t>
      </w:r>
    </w:p>
    <w:p w14:paraId="5C18E179" w14:textId="77777777" w:rsidR="00BC2082" w:rsidRPr="0076224F" w:rsidRDefault="00BC2082" w:rsidP="001D4C8A">
      <w:pPr>
        <w:pStyle w:val="Formuledadoption"/>
        <w:spacing w:line="360" w:lineRule="auto"/>
        <w:rPr>
          <w:noProof/>
        </w:rPr>
      </w:pPr>
      <w:r w:rsidRPr="0076224F">
        <w:t>SPREJEL NASLEDNJO UREDBO:</w:t>
      </w:r>
    </w:p>
    <w:p w14:paraId="418ED4F8" w14:textId="77777777" w:rsidR="00BC2082" w:rsidRPr="0076224F" w:rsidRDefault="00BC2082" w:rsidP="001D4C8A">
      <w:pPr>
        <w:pStyle w:val="Titrearticle"/>
        <w:spacing w:line="360" w:lineRule="auto"/>
        <w:rPr>
          <w:noProof/>
        </w:rPr>
      </w:pPr>
      <w:bookmarkStart w:id="8" w:name="_Hlk199335603"/>
      <w:r w:rsidRPr="0076224F">
        <w:t>Člen 1</w:t>
      </w:r>
    </w:p>
    <w:p w14:paraId="1F8D0B28" w14:textId="77777777" w:rsidR="00BC2082" w:rsidRPr="0076224F" w:rsidRDefault="00BC2082" w:rsidP="001D4C8A">
      <w:pPr>
        <w:spacing w:line="360" w:lineRule="auto"/>
        <w:rPr>
          <w:noProof/>
        </w:rPr>
      </w:pPr>
      <w:r w:rsidRPr="0076224F">
        <w:t>Uredba (EU) 2021/1173 se spremeni:</w:t>
      </w:r>
    </w:p>
    <w:bookmarkEnd w:id="8"/>
    <w:p w14:paraId="00F1C7F0" w14:textId="77777777" w:rsidR="00BC2082" w:rsidRPr="0076224F" w:rsidRDefault="00BC2082" w:rsidP="001D4C8A">
      <w:pPr>
        <w:pStyle w:val="Point0"/>
        <w:spacing w:line="360" w:lineRule="auto"/>
        <w:jc w:val="left"/>
        <w:rPr>
          <w:noProof/>
        </w:rPr>
      </w:pPr>
      <w:r w:rsidRPr="0076224F">
        <w:t>(1)</w:t>
      </w:r>
      <w:r w:rsidRPr="0076224F">
        <w:tab/>
        <w:t>člen 2 se spremeni:</w:t>
      </w:r>
    </w:p>
    <w:p w14:paraId="569003D3" w14:textId="77777777" w:rsidR="00BC2082" w:rsidRPr="0076224F" w:rsidRDefault="00BC2082" w:rsidP="001D4C8A">
      <w:pPr>
        <w:pStyle w:val="Point0"/>
        <w:spacing w:line="360" w:lineRule="auto"/>
        <w:jc w:val="left"/>
        <w:rPr>
          <w:noProof/>
        </w:rPr>
      </w:pPr>
      <w:r w:rsidRPr="0076224F">
        <w:t>(2)</w:t>
      </w:r>
      <w:r w:rsidRPr="0076224F">
        <w:tab/>
        <w:t>doda se naslednja točka 3c:</w:t>
      </w:r>
    </w:p>
    <w:p w14:paraId="6DEF93FC" w14:textId="612B4E5E" w:rsidR="00BC2082" w:rsidRPr="0076224F" w:rsidRDefault="001D4C8A" w:rsidP="001D4C8A">
      <w:pPr>
        <w:pStyle w:val="Text1"/>
        <w:spacing w:line="360" w:lineRule="auto"/>
        <w:ind w:left="1418" w:hanging="568"/>
        <w:jc w:val="left"/>
        <w:rPr>
          <w:noProof/>
          <w:color w:val="000000" w:themeColor="text1"/>
        </w:rPr>
      </w:pPr>
      <w:r w:rsidRPr="0076224F">
        <w:t>„</w:t>
      </w:r>
      <w:r w:rsidR="00BC2082" w:rsidRPr="0076224F">
        <w:t>(3c)</w:t>
      </w:r>
      <w:r w:rsidR="00E84B9B" w:rsidRPr="0076224F">
        <w:tab/>
      </w:r>
      <w:r w:rsidR="00BC2082" w:rsidRPr="0076224F">
        <w:tab/>
        <w:t>‚gigatovarna umetne inteligence‘ ali ‚tovarna umetne inteligence‘ pomeni najsodobnejši obsežen objekt</w:t>
      </w:r>
      <w:r w:rsidR="00BC2082" w:rsidRPr="0076224F">
        <w:rPr>
          <w:b/>
          <w:i/>
        </w:rPr>
        <w:t>, ki ima več kot 100 000 naprednih procesorjev za umetno inteligenco, kot je navedeno v sporočilu Komisije z dne 9. aprila 2025 o akcijskem načrtu za celino umetne inteligence</w:t>
      </w:r>
      <w:r w:rsidR="00BC2082" w:rsidRPr="0076224F">
        <w:t xml:space="preserve">, z zadostno zmogljivostjo za upravljanje celotnega življenjskega cikla – razvoja, učenja, izpopolnjevanja in obsežnega sklepanja – zelo velikih umetnointeligenčnih modelov in aplikacij, ki zagotavlja infrastrukturo za superračunalniške storitve, sestavljeno iz računalniške zmogljivosti, optimizirane za umetno inteligenco, podporne infrastrukture podatkovnih centrov (vključno z visoko zmogljivostjo za shranjevanje in visokozmogljivo omrežno povezljivostjo), namenskih varnih okolij za dostop uporabnikov v oblaku ter specializiranih varnih podpornih </w:t>
      </w:r>
      <w:r w:rsidR="00BC2082" w:rsidRPr="0076224F">
        <w:lastRenderedPageBreak/>
        <w:t>storitev, usmerjenih v umetno inteligenco, za njeno napredno delovanje, pri čemer jo podpira okoljsko trajnosten sistem oskrbe z energijo.“;</w:t>
      </w:r>
    </w:p>
    <w:p w14:paraId="1B0D2A27" w14:textId="77777777" w:rsidR="00BC2082" w:rsidRPr="0076224F" w:rsidRDefault="00BC2082" w:rsidP="001D4C8A">
      <w:pPr>
        <w:pStyle w:val="Point0"/>
        <w:spacing w:line="360" w:lineRule="auto"/>
        <w:jc w:val="left"/>
        <w:rPr>
          <w:noProof/>
        </w:rPr>
      </w:pPr>
      <w:r w:rsidRPr="0076224F">
        <w:t>(3)</w:t>
      </w:r>
      <w:r w:rsidRPr="0076224F">
        <w:tab/>
        <w:t>doda se naslednja točka 3d:</w:t>
      </w:r>
    </w:p>
    <w:p w14:paraId="6316DA88" w14:textId="28790985" w:rsidR="00BC2082" w:rsidRPr="0076224F" w:rsidRDefault="001D4C8A" w:rsidP="001D4C8A">
      <w:pPr>
        <w:pStyle w:val="Text1"/>
        <w:spacing w:line="360" w:lineRule="auto"/>
        <w:ind w:left="1418" w:hanging="568"/>
        <w:jc w:val="left"/>
        <w:rPr>
          <w:noProof/>
        </w:rPr>
      </w:pPr>
      <w:r w:rsidRPr="0076224F">
        <w:t>„</w:t>
      </w:r>
      <w:r w:rsidR="00BC2082" w:rsidRPr="0076224F">
        <w:t>(3d)</w:t>
      </w:r>
      <w:r w:rsidR="00BC2082" w:rsidRPr="0076224F">
        <w:tab/>
        <w:t>‚konzorcij gigatovarne umetne inteligence‘ pomeni združenje pravnih subjektov, ustrezno ustanovljenih v Uniji, ki se združijo v konzorcij za namen vzpostavitve in upravljanja gigatovarne umetne inteligence ter določijo ustrezne vloge in odgovornosti teh subjektov za celotno življenjsko dobo gigatovarne umetne inteligence, ali nov pravni subjekt, ustanovljen za namen vzpostavitve in upravljanja gigatovarne umetne inteligence, ki ima pravno obliko, priznano v kateri koli državi članici. Konzorcij gigatovarne umetne inteligence se ustanovi za obdobje najmanj petih let. En ali več zasebnih partnerjev takega konzorcija lahko sodelujejo kot zasebni člani Skupnega podjetja.“;</w:t>
      </w:r>
    </w:p>
    <w:p w14:paraId="7ECA6E5E" w14:textId="77777777" w:rsidR="00BC2082" w:rsidRPr="0076224F" w:rsidRDefault="00BC2082" w:rsidP="001D4C8A">
      <w:pPr>
        <w:pStyle w:val="Point0"/>
        <w:spacing w:line="360" w:lineRule="auto"/>
        <w:jc w:val="left"/>
        <w:rPr>
          <w:noProof/>
        </w:rPr>
      </w:pPr>
      <w:r w:rsidRPr="0076224F">
        <w:t>(4)</w:t>
      </w:r>
      <w:r w:rsidRPr="0076224F">
        <w:tab/>
        <w:t>doda se naslednja točka 3e:</w:t>
      </w:r>
    </w:p>
    <w:p w14:paraId="36F8F99F" w14:textId="556A5CFD" w:rsidR="00BC2082" w:rsidRPr="0076224F" w:rsidRDefault="001D4C8A" w:rsidP="0076224F">
      <w:pPr>
        <w:pStyle w:val="Text1"/>
        <w:spacing w:line="360" w:lineRule="auto"/>
        <w:ind w:left="1418" w:hanging="567"/>
        <w:jc w:val="left"/>
        <w:rPr>
          <w:noProof/>
        </w:rPr>
      </w:pPr>
      <w:r w:rsidRPr="0076224F">
        <w:t>„</w:t>
      </w:r>
      <w:r w:rsidR="00BC2082" w:rsidRPr="0076224F">
        <w:t>(3e)</w:t>
      </w:r>
      <w:r w:rsidR="00E84B9B" w:rsidRPr="0076224F">
        <w:tab/>
      </w:r>
      <w:r w:rsidR="00BC2082" w:rsidRPr="0076224F">
        <w:t xml:space="preserve">‚koordinator </w:t>
      </w:r>
      <w:proofErr w:type="spellStart"/>
      <w:r w:rsidR="00BC2082" w:rsidRPr="0076224F">
        <w:t>gigatovarne</w:t>
      </w:r>
      <w:proofErr w:type="spellEnd"/>
      <w:r w:rsidR="00BC2082" w:rsidRPr="0076224F">
        <w:t xml:space="preserve"> umetne inteligence‘ pomeni pravni subjekt, ki je ustrezno ustanovljen v Uniji in veljavno obstaja v skladu z zakonodajo države članice sedeža</w:t>
      </w:r>
      <w:r w:rsidR="00BC2082" w:rsidRPr="0076224F">
        <w:rPr>
          <w:b/>
          <w:bCs/>
          <w:i/>
          <w:iCs/>
        </w:rPr>
        <w:t>, za katerega ne veljajo sodne ali finančne pogojenosti, ki izhajajo iz prava tretjih držav</w:t>
      </w:r>
      <w:r w:rsidR="00BC2082" w:rsidRPr="0076224F">
        <w:t>, je pravno pooblaščen za zastopanje konzorcija gigatovarne umetne inteligence ter ima pravno sposobnost in pooblastila za sklenitev, izvrševanje in izvajanje sporazuma o gostiteljstvu gigatovarne umetne inteligence; koordinator gigatovarne umetne inteligence ima sedež v Uniji in je pod neposrednim ali posrednim nadzorom pravnih ali fizičnih oseb s sedežem v Uniji, bodisi prek lastniškega deleža bodisi na druge načine, kot so opredeljeni v poglavju IV Uredbe (EU) 2024/1624 in ustreznih načelih konkurenčnega prava Unije. Koordinator je lahko tudi obstoječi gostiteljski subjekt, ki zastopa sodelujočo državo, ki je država članica, ali gostiteljski konzorcij sodelujočih držav.“;</w:t>
      </w:r>
    </w:p>
    <w:p w14:paraId="088D0AC7" w14:textId="77777777" w:rsidR="00BC2082" w:rsidRPr="0076224F" w:rsidRDefault="00BC2082" w:rsidP="001D4C8A">
      <w:pPr>
        <w:pStyle w:val="Point0"/>
        <w:spacing w:line="360" w:lineRule="auto"/>
        <w:jc w:val="left"/>
        <w:rPr>
          <w:noProof/>
        </w:rPr>
      </w:pPr>
      <w:r w:rsidRPr="0076224F">
        <w:t>(5)</w:t>
      </w:r>
      <w:r w:rsidRPr="0076224F">
        <w:tab/>
        <w:t>doda se naslednja točka 3f:</w:t>
      </w:r>
    </w:p>
    <w:p w14:paraId="25E328BF" w14:textId="6C7E44E0" w:rsidR="00BC2082" w:rsidRPr="0076224F" w:rsidRDefault="001D4C8A" w:rsidP="0076224F">
      <w:pPr>
        <w:pStyle w:val="Text1"/>
        <w:spacing w:line="360" w:lineRule="auto"/>
        <w:ind w:left="1418" w:hanging="567"/>
        <w:jc w:val="left"/>
        <w:rPr>
          <w:noProof/>
        </w:rPr>
      </w:pPr>
      <w:r w:rsidRPr="0076224F">
        <w:t>„</w:t>
      </w:r>
      <w:r w:rsidR="00BC2082" w:rsidRPr="0076224F">
        <w:t>(3f)</w:t>
      </w:r>
      <w:r w:rsidRPr="0076224F">
        <w:tab/>
      </w:r>
      <w:r w:rsidR="00BC2082" w:rsidRPr="0076224F">
        <w:t xml:space="preserve">‚sporazum o </w:t>
      </w:r>
      <w:proofErr w:type="spellStart"/>
      <w:r w:rsidR="00BC2082" w:rsidRPr="0076224F">
        <w:t>gostiteljstvu</w:t>
      </w:r>
      <w:proofErr w:type="spellEnd"/>
      <w:r w:rsidR="00BC2082" w:rsidRPr="0076224F">
        <w:t xml:space="preserve"> </w:t>
      </w:r>
      <w:proofErr w:type="spellStart"/>
      <w:r w:rsidR="00BC2082" w:rsidRPr="0076224F">
        <w:t>gigatovarne</w:t>
      </w:r>
      <w:proofErr w:type="spellEnd"/>
      <w:r w:rsidR="00BC2082" w:rsidRPr="0076224F">
        <w:t xml:space="preserve"> umetne inteligence‘ pomeni upravni sporazum med Skupnim podjetjem in koordinatorjem gigatovarne umetne inteligence o gostovanju in upravljanju gigatovarne umetne inteligence.“;</w:t>
      </w:r>
    </w:p>
    <w:p w14:paraId="169EE08F" w14:textId="77777777" w:rsidR="00BC2082" w:rsidRPr="0076224F" w:rsidRDefault="00BC2082" w:rsidP="001D4C8A">
      <w:pPr>
        <w:pStyle w:val="Point0"/>
        <w:spacing w:line="360" w:lineRule="auto"/>
        <w:jc w:val="left"/>
        <w:rPr>
          <w:noProof/>
        </w:rPr>
      </w:pPr>
      <w:r w:rsidRPr="0076224F">
        <w:t>(6)</w:t>
      </w:r>
      <w:r w:rsidRPr="0076224F">
        <w:tab/>
        <w:t>doda se naslednja točka (3g):</w:t>
      </w:r>
    </w:p>
    <w:p w14:paraId="68199820" w14:textId="432545F4" w:rsidR="00BC2082" w:rsidRPr="0076224F" w:rsidRDefault="001D4C8A" w:rsidP="00E84B9B">
      <w:pPr>
        <w:pStyle w:val="Text1"/>
        <w:spacing w:line="360" w:lineRule="auto"/>
        <w:ind w:left="1418" w:hanging="568"/>
        <w:jc w:val="left"/>
        <w:rPr>
          <w:noProof/>
        </w:rPr>
      </w:pPr>
      <w:r w:rsidRPr="0076224F">
        <w:lastRenderedPageBreak/>
        <w:t>„</w:t>
      </w:r>
      <w:r w:rsidR="00BC2082" w:rsidRPr="0076224F">
        <w:t>(3g)</w:t>
      </w:r>
      <w:r w:rsidRPr="0076224F">
        <w:tab/>
      </w:r>
      <w:r w:rsidR="00BC2082" w:rsidRPr="0076224F">
        <w:t xml:space="preserve">‚gostiteljski subjekt </w:t>
      </w:r>
      <w:proofErr w:type="spellStart"/>
      <w:r w:rsidR="00BC2082" w:rsidRPr="0076224F">
        <w:t>gigatovarne</w:t>
      </w:r>
      <w:proofErr w:type="spellEnd"/>
      <w:r w:rsidR="00BC2082" w:rsidRPr="0076224F">
        <w:t xml:space="preserve"> umetne inteligence‘ pomeni pravni subjekt, ki ga je konzorcij gigatovarne umetne inteligence določil za gostitelja in upravljavca gigatovarne umetne inteligence in njenih storitev ter ima sedež v sodelujoči državi, ki je država članica.“;</w:t>
      </w:r>
    </w:p>
    <w:p w14:paraId="38EDFD16" w14:textId="77777777" w:rsidR="00BC2082" w:rsidRPr="0076224F" w:rsidRDefault="00BC2082" w:rsidP="001D4C8A">
      <w:pPr>
        <w:pStyle w:val="Point0"/>
        <w:spacing w:line="360" w:lineRule="auto"/>
        <w:jc w:val="left"/>
        <w:rPr>
          <w:noProof/>
        </w:rPr>
      </w:pPr>
      <w:r w:rsidRPr="0076224F">
        <w:t>(7)</w:t>
      </w:r>
      <w:r w:rsidRPr="0076224F">
        <w:tab/>
        <w:t>doda se naslednja točka 3h:</w:t>
      </w:r>
    </w:p>
    <w:p w14:paraId="1D12F954" w14:textId="07F96FCB" w:rsidR="00BC2082" w:rsidRPr="0076224F" w:rsidRDefault="001D4C8A" w:rsidP="00E84B9B">
      <w:pPr>
        <w:pStyle w:val="Text1"/>
        <w:spacing w:line="360" w:lineRule="auto"/>
        <w:ind w:left="1418" w:hanging="568"/>
        <w:jc w:val="left"/>
        <w:rPr>
          <w:noProof/>
          <w:color w:val="000000" w:themeColor="text1"/>
        </w:rPr>
      </w:pPr>
      <w:r w:rsidRPr="0076224F">
        <w:t>„</w:t>
      </w:r>
      <w:r w:rsidR="00BC2082" w:rsidRPr="0076224F">
        <w:t>(3h)</w:t>
      </w:r>
      <w:r w:rsidR="00E84B9B" w:rsidRPr="0076224F">
        <w:tab/>
      </w:r>
      <w:r w:rsidR="00BC2082" w:rsidRPr="0076224F">
        <w:t xml:space="preserve">‚sporazum o sodelovanju v zvezi z gigatovarnami umetne inteligence‘ je sporazum med Skupnim podjetjem in tretjo državo, v katerem so določeni pogoji dostopa do gigatovarn umetne inteligence za pravne subjekte, ki so neposredno ali posredno prek lastniškega deleža ali na druge načine pod nadzorom pravnih ali fizičnih oseb s sedežem v zadevni tretji državi.“; </w:t>
      </w:r>
    </w:p>
    <w:p w14:paraId="7BF3D82A" w14:textId="77777777" w:rsidR="00BC2082" w:rsidRPr="0076224F" w:rsidRDefault="00BC2082" w:rsidP="001D4C8A">
      <w:pPr>
        <w:pStyle w:val="Point0"/>
        <w:spacing w:line="360" w:lineRule="auto"/>
        <w:jc w:val="left"/>
        <w:rPr>
          <w:noProof/>
        </w:rPr>
      </w:pPr>
      <w:r w:rsidRPr="0076224F">
        <w:t>(8)</w:t>
      </w:r>
      <w:r w:rsidRPr="0076224F">
        <w:tab/>
        <w:t>doda se naslednja točka (19a):</w:t>
      </w:r>
    </w:p>
    <w:p w14:paraId="54B8BC7E" w14:textId="07428389" w:rsidR="00BC2082" w:rsidRPr="0076224F" w:rsidRDefault="001D4C8A" w:rsidP="00E84B9B">
      <w:pPr>
        <w:pStyle w:val="Text1"/>
        <w:spacing w:line="360" w:lineRule="auto"/>
        <w:ind w:left="1418" w:hanging="568"/>
        <w:jc w:val="left"/>
        <w:rPr>
          <w:noProof/>
        </w:rPr>
      </w:pPr>
      <w:r w:rsidRPr="0076224F">
        <w:t>„</w:t>
      </w:r>
      <w:r w:rsidR="00BC2082" w:rsidRPr="0076224F">
        <w:t>(19a)</w:t>
      </w:r>
      <w:r w:rsidR="00E84B9B" w:rsidRPr="0076224F">
        <w:tab/>
      </w:r>
      <w:bookmarkStart w:id="9" w:name="_Hlk202951396"/>
      <w:r w:rsidR="00BC2082" w:rsidRPr="0076224F">
        <w:t>‚nacionalni kompetenčni center za kvantne tehnologije‘ pomeni pravni subjekt ali konzorcij pravnih subjektov, ustanovljen v sodelujoči državi, ki uporabnikom iz industrije, vključno z MSP, akademskih krogov in javnih uprav na zahtevo zagotavlja dostop do kvantnih tehnologij, orodij, aplikacij in storitev ter do nacionalnih ali evropskih kvantnih infrastruktur, poleg tega pa ponuja strokovno znanje, spretnosti, usposabljanje, mreženje in ozaveščanje.“;</w:t>
      </w:r>
      <w:bookmarkEnd w:id="9"/>
    </w:p>
    <w:p w14:paraId="4E2403B7" w14:textId="77777777" w:rsidR="00BC2082" w:rsidRPr="0076224F" w:rsidRDefault="00BC2082" w:rsidP="001D4C8A">
      <w:pPr>
        <w:pStyle w:val="Point0"/>
        <w:spacing w:line="360" w:lineRule="auto"/>
        <w:jc w:val="left"/>
        <w:rPr>
          <w:noProof/>
        </w:rPr>
      </w:pPr>
      <w:r w:rsidRPr="0076224F">
        <w:t>(9)</w:t>
      </w:r>
      <w:r w:rsidRPr="0076224F">
        <w:tab/>
        <w:t>člen 3 se spremeni:</w:t>
      </w:r>
    </w:p>
    <w:p w14:paraId="56AF6A6E" w14:textId="77777777" w:rsidR="00BC2082" w:rsidRPr="0076224F" w:rsidRDefault="00BC2082" w:rsidP="001D4C8A">
      <w:pPr>
        <w:pStyle w:val="Point0"/>
        <w:spacing w:line="360" w:lineRule="auto"/>
        <w:jc w:val="left"/>
        <w:rPr>
          <w:noProof/>
        </w:rPr>
      </w:pPr>
      <w:r w:rsidRPr="0076224F">
        <w:t>(10)</w:t>
      </w:r>
      <w:r w:rsidRPr="0076224F">
        <w:tab/>
        <w:t>odstavek 1 se nadomesti z naslednjim:</w:t>
      </w:r>
    </w:p>
    <w:p w14:paraId="2292EDD5" w14:textId="77777777" w:rsidR="00BC2082" w:rsidRPr="0076224F" w:rsidRDefault="00BC2082" w:rsidP="001D4C8A">
      <w:pPr>
        <w:pStyle w:val="Text1"/>
        <w:spacing w:line="360" w:lineRule="auto"/>
        <w:jc w:val="left"/>
        <w:rPr>
          <w:noProof/>
        </w:rPr>
      </w:pPr>
      <w:r w:rsidRPr="0076224F">
        <w:t xml:space="preserve">„Poslanstvo Skupnega podjetja je v Uniji razvijati, vzpostavljati, razširjati in vzdrževati svetovno vodilen ekosistem združene, varne in hiperpovezane infrastrukture superračunalništva, kvantnega računalništva, storitev in podatkov. Podpira tudi razvoj in uvajanje inovativnih in konkurenčnih superračunalniških sistemov, usmerjenih v povpraševanje in uporabnike, </w:t>
      </w:r>
      <w:r w:rsidRPr="0076224F">
        <w:rPr>
          <w:rFonts w:ascii="Arial" w:hAnsi="Arial"/>
        </w:rPr>
        <w:t>▌</w:t>
      </w:r>
      <w:r w:rsidRPr="0076224F">
        <w:t xml:space="preserve">ter sistemov, ki temeljijo na dobavni verigi, ki bo zagotovila sestavne dele, tehnologije in znanje, ki bodo omejili tveganje motenj, ter razvoj širokega nabora aplikacij, optimiziranih za te sisteme; poleg tega je njegovo poslanstvo razširiti </w:t>
      </w:r>
      <w:r w:rsidRPr="0076224F">
        <w:rPr>
          <w:b/>
          <w:i/>
        </w:rPr>
        <w:t xml:space="preserve">dostop in </w:t>
      </w:r>
      <w:r w:rsidRPr="0076224F">
        <w:t xml:space="preserve">uporabo te superračunalniške infrastrukture na veliko število javnih in zasebnih uporabnikov ter podpreti </w:t>
      </w:r>
      <w:r w:rsidRPr="0076224F">
        <w:rPr>
          <w:b/>
          <w:i/>
        </w:rPr>
        <w:t>zeleni in digitalni</w:t>
      </w:r>
      <w:r w:rsidRPr="0076224F">
        <w:t xml:space="preserve"> prehod in razvoj ključnih znanj </w:t>
      </w:r>
      <w:r w:rsidRPr="0076224F">
        <w:rPr>
          <w:b/>
          <w:i/>
        </w:rPr>
        <w:t>in priložnosti</w:t>
      </w:r>
      <w:r w:rsidRPr="0076224F">
        <w:t xml:space="preserve"> za evropsko znanost in industrijo. </w:t>
      </w:r>
      <w:r w:rsidRPr="0076224F">
        <w:rPr>
          <w:b/>
          <w:i/>
        </w:rPr>
        <w:t xml:space="preserve">Podpira tudi evropski ekosistem kvantnih tehnologij, vključno z odličnimi znanstvenimi in uporabnimi raziskovalnimi dejavnostmi ter konkurenčnostjo nastajajoče evropske kvantne industrije. Pri zagotavljanju </w:t>
      </w:r>
      <w:r w:rsidRPr="0076224F">
        <w:rPr>
          <w:b/>
          <w:i/>
        </w:rPr>
        <w:lastRenderedPageBreak/>
        <w:t>podpore evropskemu ekosistemu kvantnih tehnologij ustrezno upošteva različne stopnje zrelosti različnih področij kvantne tehnologije in zapuščino kvantne pobude.“;</w:t>
      </w:r>
    </w:p>
    <w:p w14:paraId="79BABF1F" w14:textId="77777777" w:rsidR="00BC2082" w:rsidRPr="0076224F" w:rsidRDefault="00BC2082" w:rsidP="001D4C8A">
      <w:pPr>
        <w:pStyle w:val="Point0"/>
        <w:spacing w:line="360" w:lineRule="auto"/>
        <w:jc w:val="left"/>
        <w:rPr>
          <w:noProof/>
        </w:rPr>
      </w:pPr>
      <w:r w:rsidRPr="0076224F">
        <w:t>(11)</w:t>
      </w:r>
      <w:r w:rsidRPr="0076224F">
        <w:tab/>
        <w:t>odstavku 2 se doda naslednja točka (fa):</w:t>
      </w:r>
    </w:p>
    <w:p w14:paraId="0C42F1B0" w14:textId="7D17B538" w:rsidR="00BC2082" w:rsidRPr="0076224F" w:rsidRDefault="001D4C8A" w:rsidP="00E84B9B">
      <w:pPr>
        <w:pStyle w:val="Text1"/>
        <w:spacing w:line="360" w:lineRule="auto"/>
        <w:ind w:left="1418" w:hanging="568"/>
        <w:jc w:val="left"/>
        <w:rPr>
          <w:noProof/>
        </w:rPr>
      </w:pPr>
      <w:r w:rsidRPr="0076224F">
        <w:t>„</w:t>
      </w:r>
      <w:r w:rsidR="00BC2082" w:rsidRPr="0076224F">
        <w:t>(</w:t>
      </w:r>
      <w:proofErr w:type="spellStart"/>
      <w:r w:rsidR="00BC2082" w:rsidRPr="0076224F">
        <w:t>fa</w:t>
      </w:r>
      <w:proofErr w:type="spellEnd"/>
      <w:r w:rsidR="00BC2082" w:rsidRPr="0076224F">
        <w:t>)</w:t>
      </w:r>
      <w:r w:rsidR="00E84B9B" w:rsidRPr="0076224F">
        <w:tab/>
      </w:r>
      <w:r w:rsidR="00BC2082" w:rsidRPr="0076224F">
        <w:t xml:space="preserve">podpirati najsodobnejše znanstvene in uporabne raziskave ter inovacije na področju kvantnih tehnologij, njihov prehod ‚iz laboratorija v tovarno‘ ter njihovo uvajanje, uporabo in integracijo v kvantne infrastrukture svetovnega razreda, z namenom vzpostavitve dinamičnega, inovativnega in odpornega kvantnega ekosistema po vsej EU ter zagotavljanja znanstvenega in industrijskega vodstva, konkurenčnosti, strateške avtonomije in tehnološke suverenosti Unije na področju kvantnega računalništva, komunikacije in zaznavanja.“; </w:t>
      </w:r>
    </w:p>
    <w:p w14:paraId="7F3EB64A" w14:textId="77777777" w:rsidR="00BC2082" w:rsidRPr="0076224F" w:rsidRDefault="00BC2082" w:rsidP="001D4C8A">
      <w:pPr>
        <w:pStyle w:val="Point0"/>
        <w:spacing w:line="360" w:lineRule="auto"/>
        <w:jc w:val="left"/>
        <w:rPr>
          <w:noProof/>
        </w:rPr>
      </w:pPr>
      <w:r w:rsidRPr="0076224F">
        <w:t>(12)</w:t>
      </w:r>
      <w:r w:rsidRPr="0076224F">
        <w:tab/>
        <w:t>v odstavku 2 se točka (h) nadomesti z naslednjim:</w:t>
      </w:r>
    </w:p>
    <w:p w14:paraId="23E42E6B" w14:textId="11901776" w:rsidR="00BC2082" w:rsidRPr="0076224F" w:rsidRDefault="001D4C8A" w:rsidP="00E84B9B">
      <w:pPr>
        <w:pStyle w:val="Text1"/>
        <w:spacing w:line="360" w:lineRule="auto"/>
        <w:ind w:left="1418" w:hanging="568"/>
        <w:jc w:val="left"/>
        <w:rPr>
          <w:noProof/>
        </w:rPr>
      </w:pPr>
      <w:r w:rsidRPr="0076224F">
        <w:t>„</w:t>
      </w:r>
      <w:r w:rsidR="00BC2082" w:rsidRPr="0076224F">
        <w:t>(h)</w:t>
      </w:r>
      <w:r w:rsidR="00E84B9B" w:rsidRPr="0076224F">
        <w:tab/>
      </w:r>
      <w:r w:rsidR="00BC2082" w:rsidRPr="0076224F">
        <w:t>razvijati in upravljati tovarne umetne inteligence ter podpirati vzpostavitev in dostop do gigatovarn umetne inteligence in njihovih storitev v podporo nadaljnjemu razvoju visoko konkurenčnega in inovativnega ekosistema umetne inteligence v Uniji,</w:t>
      </w:r>
      <w:r w:rsidR="00BC2082" w:rsidRPr="0076224F">
        <w:rPr>
          <w:b/>
          <w:i/>
        </w:rPr>
        <w:t xml:space="preserve"> pri tem pa čimbolj izkoristiti sisteme in sestavne dele, proizvedene v Uniji.“;</w:t>
      </w:r>
    </w:p>
    <w:p w14:paraId="03D58A54" w14:textId="77777777" w:rsidR="00BC2082" w:rsidRPr="0076224F" w:rsidRDefault="00BC2082" w:rsidP="001D4C8A">
      <w:pPr>
        <w:pStyle w:val="Point0"/>
        <w:spacing w:line="360" w:lineRule="auto"/>
        <w:jc w:val="left"/>
        <w:rPr>
          <w:noProof/>
        </w:rPr>
      </w:pPr>
      <w:r w:rsidRPr="0076224F">
        <w:t>(13)</w:t>
      </w:r>
      <w:r w:rsidRPr="0076224F">
        <w:tab/>
        <w:t>odstavek 3 se nadomesti z naslednjim:</w:t>
      </w:r>
    </w:p>
    <w:p w14:paraId="3228689F" w14:textId="5FE0D5EB" w:rsidR="00BC2082" w:rsidRPr="0076224F" w:rsidRDefault="00E84B9B" w:rsidP="001D4C8A">
      <w:pPr>
        <w:pStyle w:val="Text1"/>
        <w:spacing w:line="360" w:lineRule="auto"/>
        <w:jc w:val="left"/>
        <w:rPr>
          <w:noProof/>
        </w:rPr>
      </w:pPr>
      <w:r w:rsidRPr="0076224F">
        <w:t>„</w:t>
      </w:r>
      <w:r w:rsidR="00BC2082" w:rsidRPr="0076224F">
        <w:t xml:space="preserve">Skupno podjetje prispeva k varovanju interesov Unije pri nakupu superračunalnikov in podpori razvoju in uvajanju tehnologij, sistemov in aplikacij visokozmogljivostnega računalništva in kvantnih tehnologij. Omogoča pristop sooblikovanja za pridobitev superračunalnikov svetovnega razreda, hkrati pa varuje zanesljivost dobavne verige za kupljene tehnologije in sisteme </w:t>
      </w:r>
      <w:r w:rsidR="00BC2082" w:rsidRPr="0076224F">
        <w:rPr>
          <w:b/>
          <w:i/>
        </w:rPr>
        <w:t>ter spodbuja raznolikost dobaviteljev na vseh ravneh strukture</w:t>
      </w:r>
      <w:r w:rsidR="00BC2082" w:rsidRPr="0076224F">
        <w:t xml:space="preserve">. Prispeva k strateški avtonomiji Unije, </w:t>
      </w:r>
      <w:r w:rsidR="00BC2082" w:rsidRPr="0076224F">
        <w:rPr>
          <w:b/>
          <w:i/>
        </w:rPr>
        <w:t xml:space="preserve">s konkurenco ohranja odprto in inovativno gospodarstvo v Uniji, širi dostop do </w:t>
      </w:r>
      <w:proofErr w:type="spellStart"/>
      <w:r w:rsidR="00BC2082" w:rsidRPr="0076224F">
        <w:rPr>
          <w:b/>
          <w:i/>
        </w:rPr>
        <w:t>superračunalniških</w:t>
      </w:r>
      <w:proofErr w:type="spellEnd"/>
      <w:r w:rsidR="00BC2082" w:rsidRPr="0076224F">
        <w:rPr>
          <w:b/>
          <w:i/>
        </w:rPr>
        <w:t xml:space="preserve"> zmogljivosti po vsej Uniji,</w:t>
      </w:r>
      <w:r w:rsidR="00BC2082" w:rsidRPr="0076224F">
        <w:t xml:space="preserve"> podpira razvoj tehnologij in aplikacij, ki krepijo evropske dobavne verige visokozmogljivostnega računalništva in kvantnih tehnologij, ter spodbuja njihovo integracijo v sisteme, ki obravnavajo veliko število znanstvenih, družbenih, okoljskih, industrijskih in varnostnih potreb. </w:t>
      </w:r>
    </w:p>
    <w:p w14:paraId="534266C4" w14:textId="77777777" w:rsidR="00BC2082" w:rsidRPr="0076224F" w:rsidRDefault="00BC2082" w:rsidP="001D4C8A">
      <w:pPr>
        <w:pStyle w:val="Point0"/>
        <w:spacing w:line="360" w:lineRule="auto"/>
        <w:jc w:val="left"/>
        <w:rPr>
          <w:noProof/>
        </w:rPr>
      </w:pPr>
      <w:r w:rsidRPr="0076224F">
        <w:t>(14)</w:t>
      </w:r>
      <w:r w:rsidRPr="0076224F">
        <w:tab/>
        <w:t>člen 4 se spremeni:</w:t>
      </w:r>
    </w:p>
    <w:p w14:paraId="356D403A" w14:textId="77777777" w:rsidR="00BC2082" w:rsidRPr="0076224F" w:rsidRDefault="00BC2082" w:rsidP="001D4C8A">
      <w:pPr>
        <w:pStyle w:val="Point0"/>
        <w:spacing w:line="360" w:lineRule="auto"/>
        <w:jc w:val="left"/>
        <w:rPr>
          <w:noProof/>
        </w:rPr>
      </w:pPr>
      <w:r w:rsidRPr="0076224F">
        <w:lastRenderedPageBreak/>
        <w:t>(15)</w:t>
      </w:r>
      <w:r w:rsidRPr="0076224F">
        <w:tab/>
        <w:t>odstavku 1 se doda naslednja točka (i):</w:t>
      </w:r>
    </w:p>
    <w:p w14:paraId="3B45AE70" w14:textId="4F7B8039" w:rsidR="00BC2082" w:rsidRPr="0076224F" w:rsidRDefault="001D4C8A" w:rsidP="00E84B9B">
      <w:pPr>
        <w:pStyle w:val="Text1"/>
        <w:spacing w:line="360" w:lineRule="auto"/>
        <w:ind w:left="1418" w:hanging="568"/>
        <w:jc w:val="left"/>
        <w:rPr>
          <w:noProof/>
        </w:rPr>
      </w:pPr>
      <w:r w:rsidRPr="0076224F">
        <w:t>„</w:t>
      </w:r>
      <w:r w:rsidR="00BC2082" w:rsidRPr="0076224F">
        <w:t>(i)</w:t>
      </w:r>
      <w:r w:rsidR="00E84B9B" w:rsidRPr="0076224F">
        <w:tab/>
      </w:r>
      <w:r w:rsidR="00BC2082" w:rsidRPr="0076224F">
        <w:t xml:space="preserve">steber </w:t>
      </w:r>
      <w:proofErr w:type="spellStart"/>
      <w:r w:rsidR="00BC2082" w:rsidRPr="0076224F">
        <w:t>gigatovarn</w:t>
      </w:r>
      <w:proofErr w:type="spellEnd"/>
      <w:r w:rsidR="00BC2082" w:rsidRPr="0076224F">
        <w:t xml:space="preserve"> umetne inteligence, ki zajema dejavnosti gigatovarn umetne inteligence, ki so lahko pri svojem delovanju povezane z mrežo tovarn umetne inteligence EuroHPC za zagotavljanje nemotene integracije in izmenjave znanja v evropskem ekosistemu umetne inteligence; ta steber vključuje naslednje dejavnosti:</w:t>
      </w:r>
    </w:p>
    <w:p w14:paraId="7B41CF75" w14:textId="77777777" w:rsidR="00BC2082" w:rsidRPr="0076224F" w:rsidRDefault="00BC2082" w:rsidP="00E84B9B">
      <w:pPr>
        <w:pStyle w:val="Point1"/>
        <w:spacing w:line="360" w:lineRule="auto"/>
        <w:ind w:left="1985"/>
        <w:jc w:val="left"/>
        <w:rPr>
          <w:noProof/>
        </w:rPr>
      </w:pPr>
      <w:r w:rsidRPr="0076224F">
        <w:t>(i)</w:t>
      </w:r>
      <w:r w:rsidRPr="0076224F">
        <w:tab/>
        <w:t>zagotavljanje računalniške infrastrukture za umetno inteligenco svetovnega razreda za evropske raziskovalce, podjetnike in industrijo</w:t>
      </w:r>
      <w:r w:rsidRPr="0076224F">
        <w:rPr>
          <w:b/>
          <w:i/>
        </w:rPr>
        <w:t>, da bi malim in srednjim podjetjem in podjetjem s srednje veliko tržno kapitalizacijo zagotovili poenostavljen dostop do računalniških virov</w:t>
      </w:r>
      <w:r w:rsidRPr="0076224F">
        <w:t>;</w:t>
      </w:r>
    </w:p>
    <w:p w14:paraId="26C0B45D" w14:textId="77777777" w:rsidR="00BC2082" w:rsidRPr="0076224F" w:rsidRDefault="00BC2082" w:rsidP="0076224F">
      <w:pPr>
        <w:pStyle w:val="Point1"/>
        <w:spacing w:line="360" w:lineRule="auto"/>
        <w:ind w:left="1985"/>
        <w:jc w:val="left"/>
        <w:rPr>
          <w:noProof/>
        </w:rPr>
      </w:pPr>
      <w:r w:rsidRPr="0076224F">
        <w:t>(ii)</w:t>
      </w:r>
      <w:r w:rsidRPr="0076224F">
        <w:tab/>
        <w:t xml:space="preserve">omogočanje razvoja novih umetnointeligenčnih rešitev v vseh javnih in zasebnih sektorjih ter </w:t>
      </w:r>
    </w:p>
    <w:p w14:paraId="49D42D2D" w14:textId="77777777" w:rsidR="00BC2082" w:rsidRPr="0076224F" w:rsidRDefault="00BC2082" w:rsidP="0076224F">
      <w:pPr>
        <w:pStyle w:val="Point1"/>
        <w:spacing w:line="360" w:lineRule="auto"/>
        <w:ind w:left="1985"/>
        <w:jc w:val="left"/>
        <w:rPr>
          <w:noProof/>
        </w:rPr>
      </w:pPr>
      <w:r w:rsidRPr="0076224F">
        <w:t>(iii)</w:t>
      </w:r>
      <w:r w:rsidRPr="0076224F">
        <w:tab/>
        <w:t>zagotavljanje konkurenčnosti in suverenosti Unije kot celine umetne inteligence</w:t>
      </w:r>
      <w:r w:rsidRPr="0076224F">
        <w:rPr>
          <w:b/>
          <w:bCs/>
          <w:i/>
          <w:iCs/>
        </w:rPr>
        <w:t>, tudi z zagotavljanjem dostopa do potrebne računalniške zmogljivosti in povezanih storitev za razvoj umetne inteligence ter s spodbujanjem ustvarjanja industrijskih zmogljivosti za proizvodnjo bistvenih komponent strojne in programske opreme</w:t>
      </w:r>
      <w:r w:rsidRPr="0076224F">
        <w:t xml:space="preserve">. </w:t>
      </w:r>
    </w:p>
    <w:p w14:paraId="6BD5E592" w14:textId="77777777" w:rsidR="00BC2082" w:rsidRPr="0076224F" w:rsidRDefault="00BC2082" w:rsidP="001D4C8A">
      <w:pPr>
        <w:pStyle w:val="Point0"/>
        <w:spacing w:line="360" w:lineRule="auto"/>
        <w:rPr>
          <w:noProof/>
        </w:rPr>
      </w:pPr>
      <w:r w:rsidRPr="0076224F">
        <w:t>(16)</w:t>
      </w:r>
      <w:r w:rsidRPr="0076224F">
        <w:tab/>
        <w:t>odstavku 1 se doda naslednja točka (j):</w:t>
      </w:r>
    </w:p>
    <w:p w14:paraId="07D50429" w14:textId="4FF2DB1B" w:rsidR="00BC2082" w:rsidRPr="0076224F" w:rsidRDefault="001D4C8A" w:rsidP="0076224F">
      <w:pPr>
        <w:pStyle w:val="Text1"/>
        <w:spacing w:line="360" w:lineRule="auto"/>
        <w:ind w:left="1418" w:hanging="568"/>
        <w:jc w:val="left"/>
        <w:rPr>
          <w:noProof/>
        </w:rPr>
      </w:pPr>
      <w:r w:rsidRPr="0076224F">
        <w:t>„</w:t>
      </w:r>
      <w:r w:rsidR="00BC2082" w:rsidRPr="0076224F">
        <w:t>(j)</w:t>
      </w:r>
      <w:r w:rsidR="00E84B9B" w:rsidRPr="0076224F">
        <w:tab/>
      </w:r>
      <w:r w:rsidR="00BC2082" w:rsidRPr="0076224F">
        <w:t>steber kvantnih tehnologij, ki obravnava celoten kvantni ekosistem in področja uporabe kvantnega računalništva in simulacije, kvantne komunikacije ter kvantnega zaznavanja in meroslovja ter zagotavlja varnost in odpornost kvantne dobavne verige in njenih omogočitvenih tehnologij. Dejavnosti med drugim obravnavajo:</w:t>
      </w:r>
    </w:p>
    <w:p w14:paraId="120D3E96" w14:textId="32CC70D4" w:rsidR="00BC2082" w:rsidRPr="0076224F" w:rsidRDefault="00BC2082" w:rsidP="0076224F">
      <w:pPr>
        <w:spacing w:line="360" w:lineRule="auto"/>
        <w:ind w:left="1985" w:hanging="567"/>
        <w:rPr>
          <w:noProof/>
        </w:rPr>
      </w:pPr>
      <w:r w:rsidRPr="0076224F">
        <w:t>(a)</w:t>
      </w:r>
      <w:r w:rsidR="00E84B9B" w:rsidRPr="0076224F">
        <w:tab/>
      </w:r>
      <w:r w:rsidRPr="0076224F">
        <w:t>znanstvene in tehnološke raziskave in inovacije: spodbujanje raziskovalne odličnosti na področju kvantne znanosti in tehnologije;</w:t>
      </w:r>
    </w:p>
    <w:p w14:paraId="2126C1FB" w14:textId="68113C92" w:rsidR="00BC2082" w:rsidRPr="0076224F" w:rsidRDefault="00BC2082" w:rsidP="0076224F">
      <w:pPr>
        <w:spacing w:line="360" w:lineRule="auto"/>
        <w:ind w:left="1985" w:hanging="567"/>
        <w:rPr>
          <w:noProof/>
        </w:rPr>
      </w:pPr>
      <w:r w:rsidRPr="0076224F">
        <w:t>(b)</w:t>
      </w:r>
      <w:r w:rsidR="00E84B9B" w:rsidRPr="0076224F">
        <w:tab/>
      </w:r>
      <w:r w:rsidRPr="0076224F">
        <w:t xml:space="preserve">prehod ‚iz laboratorija v tovarno‘ in razvoj ekosistema: podpiranje razvoja in uvajanja najsodobnejših kvantnih infrastruktur; spodbujanje industrializacije kvantnih tehnologij s podpiranjem uporabe kvantnih aplikacij v ključnih javnih in industrijskih sektorjih, zagotavljanje prenosa napredka na vseh kvantnih področjih v dejanske aplikacije, vključno z razvojem vodilnih trgov; spodbujanje evropskih in mednarodnih standardov ter podpiranje razvoja in mreženja nacionalnih </w:t>
      </w:r>
      <w:r w:rsidRPr="0076224F">
        <w:lastRenderedPageBreak/>
        <w:t>kompetenčnih centrov za kvantne tehnologije po vsej Evropi;</w:t>
      </w:r>
    </w:p>
    <w:p w14:paraId="66EC8A94" w14:textId="784D98C8" w:rsidR="00BC2082" w:rsidRPr="0076224F" w:rsidRDefault="00BC2082" w:rsidP="0076224F">
      <w:pPr>
        <w:spacing w:line="360" w:lineRule="auto"/>
        <w:ind w:left="1985" w:hanging="567"/>
        <w:rPr>
          <w:noProof/>
        </w:rPr>
      </w:pPr>
      <w:r w:rsidRPr="0076224F">
        <w:t>(c)</w:t>
      </w:r>
      <w:r w:rsidR="00E84B9B" w:rsidRPr="0076224F">
        <w:tab/>
      </w:r>
      <w:r w:rsidRPr="0076224F">
        <w:t>znanja in spretnosti ter talente: razvoj konkurenčne in vključujoče delovne sile na področju kvantnih raziskav in inženirstva z usklajenimi pobudami za izobraževanje, usposabljanje in mobilnost v ključnih disciplinah in na tehničnih področjih, povezanih s kvantno tehnologijo;</w:t>
      </w:r>
    </w:p>
    <w:p w14:paraId="1B8D4C26" w14:textId="77777777" w:rsidR="00BC2082" w:rsidRPr="0076224F" w:rsidRDefault="00BC2082" w:rsidP="001D4C8A">
      <w:pPr>
        <w:spacing w:line="360" w:lineRule="auto"/>
        <w:ind w:left="1701"/>
        <w:rPr>
          <w:noProof/>
        </w:rPr>
      </w:pPr>
      <w:r w:rsidRPr="0076224F">
        <w:t>(d) mednarodno sodelovanje: razvijanje mednarodnega sodelovanja na področju kvantnih tehnologij za reševanje svetovnih znanstvenih in družbenih izzivov v skladu s cilji zunanje politike in mednarodnimi zavezami Unije.“;</w:t>
      </w:r>
    </w:p>
    <w:p w14:paraId="55D3562B" w14:textId="53EB3880" w:rsidR="00BC2082" w:rsidRPr="0076224F" w:rsidRDefault="00BC2082" w:rsidP="001D4C8A">
      <w:pPr>
        <w:spacing w:line="360" w:lineRule="auto"/>
        <w:rPr>
          <w:b/>
          <w:i/>
          <w:noProof/>
        </w:rPr>
      </w:pPr>
      <w:r w:rsidRPr="0076224F">
        <w:rPr>
          <w:b/>
          <w:i/>
        </w:rPr>
        <w:t>(16a)</w:t>
      </w:r>
      <w:r w:rsidRPr="0076224F">
        <w:t xml:space="preserve"> </w:t>
      </w:r>
      <w:r w:rsidRPr="0076224F">
        <w:tab/>
      </w:r>
      <w:r w:rsidRPr="0076224F">
        <w:rPr>
          <w:b/>
          <w:i/>
        </w:rPr>
        <w:t>odstavek 2 se nadomesti z naslednjim:</w:t>
      </w:r>
    </w:p>
    <w:p w14:paraId="62D47859" w14:textId="77777777" w:rsidR="00BC2082" w:rsidRPr="0076224F" w:rsidRDefault="00BC2082" w:rsidP="0076224F">
      <w:pPr>
        <w:spacing w:line="360" w:lineRule="auto"/>
        <w:ind w:left="1418" w:hanging="567"/>
        <w:rPr>
          <w:b/>
          <w:i/>
          <w:noProof/>
        </w:rPr>
      </w:pPr>
      <w:r w:rsidRPr="0076224F">
        <w:rPr>
          <w:b/>
          <w:i/>
        </w:rPr>
        <w:t>„2.</w:t>
      </w:r>
      <w:r w:rsidRPr="0076224F">
        <w:rPr>
          <w:b/>
          <w:i/>
        </w:rPr>
        <w:tab/>
        <w:t>Za izvajanje dejavnosti iz odstavka 1 se Skupno podjetje pooblasti za izvajanje kumulativnega, dopolnilnega ali kombiniranega financiranja med programi Unije v skladu z ustreznim delovnim programom Komisije. Skupno podjetje se lahko pooblasti tudi za izvajanje dodatnih nalog v primeru dodelitve dodatnih sredstev Unije v skladu s členom 5(3).“;</w:t>
      </w:r>
    </w:p>
    <w:p w14:paraId="0C19C960" w14:textId="77777777" w:rsidR="00BC2082" w:rsidRPr="0076224F" w:rsidRDefault="00BC2082" w:rsidP="001D4C8A">
      <w:pPr>
        <w:pStyle w:val="Point0"/>
        <w:spacing w:line="360" w:lineRule="auto"/>
        <w:jc w:val="left"/>
        <w:rPr>
          <w:noProof/>
        </w:rPr>
      </w:pPr>
      <w:r w:rsidRPr="0076224F">
        <w:t>(17)</w:t>
      </w:r>
      <w:r w:rsidRPr="0076224F">
        <w:tab/>
        <w:t>člen 5 se spremeni:</w:t>
      </w:r>
    </w:p>
    <w:p w14:paraId="544F0F96" w14:textId="77777777" w:rsidR="00BC2082" w:rsidRPr="0076224F" w:rsidRDefault="00BC2082" w:rsidP="001D4C8A">
      <w:pPr>
        <w:pStyle w:val="Point0"/>
        <w:spacing w:line="360" w:lineRule="auto"/>
        <w:jc w:val="left"/>
        <w:rPr>
          <w:noProof/>
        </w:rPr>
      </w:pPr>
      <w:r w:rsidRPr="0076224F">
        <w:t>(18)</w:t>
      </w:r>
      <w:r w:rsidRPr="0076224F">
        <w:tab/>
        <w:t>odstavek 1 se nadomesti z naslednjim:</w:t>
      </w:r>
    </w:p>
    <w:p w14:paraId="7815D1AB" w14:textId="77777777" w:rsidR="00BC2082" w:rsidRPr="0076224F" w:rsidRDefault="00BC2082" w:rsidP="001D4C8A">
      <w:pPr>
        <w:pStyle w:val="Text1"/>
        <w:spacing w:line="360" w:lineRule="auto"/>
        <w:jc w:val="left"/>
        <w:rPr>
          <w:noProof/>
        </w:rPr>
      </w:pPr>
      <w:r w:rsidRPr="0076224F">
        <w:t>„Finančni prispevek Unije za Skupno podjetje, vključno z odobritvami EGP, znaša do 3 972 300 000 EUR, vključno z 92 000 000 EUR za upravne stroške, pod pogojem, da je vsaj tako visok tudi prispevek sodelujočih držav, in je okvirno porazdeljen, kot sledi:</w:t>
      </w:r>
    </w:p>
    <w:p w14:paraId="781987B3" w14:textId="01E36C7B" w:rsidR="00BC2082" w:rsidRPr="0076224F" w:rsidRDefault="00BC2082" w:rsidP="0076224F">
      <w:pPr>
        <w:pStyle w:val="Point2"/>
        <w:spacing w:line="360" w:lineRule="auto"/>
        <w:ind w:left="1418"/>
        <w:jc w:val="left"/>
        <w:rPr>
          <w:rFonts w:eastAsia="Calibri"/>
          <w:noProof/>
        </w:rPr>
      </w:pPr>
      <w:r w:rsidRPr="0076224F">
        <w:t>(a)</w:t>
      </w:r>
      <w:r w:rsidRPr="0076224F">
        <w:tab/>
        <w:t>do 1 660 000 000 EUR iz programa Obzorje Evropa</w:t>
      </w:r>
      <w:r w:rsidRPr="0076224F">
        <w:rPr>
          <w:b/>
          <w:bCs/>
          <w:i/>
          <w:iCs/>
        </w:rPr>
        <w:t>, od tega se 160 000 000 EUR uporabi izključno za ukrepe iz člena 5(6), ki prispevajo k dejavnostim v okviru stebra kvantnih tehnologij iz člena 4(1), točka (j)</w:t>
      </w:r>
      <w:r w:rsidRPr="0076224F">
        <w:t>;</w:t>
      </w:r>
    </w:p>
    <w:p w14:paraId="0677E487" w14:textId="0CC56654" w:rsidR="00BC2082" w:rsidRPr="0076224F" w:rsidRDefault="00BC2082" w:rsidP="0076224F">
      <w:pPr>
        <w:pStyle w:val="Point2"/>
        <w:spacing w:line="360" w:lineRule="auto"/>
        <w:ind w:left="1418"/>
        <w:jc w:val="left"/>
        <w:rPr>
          <w:rFonts w:eastAsia="Calibri"/>
          <w:noProof/>
        </w:rPr>
      </w:pPr>
      <w:r w:rsidRPr="0076224F">
        <w:t>(b)</w:t>
      </w:r>
      <w:r w:rsidRPr="0076224F">
        <w:tab/>
        <w:t>do 2 012 300 000 EUR iz programa Digitalna Evropa;</w:t>
      </w:r>
    </w:p>
    <w:p w14:paraId="4086C451" w14:textId="0BF36E7A" w:rsidR="00BC2082" w:rsidRPr="0076224F" w:rsidRDefault="00BC2082" w:rsidP="0076224F">
      <w:pPr>
        <w:pStyle w:val="Point2"/>
        <w:spacing w:line="360" w:lineRule="auto"/>
        <w:ind w:left="1418"/>
        <w:jc w:val="left"/>
        <w:rPr>
          <w:rFonts w:eastAsia="Calibri"/>
          <w:noProof/>
        </w:rPr>
      </w:pPr>
      <w:r w:rsidRPr="0076224F">
        <w:t>(c)</w:t>
      </w:r>
      <w:r w:rsidRPr="0076224F">
        <w:tab/>
        <w:t>do 300 000 000 EUR iz Instrumenta za povezovanje Evrope.“;</w:t>
      </w:r>
    </w:p>
    <w:p w14:paraId="0D2636E3" w14:textId="77777777" w:rsidR="00BC2082" w:rsidRPr="0076224F" w:rsidRDefault="00BC2082" w:rsidP="001D4C8A">
      <w:pPr>
        <w:pStyle w:val="Point0"/>
        <w:spacing w:line="360" w:lineRule="auto"/>
        <w:rPr>
          <w:noProof/>
        </w:rPr>
      </w:pPr>
      <w:r w:rsidRPr="0076224F">
        <w:t>(19)</w:t>
      </w:r>
      <w:r w:rsidRPr="0076224F">
        <w:tab/>
        <w:t xml:space="preserve">v odstavku 1 se doda nov pododstavek: </w:t>
      </w:r>
    </w:p>
    <w:p w14:paraId="0E1465AE" w14:textId="77777777" w:rsidR="00BC2082" w:rsidRPr="0076224F" w:rsidRDefault="00BC2082" w:rsidP="001D4C8A">
      <w:pPr>
        <w:pStyle w:val="Text1"/>
        <w:spacing w:line="360" w:lineRule="auto"/>
        <w:jc w:val="left"/>
        <w:rPr>
          <w:rFonts w:eastAsia="Calibri"/>
          <w:noProof/>
        </w:rPr>
      </w:pPr>
      <w:r w:rsidRPr="0076224F">
        <w:t xml:space="preserve">„Dodatna sredstva iz programa Obzorje Evropa, programa Digitalna Evropa in Instrumenta za povezovanje Evrope lahko dopolnjujejo prispevek Unije iz prvega pododstavka, pod pogojem, da je vsaj tako visok tudi prispevek enega ali več članov Skupnega podjetja razen Unije. Tak dodatni prispevek Unije se </w:t>
      </w:r>
      <w:r w:rsidRPr="0076224F">
        <w:rPr>
          <w:b/>
          <w:bCs/>
          <w:i/>
          <w:iCs/>
        </w:rPr>
        <w:t>izrecno</w:t>
      </w:r>
      <w:r w:rsidRPr="0076224F">
        <w:t xml:space="preserve"> nameni </w:t>
      </w:r>
      <w:r w:rsidRPr="0076224F">
        <w:rPr>
          <w:b/>
          <w:i/>
        </w:rPr>
        <w:lastRenderedPageBreak/>
        <w:t>enemu ali več stebrom</w:t>
      </w:r>
      <w:r w:rsidRPr="0076224F">
        <w:t xml:space="preserve"> iz člena 4 ▌. Ta dodatna sredstva se ne upoštevajo pri izračunu največjega finančnega prispevka Unije.“; </w:t>
      </w:r>
    </w:p>
    <w:p w14:paraId="3F8D7511" w14:textId="77777777" w:rsidR="00BC2082" w:rsidRPr="0076224F" w:rsidRDefault="00BC2082" w:rsidP="001D4C8A">
      <w:pPr>
        <w:pStyle w:val="Point0"/>
        <w:spacing w:line="360" w:lineRule="auto"/>
        <w:jc w:val="left"/>
        <w:rPr>
          <w:noProof/>
        </w:rPr>
      </w:pPr>
      <w:r w:rsidRPr="0076224F">
        <w:t>(20)</w:t>
      </w:r>
      <w:r w:rsidRPr="0076224F">
        <w:tab/>
        <w:t>odstavek 3 se nadomesti z naslednjim:</w:t>
      </w:r>
    </w:p>
    <w:p w14:paraId="30D0D123" w14:textId="77777777" w:rsidR="00BC2082" w:rsidRPr="0076224F" w:rsidRDefault="00BC2082" w:rsidP="001D4C8A">
      <w:pPr>
        <w:pStyle w:val="Text1"/>
        <w:spacing w:line="360" w:lineRule="auto"/>
        <w:jc w:val="left"/>
        <w:rPr>
          <w:noProof/>
        </w:rPr>
      </w:pPr>
      <w:r w:rsidRPr="0076224F">
        <w:t xml:space="preserve">„Dodatna sredstva iz katerega koli programa Unije, ki ni naveden v odstavku 1 tega člena in dopolnjuje programe iz navedenega odstavka, se lahko dodelijo Skupnemu podjetju za podporo njegovim stebrom dejavnosti iz člena 4, razen tistih iz člena 4(1), točka (a). Ta dodatna sredstva se ne upoštevajo pri izračunu največjega finančnega prispevka Unije.“; </w:t>
      </w:r>
    </w:p>
    <w:p w14:paraId="55F3FBE3" w14:textId="77777777" w:rsidR="00BC2082" w:rsidRPr="0076224F" w:rsidRDefault="00BC2082" w:rsidP="001D4C8A">
      <w:pPr>
        <w:pStyle w:val="Point0"/>
        <w:spacing w:line="360" w:lineRule="auto"/>
        <w:jc w:val="left"/>
        <w:rPr>
          <w:noProof/>
        </w:rPr>
      </w:pPr>
      <w:r w:rsidRPr="0076224F">
        <w:t>(21)</w:t>
      </w:r>
      <w:r w:rsidRPr="0076224F">
        <w:tab/>
        <w:t>doda se novi odstavek 4a:</w:t>
      </w:r>
    </w:p>
    <w:p w14:paraId="0C131AF2" w14:textId="00EF77F4" w:rsidR="00BC2082" w:rsidRPr="0076224F" w:rsidRDefault="001D4C8A" w:rsidP="001D4C8A">
      <w:pPr>
        <w:pStyle w:val="Text1"/>
        <w:spacing w:line="360" w:lineRule="auto"/>
        <w:jc w:val="left"/>
        <w:rPr>
          <w:noProof/>
        </w:rPr>
      </w:pPr>
      <w:r w:rsidRPr="0076224F">
        <w:t>„</w:t>
      </w:r>
      <w:r w:rsidR="00BC2082" w:rsidRPr="0076224F">
        <w:t xml:space="preserve">Za prispevke, zaupane Skupnemu podjetju v skladu z odstavkoma 3 in 4 tega člena, se uporabljajo zahteve iz člena 158 Uredbe (EU, Euratom) 2024/2509. Kadar so ti dodatni prispevki Unije povezani s stebrom iz člena 4(1), točka (i), eden ali več članov razen Unije zagotovijo dodatne prispevke, ki so sorazmerni z zneskom prispevkov Unije.“; </w:t>
      </w:r>
    </w:p>
    <w:p w14:paraId="53FD6378" w14:textId="77777777" w:rsidR="00BC2082" w:rsidRPr="0076224F" w:rsidRDefault="00BC2082" w:rsidP="001D4C8A">
      <w:pPr>
        <w:pStyle w:val="Point0"/>
        <w:spacing w:line="360" w:lineRule="auto"/>
        <w:jc w:val="left"/>
        <w:rPr>
          <w:noProof/>
        </w:rPr>
      </w:pPr>
      <w:r w:rsidRPr="0076224F">
        <w:t>▌</w:t>
      </w:r>
    </w:p>
    <w:p w14:paraId="3ADDDD38" w14:textId="77777777" w:rsidR="00BC2082" w:rsidRPr="0076224F" w:rsidRDefault="00BC2082" w:rsidP="001D4C8A">
      <w:pPr>
        <w:pStyle w:val="Point0"/>
        <w:spacing w:line="360" w:lineRule="auto"/>
        <w:jc w:val="left"/>
        <w:rPr>
          <w:noProof/>
        </w:rPr>
      </w:pPr>
      <w:r w:rsidRPr="0076224F">
        <w:t>(23)</w:t>
      </w:r>
      <w:r w:rsidRPr="0076224F">
        <w:tab/>
        <w:t>odstavek 7 se črta;</w:t>
      </w:r>
    </w:p>
    <w:p w14:paraId="6C7C7306" w14:textId="77777777" w:rsidR="00BC2082" w:rsidRPr="0076224F" w:rsidRDefault="00BC2082" w:rsidP="001D4C8A">
      <w:pPr>
        <w:pStyle w:val="Point0"/>
        <w:spacing w:line="360" w:lineRule="auto"/>
        <w:jc w:val="left"/>
        <w:rPr>
          <w:noProof/>
        </w:rPr>
      </w:pPr>
      <w:r w:rsidRPr="0076224F">
        <w:t>(24)</w:t>
      </w:r>
      <w:r w:rsidRPr="0076224F">
        <w:tab/>
        <w:t>odstavek 8 se črta;</w:t>
      </w:r>
    </w:p>
    <w:p w14:paraId="7D55AA88" w14:textId="77777777" w:rsidR="00BC2082" w:rsidRPr="0076224F" w:rsidRDefault="00BC2082" w:rsidP="001D4C8A">
      <w:pPr>
        <w:pStyle w:val="Point0"/>
        <w:spacing w:line="360" w:lineRule="auto"/>
        <w:jc w:val="left"/>
        <w:rPr>
          <w:noProof/>
        </w:rPr>
      </w:pPr>
      <w:r w:rsidRPr="0076224F">
        <w:t>(25)</w:t>
      </w:r>
      <w:r w:rsidRPr="0076224F">
        <w:tab/>
        <w:t>doda se naslednji člen 12b:</w:t>
      </w:r>
    </w:p>
    <w:p w14:paraId="5A7C1F43" w14:textId="77777777" w:rsidR="00BC2082" w:rsidRPr="0076224F" w:rsidRDefault="00BC2082" w:rsidP="001D4C8A">
      <w:pPr>
        <w:spacing w:line="360" w:lineRule="auto"/>
        <w:jc w:val="center"/>
        <w:rPr>
          <w:noProof/>
        </w:rPr>
      </w:pPr>
      <w:r w:rsidRPr="0076224F">
        <w:t>„Člen 12b</w:t>
      </w:r>
    </w:p>
    <w:p w14:paraId="66C830EB" w14:textId="77777777" w:rsidR="00BC2082" w:rsidRPr="0076224F" w:rsidRDefault="00BC2082" w:rsidP="001D4C8A">
      <w:pPr>
        <w:spacing w:line="360" w:lineRule="auto"/>
        <w:jc w:val="center"/>
        <w:rPr>
          <w:noProof/>
        </w:rPr>
      </w:pPr>
      <w:r w:rsidRPr="0076224F">
        <w:t>Gigatovarna umetne inteligence</w:t>
      </w:r>
    </w:p>
    <w:p w14:paraId="29099092" w14:textId="77777777" w:rsidR="00BC2082" w:rsidRPr="0076224F" w:rsidRDefault="00BC2082" w:rsidP="001D4C8A">
      <w:pPr>
        <w:pStyle w:val="ManualNumPar1"/>
        <w:spacing w:line="360" w:lineRule="auto"/>
        <w:jc w:val="left"/>
        <w:rPr>
          <w:noProof/>
        </w:rPr>
      </w:pPr>
      <w:r w:rsidRPr="0076224F">
        <w:t>1.</w:t>
      </w:r>
      <w:r w:rsidRPr="0076224F">
        <w:tab/>
        <w:t xml:space="preserve">Gigatovarna umetne inteligence je v državi članici. Finančno jo podpira partnerstvo med Unijo in eno ali več sodelujočimi državami, ki jih zastopa Skupno podjetje, ter konzorcijem gigatovarne umetne inteligence, ki lahko vključuje enega ali več dobaviteljev tehnološke infrastrukture, ki jih zakonito zastopa koordinator gigatovarne umetne inteligence. </w:t>
      </w:r>
    </w:p>
    <w:p w14:paraId="6EFC0BC6" w14:textId="77777777" w:rsidR="00BC2082" w:rsidRPr="0076224F" w:rsidRDefault="00BC2082" w:rsidP="001D4C8A">
      <w:pPr>
        <w:pStyle w:val="Text1"/>
        <w:spacing w:line="360" w:lineRule="auto"/>
        <w:ind w:left="720" w:hanging="720"/>
        <w:jc w:val="left"/>
      </w:pPr>
      <w:r w:rsidRPr="0076224F">
        <w:rPr>
          <w:b/>
          <w:i/>
        </w:rPr>
        <w:t>1a.</w:t>
      </w:r>
      <w:r w:rsidRPr="0076224F">
        <w:rPr>
          <w:b/>
          <w:i/>
        </w:rPr>
        <w:tab/>
        <w:t>Skupno podjetje zagotovi, da so vse gigatovarne umetne inteligence skladne s standardi interoperabilnosti, kibernetske varnosti in varstva podatkov na ravni Unije, da bi ustvarili varen in zaupanja vreden računalniški ekosistem.</w:t>
      </w:r>
    </w:p>
    <w:p w14:paraId="565CA9DB" w14:textId="77777777" w:rsidR="00BC2082" w:rsidRPr="0076224F" w:rsidRDefault="00BC2082" w:rsidP="001D4C8A">
      <w:pPr>
        <w:pStyle w:val="ManualNumPar1"/>
        <w:spacing w:line="360" w:lineRule="auto"/>
        <w:jc w:val="left"/>
        <w:rPr>
          <w:noProof/>
        </w:rPr>
      </w:pPr>
      <w:r w:rsidRPr="0076224F">
        <w:t>2.</w:t>
      </w:r>
      <w:r w:rsidRPr="0076224F">
        <w:tab/>
        <w:t>Sodelovanje pravnih subjektov iz nesodelujočih držav v konzorciju gigatovarne umetne inteligence</w:t>
      </w:r>
      <w:r w:rsidRPr="0076224F">
        <w:rPr>
          <w:b/>
          <w:i/>
        </w:rPr>
        <w:t xml:space="preserve"> ni dovoljeno. Vendar lahko Komisija v ustrezno utemeljenih </w:t>
      </w:r>
      <w:r w:rsidRPr="0076224F">
        <w:rPr>
          <w:b/>
          <w:i/>
        </w:rPr>
        <w:lastRenderedPageBreak/>
        <w:t xml:space="preserve">primerih za vsak primer posebej oceni, </w:t>
      </w:r>
      <w:r w:rsidRPr="0076224F">
        <w:t xml:space="preserve">da se za tako sodelovanje </w:t>
      </w:r>
      <w:r w:rsidRPr="0076224F">
        <w:rPr>
          <w:b/>
          <w:bCs/>
          <w:i/>
          <w:iCs/>
        </w:rPr>
        <w:t>ne</w:t>
      </w:r>
      <w:r w:rsidRPr="0076224F">
        <w:t xml:space="preserve"> šteje, da je v nasprotju s strateškimi sredstvi, interesi, avtonomijo ali varnostjo Unije. V skladu z Uredbo (EU) 2021/695, Uredbo (EU) 2021/694 in Uredbo (EU) 2021/1153 se ▌z razpisom za prijavo interesa za izbiro konzorcija gigatovarne umetne inteligence sodelovanje v navedenem konzorciju omeji na pravne subjekte s sedežem samo v sodelujočih državah ali na pravne subjekte s sedežem v določenih pridruženih državah okvirnega programa Obzorje Evropa, programa Digitalna Evropa in vseh nadaljnjih ustreznih programov financiranja Unije ali drugih tretjih državah poleg sodelujočih držav. Omejitve in izključitve iz tega odstavka se načeloma ne uporabljajo za pravne subjekte s sedežem v tretjih državah, ki so z Unijo podpisali sporazum o sodelovanju v zvezi z gigatovarnami umetne inteligence ali podoben sporazum. V razpisu za prijavo interesa za izbiro gigatovarne umetne inteligence se lahko določi, da so pravni subjekti v drugih tretjih državah lahko upravičeni, če izpolnjujejo zahteve, ki jih morajo ti pravni subjekti izpolnjevati, da se zagotovita zaščita varnostnih interesov Unije in držav članic ter zaščita tajnih dokumentov in informacij. Te zahteve se določijo v programu dela. </w:t>
      </w:r>
    </w:p>
    <w:p w14:paraId="3BED2B5F" w14:textId="14E1ED25" w:rsidR="00BC2082" w:rsidRPr="0076224F" w:rsidRDefault="00BC2082" w:rsidP="001D4C8A">
      <w:pPr>
        <w:pStyle w:val="ManualNumPar1"/>
        <w:spacing w:line="360" w:lineRule="auto"/>
        <w:jc w:val="left"/>
        <w:rPr>
          <w:noProof/>
        </w:rPr>
      </w:pPr>
      <w:bookmarkStart w:id="10" w:name="_Hlk200573867"/>
      <w:r w:rsidRPr="0076224F">
        <w:t>3.</w:t>
      </w:r>
      <w:r w:rsidRPr="0076224F">
        <w:tab/>
        <w:t xml:space="preserve">Konzorcij gigatovarne umetne inteligence je upravičen do izrecne predložitve ustreznega dokazila o zavezi države članice, v kateri ima gostiteljski subjekt gigatovarne umetne inteligence sedež, ali pristojnih organov sodelujočih držav konzorcija </w:t>
      </w:r>
      <w:proofErr w:type="spellStart"/>
      <w:r w:rsidRPr="0076224F">
        <w:t>gigatovarne</w:t>
      </w:r>
      <w:proofErr w:type="spellEnd"/>
      <w:r w:rsidRPr="0076224F">
        <w:t xml:space="preserve"> umetne inteligence.</w:t>
      </w:r>
      <w:bookmarkEnd w:id="10"/>
    </w:p>
    <w:p w14:paraId="14A5BC2C" w14:textId="77777777" w:rsidR="00BC2082" w:rsidRPr="0076224F" w:rsidRDefault="00BC2082" w:rsidP="001D4C8A">
      <w:pPr>
        <w:pStyle w:val="ManualNumPar1"/>
        <w:spacing w:line="360" w:lineRule="auto"/>
        <w:jc w:val="left"/>
        <w:rPr>
          <w:noProof/>
        </w:rPr>
      </w:pPr>
      <w:r w:rsidRPr="0076224F">
        <w:t>4.</w:t>
      </w:r>
      <w:r w:rsidRPr="0076224F">
        <w:tab/>
        <w:t>Finančni prispevek Unije iz člena 5,</w:t>
      </w:r>
      <w:r w:rsidRPr="0076224F">
        <w:rPr>
          <w:b/>
          <w:i/>
        </w:rPr>
        <w:t xml:space="preserve"> ki izhaja iz programa Digitalna Evropa ali Instrumenta za povezovanje Evrope – Digitalno</w:t>
      </w:r>
      <w:r w:rsidRPr="0076224F">
        <w:t xml:space="preserve">, krije do 17 % naložb v osnovna sredstva, namenjena celotni računalniški infrastrukturi za gigatovarno umetne inteligence. </w:t>
      </w:r>
      <w:r w:rsidRPr="0076224F">
        <w:rPr>
          <w:b/>
          <w:i/>
        </w:rPr>
        <w:t>Del finančnega prispevka Unije iz člena 5, ki izhaja iz programa Obzorje Evropa in prispeva k stebru gigatovarn umetne inteligence, krije</w:t>
      </w:r>
      <w:r w:rsidRPr="0076224F">
        <w:t xml:space="preserve"> vnaprej </w:t>
      </w:r>
      <w:r w:rsidRPr="0076224F">
        <w:rPr>
          <w:b/>
          <w:bCs/>
          <w:i/>
          <w:iCs/>
        </w:rPr>
        <w:t>dogovorjen zajamčeni nakup</w:t>
      </w:r>
      <w:r w:rsidRPr="0076224F">
        <w:t xml:space="preserve"> časa dostopa do gigatovarne umetne inteligence, </w:t>
      </w:r>
      <w:r w:rsidRPr="0076224F">
        <w:rPr>
          <w:b/>
          <w:i/>
        </w:rPr>
        <w:t>ki se uporablja izključno za ukrepe iz člena 5(6)</w:t>
      </w:r>
      <w:r w:rsidRPr="0076224F">
        <w:t xml:space="preserve"> </w:t>
      </w:r>
      <w:r w:rsidRPr="0076224F">
        <w:rPr>
          <w:b/>
          <w:i/>
        </w:rPr>
        <w:t xml:space="preserve">in je enakovreden </w:t>
      </w:r>
      <w:r w:rsidRPr="0076224F">
        <w:t xml:space="preserve">zakupljeni zmogljivosti naložb v osnovna sredstva. Ena ali več sodelujočih držav bi morale zagotoviti najmanj enak prispevek kot Unija. Preostale naložbe in stroške poslovanja gigatovarne umetne inteligence krije konzorcij gigatovarne umetne inteligence. </w:t>
      </w:r>
    </w:p>
    <w:p w14:paraId="3530A399" w14:textId="77777777" w:rsidR="00BC2082" w:rsidRPr="0076224F" w:rsidRDefault="00BC2082" w:rsidP="001D4C8A">
      <w:pPr>
        <w:pStyle w:val="ManualNumPar1"/>
        <w:spacing w:line="360" w:lineRule="auto"/>
        <w:jc w:val="left"/>
        <w:rPr>
          <w:noProof/>
        </w:rPr>
      </w:pPr>
      <w:r w:rsidRPr="0076224F">
        <w:t>5.</w:t>
      </w:r>
      <w:r w:rsidRPr="0076224F">
        <w:tab/>
        <w:t xml:space="preserve">Izbrana tovarna umetne inteligence se lahko znatno razširi in postane gigatovarna umetne inteligence. V takem primeru se finančna podpora Unije, ki je že zagotovljena za to tovarno umetne inteligence, šteje kot del prispevka Unije k </w:t>
      </w:r>
      <w:r w:rsidRPr="0076224F">
        <w:lastRenderedPageBreak/>
        <w:t>naložbam v osnovna sredstva, namenjena računalniški infrastrukturi za gigatovarno umetne inteligence. Sporazum o gostiteljstvu tovarne umetne inteligence iz člena 10 se po potrebi ustrezno spremeni. Dodatne naložbe v zadevno tovarno umetne inteligence, da bi postala gigatovarna umetne inteligence, ter stroški poslovanja gigatovarne umetne inteligence se krijejo iz sredstev konzorcija gigatovarne umetne inteligence.</w:t>
      </w:r>
    </w:p>
    <w:p w14:paraId="26010697" w14:textId="77777777" w:rsidR="00BC2082" w:rsidRPr="0076224F" w:rsidRDefault="00BC2082" w:rsidP="001D4C8A">
      <w:pPr>
        <w:pStyle w:val="ManualNumPar1"/>
        <w:spacing w:line="360" w:lineRule="auto"/>
        <w:jc w:val="left"/>
        <w:rPr>
          <w:noProof/>
        </w:rPr>
      </w:pPr>
      <w:r w:rsidRPr="0076224F">
        <w:t>6.</w:t>
      </w:r>
      <w:r w:rsidRPr="0076224F">
        <w:tab/>
        <w:t>Sodelujoče države, ki so države članice, lahko v medsebojnem dogovoru s Skupnim podjetjem svoje prostovoljne prispevke, vključno s tistimi iz odstavka 4 tega člena in vsemi drugimi poleg njih, v celoti ali delno usmerijo v določeno gigatovarno umetne inteligence prek Skupnega podjetja, ki nato ta sredstva upravlja in jih v njihovem imenu izplača imenovani gigatovarni umetne inteligence.</w:t>
      </w:r>
    </w:p>
    <w:p w14:paraId="106698D0" w14:textId="18F39B8A" w:rsidR="00BC2082" w:rsidRPr="0076224F" w:rsidRDefault="00BC2082" w:rsidP="001D4C8A">
      <w:pPr>
        <w:pStyle w:val="ManualNumPar1"/>
        <w:spacing w:line="360" w:lineRule="auto"/>
        <w:jc w:val="left"/>
        <w:rPr>
          <w:noProof/>
        </w:rPr>
      </w:pPr>
      <w:bookmarkStart w:id="11" w:name="_Hlk200573989"/>
      <w:r w:rsidRPr="0076224F">
        <w:t>7.</w:t>
      </w:r>
      <w:r w:rsidRPr="0076224F">
        <w:tab/>
        <w:t>Skupno podjetje je lastnik dela računalniške infrastrukture gigatovarne umetne inteligence, ki ustreza prispevku Unije iz odstavkov 4 in 5. Trajanje tega lastništva ali zakupljene zmogljivosti iz odstavka 4 je najmanj pet let od začetka delovanja gigatovarne umetne inteligence in je podrobneje opredeljeno v sporazumu o gostiteljstvu gigatovarne umetne inteligence. To obdobje se podaljša v primeru temeljite nadgradnje računalniške infrastrukture gigatovarne umetne inteligence. Brez poseganja v prenehanje Skupnega podjetja iz člena 23(4) statuta se to lastništvo prenese v skladu s sporazumom o gostiteljstvu gigatovarne umetne inteligence ali podaljša za dogovorjeno obdobje pod pogoji, določenimi v sporazumu o gostiteljstvu gigatovarne umetne inteligence. V primeru prenosa lastništva na konzorcij gigatovarne umetne inteligence se preostala vrednost računalniške infrastrukture gigatovarne umetne inteligence pretvori v enakovredne pravice dostopa za Unijo. Če se lastništvo v skladu s sporazumom o gostiteljstvu ne prenese na konzorcij gigatovarne umetne inteligence, temveč se sprejme odločitev o razgradnji, zadevne stroške krije konzorcij gigatovarne umetne inteligenco.</w:t>
      </w:r>
    </w:p>
    <w:bookmarkEnd w:id="11"/>
    <w:p w14:paraId="4B0121C1" w14:textId="77777777" w:rsidR="00BC2082" w:rsidRPr="0076224F" w:rsidRDefault="00BC2082" w:rsidP="001D4C8A">
      <w:pPr>
        <w:pStyle w:val="ManualNumPar1"/>
        <w:spacing w:line="360" w:lineRule="auto"/>
        <w:jc w:val="left"/>
        <w:rPr>
          <w:noProof/>
        </w:rPr>
      </w:pPr>
      <w:r w:rsidRPr="0076224F">
        <w:t>8.</w:t>
      </w:r>
      <w:r w:rsidRPr="0076224F">
        <w:tab/>
        <w:t xml:space="preserve">Pravice dostopa Unije in sodelujočih držav v gigatovarni umetne inteligence so neposredno sorazmerne z njihovimi finančnimi prispevki v naložbe v osnovna sredstva računalniške infrastrukture gigatovarne umetne inteligence ali z vnaprej dogovorjenim zajamčenim nakupom časa dostopa do gigatovarne umetne inteligence. </w:t>
      </w:r>
    </w:p>
    <w:p w14:paraId="0578B9D1" w14:textId="77777777" w:rsidR="00BC2082" w:rsidRPr="0076224F" w:rsidRDefault="00BC2082" w:rsidP="001D4C8A">
      <w:pPr>
        <w:pStyle w:val="ManualNumPar1"/>
        <w:spacing w:line="360" w:lineRule="auto"/>
        <w:jc w:val="left"/>
        <w:rPr>
          <w:noProof/>
        </w:rPr>
      </w:pPr>
      <w:r w:rsidRPr="0076224F">
        <w:t>9.</w:t>
      </w:r>
      <w:r w:rsidRPr="0076224F">
        <w:tab/>
        <w:t>Upravni odbor Skupnega podjetja določi:</w:t>
      </w:r>
    </w:p>
    <w:p w14:paraId="037D2C18" w14:textId="77777777" w:rsidR="00BC2082" w:rsidRPr="0076224F" w:rsidRDefault="00BC2082" w:rsidP="001D4C8A">
      <w:pPr>
        <w:pStyle w:val="Point1"/>
        <w:spacing w:line="360" w:lineRule="auto"/>
        <w:jc w:val="left"/>
        <w:rPr>
          <w:noProof/>
        </w:rPr>
      </w:pPr>
      <w:r w:rsidRPr="0076224F">
        <w:lastRenderedPageBreak/>
        <w:t>(a)</w:t>
      </w:r>
      <w:r w:rsidRPr="0076224F">
        <w:tab/>
        <w:t xml:space="preserve">pogoje časa dostopa Unije do gigatovarn umetne inteligence; </w:t>
      </w:r>
    </w:p>
    <w:p w14:paraId="74114BCA" w14:textId="77777777" w:rsidR="00BC2082" w:rsidRPr="0076224F" w:rsidRDefault="00BC2082" w:rsidP="001D4C8A">
      <w:pPr>
        <w:pStyle w:val="Point1"/>
        <w:spacing w:line="360" w:lineRule="auto"/>
        <w:jc w:val="left"/>
        <w:rPr>
          <w:noProof/>
        </w:rPr>
      </w:pPr>
      <w:r w:rsidRPr="0076224F">
        <w:t>(b)</w:t>
      </w:r>
      <w:r w:rsidRPr="0076224F">
        <w:tab/>
        <w:t>posebna pravila za pogoje dostopa do gigatovarn umetne inteligence, ki se nanašajo na dodelitev časa dostopa za projekte in dejavnosti, ki se štejejo za strateške za Unijo.</w:t>
      </w:r>
    </w:p>
    <w:p w14:paraId="569571A1" w14:textId="79788AD5" w:rsidR="00BC2082" w:rsidRPr="0076224F" w:rsidRDefault="00BC2082" w:rsidP="001D4C8A">
      <w:pPr>
        <w:pStyle w:val="Point1"/>
        <w:spacing w:line="360" w:lineRule="auto"/>
        <w:jc w:val="left"/>
        <w:rPr>
          <w:b/>
          <w:i/>
          <w:noProof/>
        </w:rPr>
      </w:pPr>
      <w:r w:rsidRPr="0076224F">
        <w:rPr>
          <w:b/>
          <w:i/>
        </w:rPr>
        <w:t>(ba)</w:t>
      </w:r>
      <w:r w:rsidR="001D4C8A" w:rsidRPr="0076224F">
        <w:rPr>
          <w:b/>
          <w:i/>
        </w:rPr>
        <w:tab/>
      </w:r>
      <w:r w:rsidRPr="0076224F">
        <w:rPr>
          <w:b/>
          <w:i/>
        </w:rPr>
        <w:t>mehanizme za spremljanje stopenj uporabe in rezultatov, da se zagotovita njihova učinkovita uporaba in zmogljivost, hkrati pa preprečijo neizkoriščeni viri. Redno poroča o izkoriščenosti in učinkovitosti vsake gigatovarne.</w:t>
      </w:r>
    </w:p>
    <w:p w14:paraId="3E350109" w14:textId="77777777" w:rsidR="00BC2082" w:rsidRPr="0076224F" w:rsidRDefault="00BC2082" w:rsidP="001D4C8A">
      <w:pPr>
        <w:pStyle w:val="ManualNumPar1"/>
        <w:spacing w:line="360" w:lineRule="auto"/>
        <w:jc w:val="left"/>
        <w:rPr>
          <w:noProof/>
        </w:rPr>
      </w:pPr>
      <w:r w:rsidRPr="0076224F">
        <w:t>10.</w:t>
      </w:r>
      <w:r w:rsidRPr="0076224F">
        <w:tab/>
        <w:t>Pri določanju pogojev za čas dostopa Unije v skladu z odstavkom 9 upravni odbor zagotovi, da:</w:t>
      </w:r>
    </w:p>
    <w:p w14:paraId="12757E0E" w14:textId="77777777" w:rsidR="00BC2082" w:rsidRPr="0076224F" w:rsidRDefault="00BC2082" w:rsidP="001D4C8A">
      <w:pPr>
        <w:pStyle w:val="Point1"/>
        <w:spacing w:line="360" w:lineRule="auto"/>
        <w:jc w:val="left"/>
        <w:rPr>
          <w:rFonts w:eastAsia="Times New Roman"/>
          <w:noProof/>
          <w:szCs w:val="24"/>
        </w:rPr>
      </w:pPr>
      <w:r w:rsidRPr="0076224F">
        <w:t>(a)</w:t>
      </w:r>
      <w:r w:rsidRPr="0076224F">
        <w:tab/>
        <w:t>se dostop odobri uporabnikom, ki prebivajo, imajo sedež ali se nahajajo v državi članici ali tretji državi, pridruženi programu Digitalna Evropa, programu Obzorje Evropa ali Instrumentu za povezovanje Evrope;</w:t>
      </w:r>
    </w:p>
    <w:p w14:paraId="40719303" w14:textId="77777777" w:rsidR="00BC2082" w:rsidRPr="0076224F" w:rsidRDefault="00BC2082" w:rsidP="001D4C8A">
      <w:pPr>
        <w:pStyle w:val="Point1"/>
        <w:spacing w:line="360" w:lineRule="auto"/>
        <w:jc w:val="left"/>
        <w:rPr>
          <w:rFonts w:eastAsia="Times New Roman"/>
          <w:noProof/>
          <w:szCs w:val="24"/>
        </w:rPr>
      </w:pPr>
      <w:r w:rsidRPr="0076224F">
        <w:t>(b)</w:t>
      </w:r>
      <w:r w:rsidRPr="0076224F">
        <w:tab/>
        <w:t>je dostop za uporabnike iz subjektov javnega prava brezplačen. Prav tako je brezplačen za industrijske uporabnike pri uporabah za dejavnosti na področju raziskav in inovacij, ki se financirajo iz programa Obzorje Evropa, programa Digitalna Evropa ali Instrumentu za povezovanje Evrope, ter za industrijske uporabnike, katerim je bil v okviru programa Obzorje Evropa ali programa Digitalna Evropa podeljen pečat odličnosti, pa tudi za zasebne dejavnosti MSP in zagonskih podjetij na področju inovacij;</w:t>
      </w:r>
    </w:p>
    <w:p w14:paraId="6021AF35" w14:textId="77777777" w:rsidR="00BC2082" w:rsidRPr="0076224F" w:rsidRDefault="00BC2082" w:rsidP="001D4C8A">
      <w:pPr>
        <w:pStyle w:val="Point1"/>
        <w:spacing w:line="360" w:lineRule="auto"/>
        <w:jc w:val="left"/>
        <w:rPr>
          <w:noProof/>
        </w:rPr>
      </w:pPr>
      <w:r w:rsidRPr="0076224F">
        <w:t>(c)</w:t>
      </w:r>
      <w:r w:rsidRPr="0076224F">
        <w:tab/>
        <w:t xml:space="preserve">dostop vključuje rezervirane računske vire, posebej namenjene raziskovalnim projektom, ki jih financira EU, </w:t>
      </w:r>
      <w:r w:rsidRPr="0076224F">
        <w:rPr>
          <w:b/>
          <w:i/>
        </w:rPr>
        <w:t>ter malim podjetjem in subjektom, ki delujejo v skladu z načelom odprte znanosti,</w:t>
      </w:r>
      <w:r w:rsidRPr="0076224F">
        <w:t xml:space="preserve"> s čimer se zagotavljata zagotovljena razpoložljivost in prednostna obravnava pri razporejanju.</w:t>
      </w:r>
    </w:p>
    <w:p w14:paraId="074B6B49" w14:textId="77777777" w:rsidR="00BC2082" w:rsidRPr="0076224F" w:rsidRDefault="00BC2082" w:rsidP="001D4C8A">
      <w:pPr>
        <w:pStyle w:val="Point1"/>
        <w:spacing w:line="360" w:lineRule="auto"/>
        <w:jc w:val="left"/>
        <w:rPr>
          <w:b/>
          <w:i/>
          <w:noProof/>
        </w:rPr>
      </w:pPr>
      <w:r w:rsidRPr="0076224F">
        <w:rPr>
          <w:b/>
          <w:i/>
        </w:rPr>
        <w:t>(ca)</w:t>
      </w:r>
      <w:r w:rsidRPr="0076224F">
        <w:rPr>
          <w:b/>
          <w:i/>
        </w:rPr>
        <w:tab/>
        <w:t>se odobrijo prednostni dostop in po možnosti ciljno usmerjeni podporni ukrepi za mala in srednja podjetja, zagonska podjetja, mikropodjetja in raziskovalne organizacije, vključno s tistimi, ki se ukvarjajo z neprofitnimi ali predkonkurenčnimi raziskavami in razvijajo aplikacije z velikim družbenim ali industrijskim vplivom v Uniji.</w:t>
      </w:r>
    </w:p>
    <w:p w14:paraId="735F79A0" w14:textId="77777777" w:rsidR="00BC2082" w:rsidRPr="0076224F" w:rsidRDefault="00BC2082" w:rsidP="001D4C8A">
      <w:pPr>
        <w:pStyle w:val="ManualNumPar1"/>
        <w:spacing w:line="360" w:lineRule="auto"/>
        <w:jc w:val="left"/>
        <w:rPr>
          <w:noProof/>
        </w:rPr>
      </w:pPr>
      <w:r w:rsidRPr="0076224F">
        <w:t>11.</w:t>
      </w:r>
      <w:r w:rsidRPr="0076224F">
        <w:tab/>
        <w:t xml:space="preserve">Upravni odbor spremlja delež časa dostopa Unije za različne vrste uporabnikov, opredeljene v točki (a) odstavka 10. Če obstaja veliko neravnovesje deležev časa </w:t>
      </w:r>
      <w:r w:rsidRPr="0076224F">
        <w:lastRenderedPageBreak/>
        <w:t>dostopa med različnimi vrstami uporabnikov in povpraševanjem, sprejme ustrezne popravne ukrepe za odpravo tega neravnovesja.</w:t>
      </w:r>
    </w:p>
    <w:p w14:paraId="30C9F27A" w14:textId="77777777" w:rsidR="00BC2082" w:rsidRPr="0076224F" w:rsidRDefault="00BC2082" w:rsidP="001D4C8A">
      <w:pPr>
        <w:pStyle w:val="ManualNumPar1"/>
        <w:spacing w:line="360" w:lineRule="auto"/>
        <w:jc w:val="left"/>
        <w:rPr>
          <w:noProof/>
        </w:rPr>
      </w:pPr>
      <w:r w:rsidRPr="0076224F">
        <w:t>12.</w:t>
      </w:r>
      <w:r w:rsidRPr="0076224F">
        <w:tab/>
        <w:t>Za prispevke Unije ali sodelujočih držav veljajo pogoji, ki zagotavljajo zaščito strateških interesov Unije. Posebni pogoji iz tega odstavka se določijo v posebnem sporazumu o gostiteljstvu gigatovarne umetne inteligence med Skupnim podjetjem in konzorcijem gigatovarne umetne inteligence. Sporazum o gostiteljstvu gigatovarne umetne inteligence ureja pravo Unije, ki ga v zvezi z vsemi zadevami, ki jih ne zajemajo ta uredba ali drug pravni akt Unije, dopolnjuje pravo države članice, v kateri ima gostiteljski subjekt sedež. V sporazumu o gostiteljstvu gigatovarne umetne inteligence:</w:t>
      </w:r>
    </w:p>
    <w:p w14:paraId="4E67F5D5" w14:textId="77777777" w:rsidR="00BC2082" w:rsidRPr="0076224F" w:rsidRDefault="00BC2082" w:rsidP="001D4C8A">
      <w:pPr>
        <w:pStyle w:val="Point1"/>
        <w:spacing w:line="360" w:lineRule="auto"/>
        <w:jc w:val="left"/>
        <w:rPr>
          <w:noProof/>
        </w:rPr>
      </w:pPr>
      <w:r w:rsidRPr="0076224F">
        <w:t>(a)</w:t>
      </w:r>
      <w:r w:rsidRPr="0076224F">
        <w:tab/>
        <w:t>je podrobno opredeljena lastniška in upravljavska struktura gigatovarne umetne inteligence;</w:t>
      </w:r>
    </w:p>
    <w:p w14:paraId="054EB91C" w14:textId="77777777" w:rsidR="00BC2082" w:rsidRPr="0076224F" w:rsidRDefault="00BC2082" w:rsidP="001D4C8A">
      <w:pPr>
        <w:pStyle w:val="Point1"/>
        <w:spacing w:line="360" w:lineRule="auto"/>
        <w:jc w:val="left"/>
        <w:rPr>
          <w:noProof/>
        </w:rPr>
      </w:pPr>
      <w:r w:rsidRPr="0076224F">
        <w:t>(b)</w:t>
      </w:r>
      <w:r w:rsidRPr="0076224F">
        <w:tab/>
        <w:t>so navedene določbe, ki zagotavljajo učinkovit nadzor in preverjanje gigatovarne umetne inteligence s strani Unije za zaščito strateških sredstev, interesov, avtonomije ali varnosti Unije;</w:t>
      </w:r>
    </w:p>
    <w:p w14:paraId="38201AA6" w14:textId="77777777" w:rsidR="00BC2082" w:rsidRPr="0076224F" w:rsidRDefault="00BC2082" w:rsidP="001D4C8A">
      <w:pPr>
        <w:pStyle w:val="Point1"/>
        <w:spacing w:line="360" w:lineRule="auto"/>
        <w:jc w:val="left"/>
        <w:rPr>
          <w:noProof/>
        </w:rPr>
      </w:pPr>
      <w:r w:rsidRPr="0076224F">
        <w:t>(c)</w:t>
      </w:r>
      <w:r w:rsidRPr="0076224F">
        <w:tab/>
        <w:t>so določeni finančni prispevki Unije, sodelujočih držav ter javnih in/ali zasebnih partnerjev konzorcija gigatovarne umetne inteligence, vključno z zagotovljenim časom dostopa do gigatovarne umetne inteligence iz odstavka 8, kot je ustrezno, in njegovim trajanjem;</w:t>
      </w:r>
    </w:p>
    <w:p w14:paraId="42AB23FA" w14:textId="77777777" w:rsidR="00BC2082" w:rsidRPr="0076224F" w:rsidRDefault="00BC2082" w:rsidP="001D4C8A">
      <w:pPr>
        <w:pStyle w:val="Point1"/>
        <w:spacing w:line="360" w:lineRule="auto"/>
        <w:jc w:val="left"/>
        <w:rPr>
          <w:noProof/>
        </w:rPr>
      </w:pPr>
      <w:r w:rsidRPr="0076224F">
        <w:t>(d)</w:t>
      </w:r>
      <w:r w:rsidRPr="0076224F">
        <w:tab/>
        <w:t>so po potrebi navedeni vsi drugi interesi Unije, ki izhajajo iz naložb Unije, ki jih urejajo posebni sporazumi o naložbah med konzorcijem gigatovarne umetne inteligence in programom InvestEU;</w:t>
      </w:r>
    </w:p>
    <w:p w14:paraId="3A900736" w14:textId="77777777" w:rsidR="00BC2082" w:rsidRPr="0076224F" w:rsidRDefault="00BC2082" w:rsidP="001D4C8A">
      <w:pPr>
        <w:pStyle w:val="Point1"/>
        <w:spacing w:line="360" w:lineRule="auto"/>
        <w:jc w:val="left"/>
        <w:rPr>
          <w:noProof/>
        </w:rPr>
      </w:pPr>
      <w:r w:rsidRPr="0076224F">
        <w:t>(e)</w:t>
      </w:r>
      <w:r w:rsidRPr="0076224F">
        <w:tab/>
        <w:t xml:space="preserve">so določeni pogoji za upravičenost uporabnikov gigatovarne umetne inteligence, ki niso iz Unije; ti morajo izpolnjevati enake pogoje za upravičenost, kot so določeni v odstavku 2; </w:t>
      </w:r>
    </w:p>
    <w:p w14:paraId="427170D8" w14:textId="77777777" w:rsidR="00BC2082" w:rsidRPr="0076224F" w:rsidRDefault="00BC2082" w:rsidP="001D4C8A">
      <w:pPr>
        <w:pStyle w:val="Point1"/>
        <w:spacing w:line="360" w:lineRule="auto"/>
        <w:jc w:val="left"/>
        <w:rPr>
          <w:noProof/>
        </w:rPr>
      </w:pPr>
      <w:r w:rsidRPr="0076224F">
        <w:t>(f)</w:t>
      </w:r>
      <w:r w:rsidRPr="0076224F">
        <w:tab/>
        <w:t>so opredeljeni podrobni pogoji za dostop uporabnikov Unije in načini obračunavanja časa dostopa do storitev gigatovarne umetne inteligence;</w:t>
      </w:r>
    </w:p>
    <w:p w14:paraId="1502DA39" w14:textId="77777777" w:rsidR="00BC2082" w:rsidRPr="0076224F" w:rsidRDefault="00BC2082" w:rsidP="001D4C8A">
      <w:pPr>
        <w:pStyle w:val="Point1"/>
        <w:spacing w:line="360" w:lineRule="auto"/>
        <w:jc w:val="left"/>
        <w:rPr>
          <w:noProof/>
        </w:rPr>
      </w:pPr>
      <w:r w:rsidRPr="0076224F">
        <w:t>(g)</w:t>
      </w:r>
      <w:r w:rsidRPr="0076224F">
        <w:tab/>
        <w:t>je opredeljena kakovost storitev, ponujenih uporabnikom Skupnega podjetja pri upravljanju gigatovarne umetne inteligence, kot je določena v sporazumu o ravni storitve, ki je vključen v sporazum o gostiteljstvu gigatovarne umetne inteligence;</w:t>
      </w:r>
    </w:p>
    <w:p w14:paraId="297A88B0" w14:textId="20730916" w:rsidR="00BC2082" w:rsidRPr="0076224F" w:rsidRDefault="00BC2082" w:rsidP="001D4C8A">
      <w:pPr>
        <w:pStyle w:val="Point1"/>
        <w:spacing w:line="360" w:lineRule="auto"/>
        <w:jc w:val="left"/>
        <w:rPr>
          <w:noProof/>
        </w:rPr>
      </w:pPr>
      <w:r w:rsidRPr="0076224F">
        <w:lastRenderedPageBreak/>
        <w:t>(h)</w:t>
      </w:r>
      <w:r w:rsidRPr="0076224F">
        <w:tab/>
        <w:t>so opredeljeni načini pridobivanja, delovanja in uporabe podatkovne in računalniške infrastrukture gigatovarne umetne inteligence, vključno z zahtevami uporabnikov iz javnega sektorja, kadar je to ustrezno; kadar konzorcij gigatovarne umetne inteligence vključuje enega ali več dobaviteljev tehnološke infrastrukture, sporazum o gostiteljstvu gigatovarne umetne inteligence vključuje zagotavljanje okrepljenih zaščitnih ukrepov proti nasprotju interesov v zvezi s temi dobavitelji;</w:t>
      </w:r>
    </w:p>
    <w:p w14:paraId="5CDA8274" w14:textId="77777777" w:rsidR="00BC2082" w:rsidRPr="0076224F" w:rsidRDefault="00BC2082" w:rsidP="001D4C8A">
      <w:pPr>
        <w:pStyle w:val="Point1"/>
        <w:spacing w:line="360" w:lineRule="auto"/>
        <w:jc w:val="left"/>
        <w:rPr>
          <w:noProof/>
        </w:rPr>
      </w:pPr>
      <w:r w:rsidRPr="0076224F">
        <w:t>(i)</w:t>
      </w:r>
      <w:r w:rsidRPr="0076224F">
        <w:tab/>
        <w:t>so določeni pogoji za prenos lastništva iz odstavka 7, kadar je to ustrezno;</w:t>
      </w:r>
    </w:p>
    <w:p w14:paraId="45CB9706" w14:textId="77777777" w:rsidR="00BC2082" w:rsidRPr="0076224F" w:rsidRDefault="00BC2082" w:rsidP="001D4C8A">
      <w:pPr>
        <w:pStyle w:val="Point1"/>
        <w:spacing w:line="360" w:lineRule="auto"/>
        <w:jc w:val="left"/>
        <w:rPr>
          <w:noProof/>
        </w:rPr>
      </w:pPr>
      <w:r w:rsidRPr="0076224F">
        <w:t>(j)</w:t>
      </w:r>
      <w:r w:rsidRPr="0076224F">
        <w:tab/>
        <w:t>so podrobno opredeljeni razširitev lastništva ali vnaprej dogovorjenega zagotovljenega kupljenega časa dostopa, kot je ustrezno, in po potrebi pogoji za postopno opuščanje gigatovarne umetne inteligence;</w:t>
      </w:r>
    </w:p>
    <w:p w14:paraId="2E6D96D3" w14:textId="77777777" w:rsidR="00BC2082" w:rsidRPr="0076224F" w:rsidRDefault="00BC2082" w:rsidP="001D4C8A">
      <w:pPr>
        <w:pStyle w:val="Point1"/>
        <w:spacing w:line="360" w:lineRule="auto"/>
        <w:jc w:val="left"/>
        <w:rPr>
          <w:noProof/>
        </w:rPr>
      </w:pPr>
      <w:r w:rsidRPr="0076224F">
        <w:t>(k)</w:t>
      </w:r>
      <w:r w:rsidRPr="0076224F">
        <w:tab/>
        <w:t>so določeni pogoji glede odgovornosti za upravljanje gigatovarne umetne inteligence, kadar je to ustrezno;</w:t>
      </w:r>
    </w:p>
    <w:p w14:paraId="3D3FE7BB" w14:textId="77777777" w:rsidR="00BC2082" w:rsidRPr="0076224F" w:rsidRDefault="00BC2082" w:rsidP="001D4C8A">
      <w:pPr>
        <w:pStyle w:val="Point1"/>
        <w:spacing w:line="360" w:lineRule="auto"/>
        <w:jc w:val="left"/>
        <w:rPr>
          <w:noProof/>
        </w:rPr>
      </w:pPr>
      <w:r w:rsidRPr="0076224F">
        <w:t>(l)</w:t>
      </w:r>
      <w:r w:rsidRPr="0076224F">
        <w:tab/>
        <w:t>je določena obveznost gostiteljskega subjekta gigatovarne umetne inteligence, da upravnemu odboru do 31. januarja vsako leto predloži revizijsko poročilo in podatke o uporabi časa dostopa Unije iz prejšnjega proračunskega leta;</w:t>
      </w:r>
    </w:p>
    <w:p w14:paraId="57A9CAEC" w14:textId="77777777" w:rsidR="00BC2082" w:rsidRPr="0076224F" w:rsidRDefault="00BC2082" w:rsidP="001D4C8A">
      <w:pPr>
        <w:pStyle w:val="Point1"/>
        <w:spacing w:line="360" w:lineRule="auto"/>
        <w:jc w:val="left"/>
        <w:rPr>
          <w:noProof/>
        </w:rPr>
      </w:pPr>
      <w:r w:rsidRPr="0076224F">
        <w:t>(m)</w:t>
      </w:r>
      <w:r w:rsidRPr="0076224F">
        <w:tab/>
        <w:t>je vključena arbitražna klavzula v smislu člena 272 PDEU, ki Sodišču Evropske unije podeljuje pristojnost za vse zadeve, ki jih zajema sporazum o gostiteljstvu.</w:t>
      </w:r>
    </w:p>
    <w:p w14:paraId="27DA9F58" w14:textId="77777777" w:rsidR="00BC2082" w:rsidRPr="0076224F" w:rsidRDefault="00BC2082" w:rsidP="001D4C8A">
      <w:pPr>
        <w:pStyle w:val="ManualNumPar1"/>
        <w:spacing w:line="360" w:lineRule="auto"/>
        <w:jc w:val="left"/>
        <w:rPr>
          <w:noProof/>
        </w:rPr>
      </w:pPr>
      <w:r w:rsidRPr="0076224F">
        <w:t>13.</w:t>
      </w:r>
      <w:r w:rsidRPr="0076224F">
        <w:tab/>
        <w:t>Gigatovarna umetne inteligence vključuje organ javnega upravljanja, ki ga sestavljajo predstavniki Komisije in sodelujočih držav, ki zagotavljajo javna sredstva za določeno gigatovarno umetne inteligence. Brez poseganja v upravljavsko in operativno avtonomijo konzorcija gigatovarne umetne inteligence ter za zagotovitev usklajenosti s cilji javnega interesa, na katerih temelji javno financiranje, je za naslednje elemente potrebna izrecna predhodna odobritev imenovanega</w:t>
      </w:r>
      <w:bookmarkStart w:id="12" w:name="_Hlk201233923"/>
      <w:r w:rsidRPr="0076224F">
        <w:t xml:space="preserve"> organa javnega upravljanja:</w:t>
      </w:r>
    </w:p>
    <w:bookmarkEnd w:id="12"/>
    <w:p w14:paraId="091FC41F" w14:textId="77777777" w:rsidR="00BC2082" w:rsidRPr="0076224F" w:rsidRDefault="00BC2082" w:rsidP="001D4C8A">
      <w:pPr>
        <w:pStyle w:val="Point1"/>
        <w:spacing w:line="360" w:lineRule="auto"/>
        <w:jc w:val="left"/>
        <w:rPr>
          <w:noProof/>
        </w:rPr>
      </w:pPr>
      <w:r w:rsidRPr="0076224F">
        <w:t>(a)</w:t>
      </w:r>
      <w:r w:rsidRPr="0076224F">
        <w:tab/>
        <w:t>vse predlagane sporazume o dostopu s subjekti iz tretjih držav, ki bi lahko vzbudili pomisleke glede strateških sredstev, interesov, avtonomije ali varnosti Unije;</w:t>
      </w:r>
    </w:p>
    <w:p w14:paraId="22B381E0" w14:textId="77777777" w:rsidR="00BC2082" w:rsidRPr="0076224F" w:rsidRDefault="00BC2082" w:rsidP="001D4C8A">
      <w:pPr>
        <w:pStyle w:val="Point1"/>
        <w:spacing w:line="360" w:lineRule="auto"/>
        <w:jc w:val="left"/>
        <w:rPr>
          <w:noProof/>
        </w:rPr>
      </w:pPr>
      <w:r w:rsidRPr="0076224F">
        <w:t>(b)</w:t>
      </w:r>
      <w:r w:rsidRPr="0076224F">
        <w:tab/>
        <w:t xml:space="preserve">bistvene spremembe pravne in finančne strukture ali nadzora, ki vplivajo na interese Unije ali sodelujočih držav, kot so sprememba končnega lastništva ali </w:t>
      </w:r>
      <w:r w:rsidRPr="0076224F">
        <w:lastRenderedPageBreak/>
        <w:t>nadzora nad gigatovarno umetne inteligence, kakršnakoli selitev kritičnih sredstev zunaj Unije ali pomembne odločitve o finančnem prestrukturiranju;</w:t>
      </w:r>
    </w:p>
    <w:p w14:paraId="5B8A3315" w14:textId="77777777" w:rsidR="00BC2082" w:rsidRPr="0076224F" w:rsidRDefault="00BC2082" w:rsidP="001D4C8A">
      <w:pPr>
        <w:pStyle w:val="Point1"/>
        <w:spacing w:line="360" w:lineRule="auto"/>
        <w:jc w:val="left"/>
        <w:rPr>
          <w:noProof/>
        </w:rPr>
      </w:pPr>
      <w:r w:rsidRPr="0076224F">
        <w:t>(c)</w:t>
      </w:r>
      <w:r w:rsidRPr="0076224F">
        <w:tab/>
        <w:t>bistveno spremembo strateškega namena gigatovarn umetne inteligence.</w:t>
      </w:r>
    </w:p>
    <w:p w14:paraId="5FD69C1F" w14:textId="77777777" w:rsidR="00BC2082" w:rsidRPr="0076224F" w:rsidRDefault="00BC2082" w:rsidP="001D4C8A">
      <w:pPr>
        <w:pStyle w:val="ManualNumPar1"/>
        <w:spacing w:line="360" w:lineRule="auto"/>
        <w:jc w:val="left"/>
        <w:rPr>
          <w:noProof/>
        </w:rPr>
      </w:pPr>
      <w:r w:rsidRPr="0076224F">
        <w:t>14.</w:t>
      </w:r>
      <w:r w:rsidRPr="0076224F">
        <w:tab/>
        <w:t>Na podlagi razpisa za prijavo interesa upravni odbor Skupnega podjetja s pravičnim in preglednim postopkom izbere konzorcij gigatovarne umetne inteligence ob podpori skupine neodvisnih strokovnjakov in akreditirane finančne institucije, ki jo za ocenjevanje imenuje upravni odbor, med drugim na podlagi naslednjih meril:</w:t>
      </w:r>
    </w:p>
    <w:p w14:paraId="473035E4" w14:textId="77777777" w:rsidR="00BC2082" w:rsidRPr="0076224F" w:rsidRDefault="00BC2082" w:rsidP="001D4C8A">
      <w:pPr>
        <w:pStyle w:val="Point1"/>
        <w:spacing w:line="360" w:lineRule="auto"/>
        <w:jc w:val="left"/>
        <w:rPr>
          <w:noProof/>
        </w:rPr>
      </w:pPr>
      <w:r w:rsidRPr="0076224F">
        <w:t>(a)</w:t>
      </w:r>
      <w:r w:rsidRPr="0076224F">
        <w:tab/>
        <w:t>tehnična ocena:</w:t>
      </w:r>
    </w:p>
    <w:p w14:paraId="1F90437F" w14:textId="77777777" w:rsidR="00BC2082" w:rsidRPr="0076224F" w:rsidRDefault="00BC2082" w:rsidP="001D4C8A">
      <w:pPr>
        <w:pStyle w:val="Point2"/>
        <w:spacing w:line="360" w:lineRule="auto"/>
        <w:jc w:val="left"/>
        <w:rPr>
          <w:noProof/>
        </w:rPr>
      </w:pPr>
      <w:r w:rsidRPr="0076224F">
        <w:t>(1)</w:t>
      </w:r>
      <w:r w:rsidRPr="0076224F">
        <w:tab/>
        <w:t>cilji in tehnična kakovost predloga;</w:t>
      </w:r>
    </w:p>
    <w:p w14:paraId="7C7A268A" w14:textId="77777777" w:rsidR="00BC2082" w:rsidRPr="0076224F" w:rsidRDefault="00BC2082" w:rsidP="001D4C8A">
      <w:pPr>
        <w:pStyle w:val="Point2"/>
        <w:spacing w:line="360" w:lineRule="auto"/>
        <w:jc w:val="left"/>
        <w:rPr>
          <w:noProof/>
        </w:rPr>
      </w:pPr>
      <w:r w:rsidRPr="0076224F">
        <w:t>(2)</w:t>
      </w:r>
      <w:r w:rsidRPr="0076224F">
        <w:tab/>
        <w:t>kakovost delovnega načrta;</w:t>
      </w:r>
    </w:p>
    <w:p w14:paraId="7525804E" w14:textId="77777777" w:rsidR="00BC2082" w:rsidRPr="0076224F" w:rsidRDefault="00BC2082" w:rsidP="001D4C8A">
      <w:pPr>
        <w:pStyle w:val="Point2"/>
        <w:spacing w:line="360" w:lineRule="auto"/>
        <w:jc w:val="left"/>
        <w:rPr>
          <w:noProof/>
        </w:rPr>
      </w:pPr>
      <w:r w:rsidRPr="0076224F">
        <w:t>(3)</w:t>
      </w:r>
      <w:r w:rsidRPr="0076224F">
        <w:tab/>
        <w:t xml:space="preserve">kakovost </w:t>
      </w:r>
      <w:r w:rsidRPr="0076224F">
        <w:rPr>
          <w:b/>
          <w:i/>
        </w:rPr>
        <w:t>in varnost</w:t>
      </w:r>
      <w:r w:rsidRPr="0076224F">
        <w:t xml:space="preserve"> fizične, informacijskotehnološke in omrežne infrastrukture;</w:t>
      </w:r>
    </w:p>
    <w:p w14:paraId="3AB81A0F" w14:textId="77777777" w:rsidR="00BC2082" w:rsidRPr="0076224F" w:rsidRDefault="00BC2082" w:rsidP="001D4C8A">
      <w:pPr>
        <w:pStyle w:val="Point2"/>
        <w:spacing w:line="360" w:lineRule="auto"/>
        <w:jc w:val="left"/>
        <w:rPr>
          <w:noProof/>
        </w:rPr>
      </w:pPr>
      <w:r w:rsidRPr="0076224F">
        <w:t>(4)</w:t>
      </w:r>
      <w:r w:rsidRPr="0076224F">
        <w:tab/>
        <w:t>trajnostnost</w:t>
      </w:r>
      <w:r w:rsidRPr="0076224F">
        <w:rPr>
          <w:b/>
          <w:bCs/>
          <w:i/>
          <w:iCs/>
        </w:rPr>
        <w:t>,</w:t>
      </w:r>
      <w:r w:rsidRPr="0076224F">
        <w:t xml:space="preserve"> energijska učinkovitost </w:t>
      </w:r>
      <w:r w:rsidRPr="0076224F">
        <w:rPr>
          <w:b/>
          <w:bCs/>
          <w:i/>
          <w:iCs/>
        </w:rPr>
        <w:t>in učinkovita raba vode</w:t>
      </w:r>
      <w:r w:rsidRPr="0076224F">
        <w:rPr>
          <w:i/>
          <w:iCs/>
        </w:rPr>
        <w:t>;</w:t>
      </w:r>
    </w:p>
    <w:p w14:paraId="43CC96AD" w14:textId="77777777" w:rsidR="00BC2082" w:rsidRPr="0076224F" w:rsidRDefault="00BC2082" w:rsidP="001D4C8A">
      <w:pPr>
        <w:pStyle w:val="Point2"/>
        <w:spacing w:line="360" w:lineRule="auto"/>
        <w:jc w:val="left"/>
        <w:rPr>
          <w:noProof/>
        </w:rPr>
      </w:pPr>
      <w:r w:rsidRPr="0076224F">
        <w:t>(5)</w:t>
      </w:r>
      <w:r w:rsidRPr="0076224F">
        <w:tab/>
        <w:t>izkušnje in strokovno znanje konzorcija pri vzpostavljanju podobnih obsežnih objektov;</w:t>
      </w:r>
    </w:p>
    <w:p w14:paraId="1ABD53E6" w14:textId="77777777" w:rsidR="00BC2082" w:rsidRPr="0076224F" w:rsidRDefault="00BC2082" w:rsidP="001D4C8A">
      <w:pPr>
        <w:pStyle w:val="Point1"/>
        <w:spacing w:line="360" w:lineRule="auto"/>
        <w:jc w:val="left"/>
        <w:rPr>
          <w:noProof/>
        </w:rPr>
      </w:pPr>
      <w:r w:rsidRPr="0076224F">
        <w:t>(b)</w:t>
      </w:r>
      <w:r w:rsidRPr="0076224F">
        <w:tab/>
        <w:t>možen vpliv:</w:t>
      </w:r>
    </w:p>
    <w:p w14:paraId="6C486B5B" w14:textId="77777777" w:rsidR="00BC2082" w:rsidRPr="0076224F" w:rsidRDefault="00BC2082" w:rsidP="001D4C8A">
      <w:pPr>
        <w:pStyle w:val="Point2"/>
        <w:spacing w:line="360" w:lineRule="auto"/>
        <w:jc w:val="left"/>
        <w:rPr>
          <w:b/>
          <w:i/>
          <w:noProof/>
        </w:rPr>
      </w:pPr>
      <w:r w:rsidRPr="0076224F">
        <w:t>(1)</w:t>
      </w:r>
      <w:r w:rsidRPr="0076224F">
        <w:tab/>
        <w:t>kakovost storitve, vključno z varnostjo</w:t>
      </w:r>
      <w:r w:rsidRPr="0076224F">
        <w:rPr>
          <w:b/>
          <w:i/>
        </w:rPr>
        <w:t>,</w:t>
      </w:r>
      <w:r w:rsidRPr="0076224F">
        <w:t xml:space="preserve"> zanesljivostjo </w:t>
      </w:r>
      <w:r w:rsidRPr="0076224F">
        <w:rPr>
          <w:b/>
          <w:i/>
        </w:rPr>
        <w:t>in usmerjenostjo k uporabniku</w:t>
      </w:r>
      <w:r w:rsidRPr="0076224F">
        <w:t>;</w:t>
      </w:r>
    </w:p>
    <w:p w14:paraId="314B62DE" w14:textId="77777777" w:rsidR="00BC2082" w:rsidRPr="0076224F" w:rsidRDefault="00BC2082" w:rsidP="001D4C8A">
      <w:pPr>
        <w:pStyle w:val="Point2"/>
        <w:spacing w:line="360" w:lineRule="auto"/>
        <w:jc w:val="left"/>
        <w:rPr>
          <w:noProof/>
        </w:rPr>
      </w:pPr>
      <w:r w:rsidRPr="0076224F">
        <w:t>(2)</w:t>
      </w:r>
      <w:r w:rsidRPr="0076224F">
        <w:tab/>
        <w:t>vpliv na evropski ekosistem umetne inteligence</w:t>
      </w:r>
      <w:r w:rsidRPr="0076224F">
        <w:rPr>
          <w:b/>
          <w:i/>
        </w:rPr>
        <w:t>, vključno z geografsko uravnoteženostjo in razširitvijo dostopa po vsej Uniji</w:t>
      </w:r>
      <w:r w:rsidRPr="0076224F">
        <w:t>;</w:t>
      </w:r>
      <w:r w:rsidRPr="0076224F">
        <w:rPr>
          <w:b/>
          <w:i/>
        </w:rPr>
        <w:t xml:space="preserve"> </w:t>
      </w:r>
    </w:p>
    <w:p w14:paraId="341CAC33" w14:textId="77777777" w:rsidR="00BC2082" w:rsidRPr="0076224F" w:rsidRDefault="00BC2082" w:rsidP="001D4C8A">
      <w:pPr>
        <w:pStyle w:val="Point2"/>
        <w:spacing w:line="360" w:lineRule="auto"/>
        <w:jc w:val="left"/>
        <w:rPr>
          <w:noProof/>
        </w:rPr>
      </w:pPr>
      <w:r w:rsidRPr="0076224F">
        <w:t>(3)</w:t>
      </w:r>
      <w:r w:rsidRPr="0076224F">
        <w:tab/>
        <w:t>dodana vrednost EU</w:t>
      </w:r>
      <w:r w:rsidRPr="0076224F">
        <w:rPr>
          <w:b/>
          <w:bCs/>
          <w:i/>
          <w:iCs/>
        </w:rPr>
        <w:t>, ki povečuje tehnološko suverenost Unije in pozitivno vpliva na njeno strateško avtonomijo</w:t>
      </w:r>
      <w:r w:rsidRPr="0076224F">
        <w:t>;</w:t>
      </w:r>
    </w:p>
    <w:p w14:paraId="4B06FA4B" w14:textId="77777777" w:rsidR="00BC2082" w:rsidRPr="0076224F" w:rsidRDefault="00BC2082" w:rsidP="001D4C8A">
      <w:pPr>
        <w:pStyle w:val="Point1"/>
        <w:spacing w:line="360" w:lineRule="auto"/>
        <w:jc w:val="left"/>
        <w:rPr>
          <w:noProof/>
        </w:rPr>
      </w:pPr>
      <w:r w:rsidRPr="0076224F">
        <w:t>(c)</w:t>
      </w:r>
      <w:r w:rsidRPr="0076224F">
        <w:tab/>
        <w:t>finančna izvedljivost:</w:t>
      </w:r>
    </w:p>
    <w:p w14:paraId="65BCD9F3" w14:textId="77777777" w:rsidR="00BC2082" w:rsidRPr="0076224F" w:rsidRDefault="00BC2082" w:rsidP="001D4C8A">
      <w:pPr>
        <w:pStyle w:val="Point2"/>
        <w:spacing w:line="360" w:lineRule="auto"/>
        <w:jc w:val="left"/>
        <w:rPr>
          <w:noProof/>
        </w:rPr>
      </w:pPr>
      <w:r w:rsidRPr="0076224F">
        <w:t>(1)</w:t>
      </w:r>
      <w:r w:rsidRPr="0076224F">
        <w:tab/>
        <w:t>naložbene zaveze sodelujočih držav in konzorcija gigatovarne umetne inteligence;</w:t>
      </w:r>
    </w:p>
    <w:p w14:paraId="19021CCA" w14:textId="783066A2" w:rsidR="00BC2082" w:rsidRPr="0076224F" w:rsidRDefault="00BC2082" w:rsidP="001D4C8A">
      <w:pPr>
        <w:pStyle w:val="Point2"/>
        <w:spacing w:line="360" w:lineRule="auto"/>
        <w:jc w:val="left"/>
        <w:rPr>
          <w:b/>
          <w:i/>
          <w:noProof/>
        </w:rPr>
      </w:pPr>
      <w:r w:rsidRPr="0076224F">
        <w:rPr>
          <w:b/>
          <w:i/>
        </w:rPr>
        <w:t>(1a)</w:t>
      </w:r>
      <w:r w:rsidR="001D4C8A" w:rsidRPr="0076224F">
        <w:rPr>
          <w:b/>
          <w:i/>
        </w:rPr>
        <w:tab/>
      </w:r>
      <w:r w:rsidRPr="0076224F">
        <w:rPr>
          <w:b/>
          <w:i/>
        </w:rPr>
        <w:t xml:space="preserve">podrobne in verjetne ocene, ki temeljijo na zavezah; </w:t>
      </w:r>
    </w:p>
    <w:p w14:paraId="01173F3D" w14:textId="77777777" w:rsidR="00BC2082" w:rsidRPr="0076224F" w:rsidRDefault="00BC2082" w:rsidP="001D4C8A">
      <w:pPr>
        <w:pStyle w:val="Point2"/>
        <w:spacing w:line="360" w:lineRule="auto"/>
        <w:jc w:val="left"/>
        <w:rPr>
          <w:noProof/>
        </w:rPr>
      </w:pPr>
      <w:r w:rsidRPr="0076224F">
        <w:t>(2)</w:t>
      </w:r>
      <w:r w:rsidRPr="0076224F">
        <w:tab/>
        <w:t>kakovost in finančna vzdržnost predlaganega poslovnega modela (vključno s skrbnim pregledom, ki ga opravi imenovana akreditirana finančna institucija).</w:t>
      </w:r>
    </w:p>
    <w:p w14:paraId="73E1B011" w14:textId="77777777" w:rsidR="00BC2082" w:rsidRPr="0076224F" w:rsidRDefault="00BC2082" w:rsidP="001D4C8A">
      <w:pPr>
        <w:pStyle w:val="Point2"/>
        <w:spacing w:line="360" w:lineRule="auto"/>
        <w:ind w:left="0" w:firstLine="720"/>
        <w:jc w:val="left"/>
        <w:rPr>
          <w:b/>
          <w:i/>
          <w:noProof/>
        </w:rPr>
      </w:pPr>
      <w:r w:rsidRPr="0076224F">
        <w:rPr>
          <w:b/>
          <w:i/>
        </w:rPr>
        <w:lastRenderedPageBreak/>
        <w:t xml:space="preserve">(d) </w:t>
      </w:r>
      <w:r w:rsidRPr="0076224F">
        <w:rPr>
          <w:b/>
          <w:i/>
        </w:rPr>
        <w:tab/>
        <w:t>vpliv na trg dela:</w:t>
      </w:r>
    </w:p>
    <w:p w14:paraId="342C8320" w14:textId="313B8563" w:rsidR="00BC2082" w:rsidRPr="0076224F" w:rsidRDefault="00BC2082" w:rsidP="001D4C8A">
      <w:pPr>
        <w:pStyle w:val="Point2"/>
        <w:spacing w:line="360" w:lineRule="auto"/>
        <w:ind w:left="1418"/>
        <w:jc w:val="left"/>
        <w:rPr>
          <w:b/>
          <w:i/>
          <w:noProof/>
        </w:rPr>
      </w:pPr>
      <w:r w:rsidRPr="0076224F">
        <w:rPr>
          <w:b/>
          <w:i/>
        </w:rPr>
        <w:t>(1)</w:t>
      </w:r>
      <w:r w:rsidR="001D4C8A" w:rsidRPr="0076224F">
        <w:rPr>
          <w:b/>
          <w:i/>
        </w:rPr>
        <w:tab/>
      </w:r>
      <w:r w:rsidRPr="0076224F">
        <w:rPr>
          <w:b/>
          <w:i/>
        </w:rPr>
        <w:t>privabljanje, razvoj in zadržanje visoko usposobljenih, raznolikih talentov na področju umetne inteligence;</w:t>
      </w:r>
    </w:p>
    <w:p w14:paraId="2AAF26E3" w14:textId="6157D094" w:rsidR="00BC2082" w:rsidRPr="0076224F" w:rsidRDefault="00BC2082" w:rsidP="001D4C8A">
      <w:pPr>
        <w:pStyle w:val="Point2"/>
        <w:spacing w:line="360" w:lineRule="auto"/>
        <w:ind w:left="1418"/>
        <w:jc w:val="left"/>
        <w:rPr>
          <w:b/>
          <w:i/>
          <w:noProof/>
        </w:rPr>
      </w:pPr>
      <w:r w:rsidRPr="0076224F">
        <w:rPr>
          <w:b/>
          <w:i/>
        </w:rPr>
        <w:t>(2)</w:t>
      </w:r>
      <w:r w:rsidR="001D4C8A" w:rsidRPr="0076224F">
        <w:rPr>
          <w:b/>
          <w:i/>
        </w:rPr>
        <w:tab/>
      </w:r>
      <w:r w:rsidRPr="0076224F">
        <w:rPr>
          <w:b/>
          <w:i/>
        </w:rPr>
        <w:t>ustvarjanje visokokakovostnih delovnih mest.</w:t>
      </w:r>
    </w:p>
    <w:p w14:paraId="1C739827" w14:textId="77777777" w:rsidR="00BC2082" w:rsidRPr="0076224F" w:rsidRDefault="00BC2082" w:rsidP="001D4C8A">
      <w:pPr>
        <w:pStyle w:val="Point2"/>
        <w:spacing w:line="360" w:lineRule="auto"/>
        <w:ind w:left="720" w:hanging="720"/>
        <w:jc w:val="left"/>
        <w:rPr>
          <w:b/>
          <w:i/>
          <w:noProof/>
        </w:rPr>
      </w:pPr>
      <w:r w:rsidRPr="0076224F">
        <w:rPr>
          <w:b/>
          <w:i/>
        </w:rPr>
        <w:t>14a.</w:t>
      </w:r>
      <w:r w:rsidRPr="0076224F">
        <w:tab/>
      </w:r>
      <w:r w:rsidRPr="0076224F">
        <w:rPr>
          <w:b/>
          <w:i/>
        </w:rPr>
        <w:t>Skupno podjetje letno poroča o:</w:t>
      </w:r>
    </w:p>
    <w:p w14:paraId="19A0C0CD" w14:textId="77777777" w:rsidR="00BC2082" w:rsidRPr="0076224F" w:rsidRDefault="00BC2082" w:rsidP="0076224F">
      <w:pPr>
        <w:pStyle w:val="Point2"/>
        <w:spacing w:line="360" w:lineRule="auto"/>
        <w:ind w:left="1418"/>
        <w:jc w:val="left"/>
        <w:rPr>
          <w:b/>
          <w:i/>
          <w:noProof/>
        </w:rPr>
      </w:pPr>
      <w:r w:rsidRPr="0076224F">
        <w:rPr>
          <w:b/>
          <w:i/>
        </w:rPr>
        <w:t xml:space="preserve">(a) </w:t>
      </w:r>
      <w:r w:rsidRPr="0076224F">
        <w:rPr>
          <w:b/>
          <w:i/>
        </w:rPr>
        <w:tab/>
        <w:t>izkoriščenosti zmogljivosti računske infrastrukture za namene razvoja velikih evropskih umetnointeligenčnih modelov;</w:t>
      </w:r>
    </w:p>
    <w:p w14:paraId="47112787" w14:textId="77777777" w:rsidR="00BC2082" w:rsidRPr="0076224F" w:rsidRDefault="00BC2082" w:rsidP="0076224F">
      <w:pPr>
        <w:pStyle w:val="Point2"/>
        <w:spacing w:line="360" w:lineRule="auto"/>
        <w:ind w:left="1418"/>
        <w:jc w:val="left"/>
        <w:rPr>
          <w:b/>
          <w:i/>
          <w:noProof/>
        </w:rPr>
      </w:pPr>
      <w:r w:rsidRPr="0076224F">
        <w:rPr>
          <w:b/>
          <w:i/>
        </w:rPr>
        <w:t xml:space="preserve">(b) </w:t>
      </w:r>
      <w:r w:rsidRPr="0076224F">
        <w:rPr>
          <w:b/>
          <w:i/>
        </w:rPr>
        <w:tab/>
        <w:t>številu razvitih novih izvirnih velikih umetnointeligenčnih modelov;</w:t>
      </w:r>
    </w:p>
    <w:p w14:paraId="78264294" w14:textId="77777777" w:rsidR="00BC2082" w:rsidRPr="0076224F" w:rsidRDefault="00BC2082" w:rsidP="0076224F">
      <w:pPr>
        <w:pStyle w:val="Point2"/>
        <w:spacing w:line="360" w:lineRule="auto"/>
        <w:ind w:left="1418"/>
        <w:jc w:val="left"/>
        <w:rPr>
          <w:b/>
          <w:i/>
          <w:noProof/>
        </w:rPr>
      </w:pPr>
      <w:r w:rsidRPr="0076224F">
        <w:rPr>
          <w:b/>
          <w:i/>
        </w:rPr>
        <w:t xml:space="preserve">(c) </w:t>
      </w:r>
      <w:r w:rsidRPr="0076224F">
        <w:rPr>
          <w:b/>
          <w:i/>
        </w:rPr>
        <w:tab/>
        <w:t>trajnostnosti, učinkoviti rabi energije in vode ter dostopu do energije iz obnovljivih virov.</w:t>
      </w:r>
    </w:p>
    <w:p w14:paraId="6ED50E1D" w14:textId="77777777" w:rsidR="00BC2082" w:rsidRPr="0076224F" w:rsidRDefault="00BC2082" w:rsidP="001D4C8A">
      <w:pPr>
        <w:pStyle w:val="ManualNumPar1"/>
        <w:spacing w:line="360" w:lineRule="auto"/>
        <w:jc w:val="left"/>
        <w:rPr>
          <w:noProof/>
        </w:rPr>
      </w:pPr>
      <w:r w:rsidRPr="0076224F">
        <w:t>15.</w:t>
      </w:r>
      <w:r w:rsidRPr="0076224F">
        <w:tab/>
        <w:t xml:space="preserve">Kadar konzorcij ne vključuje enega ali več dobaviteljev tehnološke infrastrukture, dobavitelje za gigatovarno umetne inteligence izbere konzorcij gigatovarne umetne inteligence na podlagi pravičnih in preglednih razpisnih specifikacij, v katerih se upoštevajo splošne sistemske specifikacije in zlasti zahteve uporabnikov iz javnega sektorja, ki jih Unija določi v razpisu za prijavo interesa in so podrobneje opredeljene v sporazumu o gostiteljstvu gigatovarne umetne inteligence. Izbor temelji na pravičnih, odprtih in preglednih merilih, zagotavlja dodano vrednost EU ter obravnava varnost in odpornost dobavne verige. Izbrani ponudniki izpolnjujejo pogoje za upravičenost iz odstavka 2. </w:t>
      </w:r>
    </w:p>
    <w:p w14:paraId="7E8B7388" w14:textId="77777777" w:rsidR="00BC2082" w:rsidRPr="0076224F" w:rsidRDefault="00BC2082" w:rsidP="001D4C8A">
      <w:pPr>
        <w:pStyle w:val="ManualNumPar1"/>
        <w:spacing w:line="360" w:lineRule="auto"/>
        <w:jc w:val="left"/>
        <w:rPr>
          <w:noProof/>
        </w:rPr>
      </w:pPr>
      <w:r w:rsidRPr="0076224F">
        <w:t>16.</w:t>
      </w:r>
      <w:r w:rsidRPr="0076224F">
        <w:tab/>
        <w:t>Skupno podjetje lahko sklene okvirne pogodbe za zagotavljanje bistvenih in zelo iskanih komponent, kot so napredni procesorji za umetno inteligenco. Konzorciji gigatovarn umetne inteligence lahko za svoja javna naročila uporabijo okvirne pogodbe iz tega odstavka.“;</w:t>
      </w:r>
    </w:p>
    <w:p w14:paraId="46DC1221" w14:textId="00E9AFBC" w:rsidR="00BC2082" w:rsidRPr="0076224F" w:rsidRDefault="00BC2082" w:rsidP="001D4C8A">
      <w:pPr>
        <w:pStyle w:val="Text1"/>
        <w:spacing w:line="360" w:lineRule="auto"/>
        <w:ind w:left="720" w:hanging="720"/>
        <w:jc w:val="left"/>
      </w:pPr>
      <w:r w:rsidRPr="0076224F">
        <w:rPr>
          <w:b/>
          <w:i/>
        </w:rPr>
        <w:t>17.</w:t>
      </w:r>
      <w:r w:rsidRPr="0076224F">
        <w:tab/>
      </w:r>
      <w:r w:rsidRPr="0076224F">
        <w:rPr>
          <w:b/>
          <w:i/>
        </w:rPr>
        <w:t>Skupno podjetje spodbuja uravnoteženo udeležbo držav članic pri vzpostavitvi gigatovarn umetne inteligence in kompetenčnih centrov za kvantne tehnologije ter dostopu do njih.</w:t>
      </w:r>
    </w:p>
    <w:p w14:paraId="03B06138" w14:textId="77777777" w:rsidR="00BC2082" w:rsidRPr="0076224F" w:rsidRDefault="00BC2082" w:rsidP="001D4C8A">
      <w:pPr>
        <w:pStyle w:val="Point0"/>
        <w:spacing w:line="360" w:lineRule="auto"/>
        <w:jc w:val="left"/>
        <w:rPr>
          <w:noProof/>
        </w:rPr>
      </w:pPr>
      <w:r w:rsidRPr="0076224F">
        <w:t>(26)</w:t>
      </w:r>
      <w:r w:rsidRPr="0076224F">
        <w:tab/>
        <w:t>člen 16 se spremeni:</w:t>
      </w:r>
    </w:p>
    <w:p w14:paraId="208E6408" w14:textId="77777777" w:rsidR="00BC2082" w:rsidRPr="0076224F" w:rsidRDefault="00BC2082" w:rsidP="001D4C8A">
      <w:pPr>
        <w:pStyle w:val="Point0"/>
        <w:spacing w:line="360" w:lineRule="auto"/>
        <w:jc w:val="left"/>
        <w:rPr>
          <w:noProof/>
        </w:rPr>
      </w:pPr>
      <w:r w:rsidRPr="0076224F">
        <w:t>(27)</w:t>
      </w:r>
      <w:r w:rsidRPr="0076224F">
        <w:tab/>
        <w:t>odstavek 1 se nadomesti z naslednjim:</w:t>
      </w:r>
    </w:p>
    <w:p w14:paraId="11A053B6" w14:textId="77777777" w:rsidR="00BC2082" w:rsidRPr="0076224F" w:rsidRDefault="00BC2082" w:rsidP="001D4C8A">
      <w:pPr>
        <w:pStyle w:val="Text1"/>
        <w:spacing w:line="360" w:lineRule="auto"/>
        <w:jc w:val="left"/>
        <w:rPr>
          <w:noProof/>
        </w:rPr>
      </w:pPr>
      <w:r w:rsidRPr="0076224F">
        <w:t xml:space="preserve">„Brez poseganja v člen 17(9) je uporaba superračunalnikov EuroHPC dovoljena uporabnikom aplikacij iz javnega in zasebnega sektorja. Razen v primeru </w:t>
      </w:r>
      <w:r w:rsidRPr="0076224F">
        <w:lastRenderedPageBreak/>
        <w:t>industrijskih superračunalnikov EuroHPC je njihova uporaba namenjena predvsem raziskavam in inovacijam, ki spadajo v programe javnega financiranja, aplikacijam v javnem sektorju in zasebnim dejavnostim MSP na področju inovacij, kjer je to primerno.“.</w:t>
      </w:r>
    </w:p>
    <w:p w14:paraId="4EB82790" w14:textId="77777777" w:rsidR="00BC2082" w:rsidRPr="0076224F" w:rsidRDefault="00BC2082" w:rsidP="001D4C8A">
      <w:pPr>
        <w:pStyle w:val="Titrearticle"/>
        <w:spacing w:line="360" w:lineRule="auto"/>
        <w:rPr>
          <w:noProof/>
        </w:rPr>
      </w:pPr>
      <w:r w:rsidRPr="0076224F">
        <w:t>Priloga</w:t>
      </w:r>
    </w:p>
    <w:p w14:paraId="09D28CDE" w14:textId="77777777" w:rsidR="00BC2082" w:rsidRPr="0076224F" w:rsidRDefault="00BC2082" w:rsidP="001D4C8A">
      <w:pPr>
        <w:spacing w:line="360" w:lineRule="auto"/>
        <w:rPr>
          <w:noProof/>
        </w:rPr>
      </w:pPr>
      <w:r w:rsidRPr="0076224F">
        <w:t>Priloga se spremeni:</w:t>
      </w:r>
    </w:p>
    <w:p w14:paraId="6D72D40C" w14:textId="77777777" w:rsidR="00BC2082" w:rsidRPr="0076224F" w:rsidRDefault="00BC2082" w:rsidP="001D4C8A">
      <w:pPr>
        <w:pStyle w:val="Point0"/>
        <w:spacing w:line="360" w:lineRule="auto"/>
        <w:jc w:val="left"/>
        <w:rPr>
          <w:noProof/>
        </w:rPr>
      </w:pPr>
      <w:r w:rsidRPr="0076224F">
        <w:t>(28)</w:t>
      </w:r>
      <w:r w:rsidRPr="0076224F">
        <w:tab/>
        <w:t xml:space="preserve">člen 3 Priloge se spremeni: </w:t>
      </w:r>
    </w:p>
    <w:p w14:paraId="693DC16D" w14:textId="77777777" w:rsidR="00BC2082" w:rsidRPr="0076224F" w:rsidRDefault="00BC2082" w:rsidP="001D4C8A">
      <w:pPr>
        <w:pStyle w:val="Point0"/>
        <w:spacing w:line="360" w:lineRule="auto"/>
        <w:jc w:val="left"/>
        <w:rPr>
          <w:noProof/>
        </w:rPr>
      </w:pPr>
      <w:r w:rsidRPr="0076224F">
        <w:t>(29)</w:t>
      </w:r>
      <w:r w:rsidRPr="0076224F">
        <w:tab/>
        <w:t xml:space="preserve">odstavek 2 se spremeni: </w:t>
      </w:r>
    </w:p>
    <w:p w14:paraId="01325030" w14:textId="77777777" w:rsidR="00BC2082" w:rsidRPr="0076224F" w:rsidRDefault="00BC2082" w:rsidP="001D4C8A">
      <w:pPr>
        <w:pStyle w:val="Text1"/>
        <w:spacing w:line="360" w:lineRule="auto"/>
        <w:jc w:val="left"/>
        <w:rPr>
          <w:noProof/>
        </w:rPr>
      </w:pPr>
      <w:r w:rsidRPr="0076224F">
        <w:t>„Vsaka prošnja države članice ali tretje države, pridružene programu Obzorje Evropa ali programu Digitalna Evropa, za članstvo v Skupnem podjetju se naslovi na upravni odbor. Države kandidatke zagotovijo pisno obvestilo, da sprejemajo ta statut in vse druge določbe, ki urejajo delovanje Skupnega podjetja. Kandidatke navedejo tudi, zakaj so zaprosile za članstvo v Skupnem podjetju in kako je njihova nacionalna strategija superračunalništva ali kvantne tehnologije usklajena s cilji Skupnega podjetja. Upravni odbor oceni prošnjo, pri čemer upošteva ustreznost in morebitno dodano vrednost kandidatke pri uresničevanju poslanstva in ciljev Skupnega podjetja, ter lahko pred odobritvijo prošnje zahteva pojasnila glede kandidature.“;</w:t>
      </w:r>
    </w:p>
    <w:p w14:paraId="023AEFE6" w14:textId="77777777" w:rsidR="00BC2082" w:rsidRPr="0076224F" w:rsidRDefault="00BC2082" w:rsidP="001D4C8A">
      <w:pPr>
        <w:pStyle w:val="Point0"/>
        <w:spacing w:line="360" w:lineRule="auto"/>
        <w:jc w:val="left"/>
        <w:rPr>
          <w:noProof/>
        </w:rPr>
      </w:pPr>
      <w:r w:rsidRPr="0076224F">
        <w:t>(30)</w:t>
      </w:r>
      <w:r w:rsidRPr="0076224F">
        <w:tab/>
        <w:t xml:space="preserve">člen 4 Priloge se spremeni: </w:t>
      </w:r>
    </w:p>
    <w:p w14:paraId="2A11EF59" w14:textId="77777777" w:rsidR="00BC2082" w:rsidRPr="0076224F" w:rsidRDefault="00BC2082" w:rsidP="001D4C8A">
      <w:pPr>
        <w:pStyle w:val="Point0"/>
        <w:spacing w:line="360" w:lineRule="auto"/>
        <w:jc w:val="left"/>
        <w:rPr>
          <w:noProof/>
        </w:rPr>
      </w:pPr>
      <w:r w:rsidRPr="0076224F">
        <w:t>(31)</w:t>
      </w:r>
      <w:r w:rsidRPr="0076224F">
        <w:tab/>
        <w:t xml:space="preserve">v odstavku 1 se doda naslednja točka (d): </w:t>
      </w:r>
    </w:p>
    <w:p w14:paraId="0D17EF6E" w14:textId="3CE9F828" w:rsidR="00BC2082" w:rsidRPr="0076224F" w:rsidRDefault="001D4C8A" w:rsidP="001D4C8A">
      <w:pPr>
        <w:pStyle w:val="Point1"/>
        <w:spacing w:line="360" w:lineRule="auto"/>
        <w:jc w:val="left"/>
        <w:rPr>
          <w:noProof/>
        </w:rPr>
      </w:pPr>
      <w:r w:rsidRPr="0076224F">
        <w:t>„</w:t>
      </w:r>
      <w:r w:rsidR="00BC2082" w:rsidRPr="0076224F">
        <w:t>(d)</w:t>
      </w:r>
      <w:r w:rsidR="00BC2082" w:rsidRPr="0076224F">
        <w:tab/>
        <w:t>svetovalna skupina za strategijo za kvantno tehnologijo.“;</w:t>
      </w:r>
    </w:p>
    <w:p w14:paraId="6A48FBBA" w14:textId="77777777" w:rsidR="00BC2082" w:rsidRPr="0076224F" w:rsidRDefault="00BC2082" w:rsidP="001D4C8A">
      <w:pPr>
        <w:pStyle w:val="Point0"/>
        <w:spacing w:line="360" w:lineRule="auto"/>
        <w:jc w:val="left"/>
        <w:rPr>
          <w:noProof/>
        </w:rPr>
      </w:pPr>
      <w:r w:rsidRPr="0076224F">
        <w:t>(32)</w:t>
      </w:r>
      <w:r w:rsidRPr="0076224F">
        <w:tab/>
        <w:t xml:space="preserve">člen 5 Priloge se spremeni: </w:t>
      </w:r>
    </w:p>
    <w:p w14:paraId="0CEE0FF0" w14:textId="77777777" w:rsidR="00BC2082" w:rsidRPr="0076224F" w:rsidRDefault="00BC2082" w:rsidP="001D4C8A">
      <w:pPr>
        <w:pStyle w:val="Point0"/>
        <w:spacing w:line="360" w:lineRule="auto"/>
        <w:jc w:val="left"/>
        <w:rPr>
          <w:noProof/>
        </w:rPr>
      </w:pPr>
      <w:r w:rsidRPr="0076224F">
        <w:t>(33)</w:t>
      </w:r>
      <w:r w:rsidRPr="0076224F">
        <w:tab/>
        <w:t xml:space="preserve">doda se naslednji odstavek 3: </w:t>
      </w:r>
    </w:p>
    <w:p w14:paraId="23E621A3" w14:textId="20077D57" w:rsidR="00BC2082" w:rsidRPr="0076224F" w:rsidRDefault="001D4C8A" w:rsidP="001D4C8A">
      <w:pPr>
        <w:pStyle w:val="Point0"/>
        <w:spacing w:line="360" w:lineRule="auto"/>
        <w:ind w:left="1418" w:hanging="568"/>
        <w:jc w:val="left"/>
        <w:rPr>
          <w:noProof/>
        </w:rPr>
      </w:pPr>
      <w:r w:rsidRPr="0076224F">
        <w:t>„</w:t>
      </w:r>
      <w:r w:rsidR="00BC2082" w:rsidRPr="0076224F">
        <w:t>(3)</w:t>
      </w:r>
      <w:r w:rsidRPr="0076224F">
        <w:tab/>
      </w:r>
      <w:r w:rsidR="00BC2082" w:rsidRPr="0076224F">
        <w:t>Za kvantni steber dejavnosti sodelujoče države imenujejo predstavnika iz svojih pristojnih organov na področju kvantnih tehnologij.“;</w:t>
      </w:r>
    </w:p>
    <w:p w14:paraId="4EA52D93" w14:textId="77777777" w:rsidR="00BC2082" w:rsidRPr="0076224F" w:rsidRDefault="00BC2082" w:rsidP="001D4C8A">
      <w:pPr>
        <w:pStyle w:val="Point0"/>
        <w:spacing w:line="360" w:lineRule="auto"/>
        <w:jc w:val="left"/>
        <w:rPr>
          <w:noProof/>
        </w:rPr>
      </w:pPr>
      <w:r w:rsidRPr="0076224F">
        <w:t>(34)</w:t>
      </w:r>
      <w:r w:rsidRPr="0076224F">
        <w:tab/>
        <w:t xml:space="preserve">člen 6 Priloge se spremeni: </w:t>
      </w:r>
    </w:p>
    <w:p w14:paraId="31D2458F" w14:textId="77777777" w:rsidR="00BC2082" w:rsidRPr="0076224F" w:rsidRDefault="00BC2082" w:rsidP="001D4C8A">
      <w:pPr>
        <w:pStyle w:val="Point0"/>
        <w:spacing w:line="360" w:lineRule="auto"/>
        <w:jc w:val="left"/>
        <w:rPr>
          <w:noProof/>
        </w:rPr>
      </w:pPr>
      <w:r w:rsidRPr="0076224F">
        <w:t>(35)</w:t>
      </w:r>
      <w:r w:rsidRPr="0076224F">
        <w:tab/>
        <w:t xml:space="preserve">doda se naslednji odstavek 5a: </w:t>
      </w:r>
    </w:p>
    <w:p w14:paraId="6AC33AAA" w14:textId="0DFC5BA8" w:rsidR="00BC2082" w:rsidRPr="0076224F" w:rsidRDefault="001D4C8A" w:rsidP="00E84B9B">
      <w:pPr>
        <w:pStyle w:val="Point0"/>
        <w:spacing w:line="360" w:lineRule="auto"/>
        <w:ind w:left="1418" w:hanging="568"/>
        <w:jc w:val="left"/>
        <w:rPr>
          <w:noProof/>
        </w:rPr>
      </w:pPr>
      <w:r w:rsidRPr="0076224F">
        <w:t>„</w:t>
      </w:r>
      <w:r w:rsidR="00BC2082" w:rsidRPr="0076224F">
        <w:t>(5a)</w:t>
      </w:r>
      <w:r w:rsidR="00BC2082" w:rsidRPr="0076224F">
        <w:tab/>
        <w:t xml:space="preserve"> Za naloge iz člena 7(4a) tega statuta in za vsako gigatovarno umetne inteligence se glasovalne pravice sodelujočih držav razdelijo sorazmerno z njihovimi prevzetimi finančnimi prispevki in njihovimi prispevki v naravi za </w:t>
      </w:r>
      <w:r w:rsidR="00BC2082" w:rsidRPr="0076224F">
        <w:lastRenderedPageBreak/>
        <w:t>zadevno gigatovarno umetne inteligence do konca veljavnosti sporazuma o gostiteljstvu gigatovarne umetne inteligence; prispevki v naravi se upoštevajo le, če jih je predhodno potrdil neodvisni strokovnjak ali revizor.</w:t>
      </w:r>
    </w:p>
    <w:p w14:paraId="5EAE830B" w14:textId="77777777" w:rsidR="00BC2082" w:rsidRPr="0076224F" w:rsidRDefault="00BC2082" w:rsidP="001D4C8A">
      <w:pPr>
        <w:pStyle w:val="Text1"/>
        <w:spacing w:line="360" w:lineRule="auto"/>
        <w:ind w:left="1418"/>
        <w:jc w:val="left"/>
        <w:rPr>
          <w:noProof/>
        </w:rPr>
      </w:pPr>
      <w:r w:rsidRPr="0076224F">
        <w:t>Za namene tega odstavka se odločitve upravnega odbora sprejemajo z večino vsaj 75 % vseh glasov, vključno z glasovi odsotnih članov.“;</w:t>
      </w:r>
    </w:p>
    <w:p w14:paraId="67E61D6D" w14:textId="77777777" w:rsidR="00BC2082" w:rsidRPr="0076224F" w:rsidRDefault="00BC2082" w:rsidP="001D4C8A">
      <w:pPr>
        <w:pStyle w:val="Point0"/>
        <w:spacing w:line="360" w:lineRule="auto"/>
        <w:jc w:val="left"/>
        <w:rPr>
          <w:noProof/>
        </w:rPr>
      </w:pPr>
      <w:r w:rsidRPr="0076224F">
        <w:t>(36)</w:t>
      </w:r>
      <w:r w:rsidRPr="0076224F">
        <w:tab/>
        <w:t xml:space="preserve">doda se naslednji odstavek 6: </w:t>
      </w:r>
    </w:p>
    <w:p w14:paraId="0203D60A" w14:textId="5A60355E" w:rsidR="00BC2082" w:rsidRPr="0076224F" w:rsidRDefault="001D4C8A" w:rsidP="0076224F">
      <w:pPr>
        <w:pStyle w:val="Text1"/>
        <w:spacing w:line="360" w:lineRule="auto"/>
        <w:ind w:left="1418" w:hanging="567"/>
        <w:jc w:val="left"/>
        <w:rPr>
          <w:noProof/>
        </w:rPr>
      </w:pPr>
      <w:r w:rsidRPr="0076224F">
        <w:t>„</w:t>
      </w:r>
      <w:r w:rsidR="00BC2082" w:rsidRPr="0076224F">
        <w:t>(6)</w:t>
      </w:r>
      <w:r w:rsidRPr="0076224F">
        <w:tab/>
      </w:r>
      <w:r w:rsidR="00BC2082" w:rsidRPr="0076224F">
        <w:t xml:space="preserve">Za naloge iz člena 7(5), (5a), (6) in (7) tega statuta se odločitve upravnega odbora sprejemajo v dveh fazah.“; </w:t>
      </w:r>
    </w:p>
    <w:p w14:paraId="6836DF46" w14:textId="77777777" w:rsidR="00BC2082" w:rsidRPr="0076224F" w:rsidRDefault="00BC2082" w:rsidP="001D4C8A">
      <w:pPr>
        <w:pStyle w:val="Point0"/>
        <w:spacing w:line="360" w:lineRule="auto"/>
        <w:jc w:val="left"/>
        <w:rPr>
          <w:noProof/>
        </w:rPr>
      </w:pPr>
      <w:r w:rsidRPr="0076224F">
        <w:t>(37)</w:t>
      </w:r>
      <w:r w:rsidRPr="0076224F">
        <w:tab/>
        <w:t xml:space="preserve">člen 7 Priloge se spremeni: </w:t>
      </w:r>
    </w:p>
    <w:p w14:paraId="1C206FA1" w14:textId="77777777" w:rsidR="00BC2082" w:rsidRPr="0076224F" w:rsidRDefault="00BC2082" w:rsidP="001D4C8A">
      <w:pPr>
        <w:pStyle w:val="Point0"/>
        <w:spacing w:line="360" w:lineRule="auto"/>
        <w:jc w:val="left"/>
        <w:rPr>
          <w:noProof/>
        </w:rPr>
      </w:pPr>
      <w:r w:rsidRPr="0076224F">
        <w:t>(38)</w:t>
      </w:r>
      <w:r w:rsidRPr="0076224F">
        <w:tab/>
        <w:t xml:space="preserve">doda se naslednji odstavek 4a: </w:t>
      </w:r>
    </w:p>
    <w:p w14:paraId="23672CE3" w14:textId="5852A71A" w:rsidR="00BC2082" w:rsidRPr="0076224F" w:rsidRDefault="001D4C8A" w:rsidP="001D4C8A">
      <w:pPr>
        <w:pStyle w:val="Point1"/>
        <w:spacing w:line="360" w:lineRule="auto"/>
        <w:jc w:val="left"/>
        <w:rPr>
          <w:noProof/>
        </w:rPr>
      </w:pPr>
      <w:r w:rsidRPr="0076224F">
        <w:t>„</w:t>
      </w:r>
      <w:r w:rsidR="00BC2082" w:rsidRPr="0076224F">
        <w:t>(4a) Upravni odbor opravlja naslednje naloge, povezane z gigatovarnami umetne inteligence iz člena 12b te uredbe:</w:t>
      </w:r>
    </w:p>
    <w:p w14:paraId="4831B92F" w14:textId="77777777" w:rsidR="00BC2082" w:rsidRPr="0076224F" w:rsidRDefault="00BC2082" w:rsidP="001D4C8A">
      <w:pPr>
        <w:pStyle w:val="Point2"/>
        <w:spacing w:line="360" w:lineRule="auto"/>
        <w:jc w:val="left"/>
        <w:rPr>
          <w:noProof/>
        </w:rPr>
      </w:pPr>
      <w:r w:rsidRPr="0076224F">
        <w:t>(a)</w:t>
      </w:r>
      <w:r w:rsidRPr="0076224F">
        <w:tab/>
        <w:t xml:space="preserve">obravnava in sprejme večletni strateški program, ki se nanaša na vzpostavitev gigatovarn umetne inteligence iz člena 18(1) tega statuta; </w:t>
      </w:r>
    </w:p>
    <w:p w14:paraId="369A2D2C" w14:textId="77777777" w:rsidR="00BC2082" w:rsidRPr="0076224F" w:rsidRDefault="00BC2082" w:rsidP="001D4C8A">
      <w:pPr>
        <w:pStyle w:val="Point2"/>
        <w:spacing w:line="360" w:lineRule="auto"/>
        <w:jc w:val="left"/>
        <w:rPr>
          <w:noProof/>
        </w:rPr>
      </w:pPr>
      <w:r w:rsidRPr="0076224F">
        <w:t>(b)</w:t>
      </w:r>
      <w:r w:rsidRPr="0076224F">
        <w:tab/>
        <w:t xml:space="preserve">obravnava in sprejme del letnega delovnega programa, ki se nanaša na vzpostavitev gigatovarn umetne inteligence in izbor konzorcijev gigatovarn umetne inteligence ter ustrezne ocene odhodkov; </w:t>
      </w:r>
    </w:p>
    <w:p w14:paraId="53C3B671" w14:textId="77777777" w:rsidR="00BC2082" w:rsidRPr="0076224F" w:rsidRDefault="00BC2082" w:rsidP="001D4C8A">
      <w:pPr>
        <w:pStyle w:val="Point2"/>
        <w:spacing w:line="360" w:lineRule="auto"/>
        <w:jc w:val="left"/>
        <w:rPr>
          <w:noProof/>
        </w:rPr>
      </w:pPr>
      <w:r w:rsidRPr="0076224F">
        <w:t>(c)</w:t>
      </w:r>
      <w:r w:rsidRPr="0076224F">
        <w:tab/>
        <w:t>odobri objavo razpisov za prijavo interesa v skladu z letnim programom dela;</w:t>
      </w:r>
    </w:p>
    <w:p w14:paraId="163AF581" w14:textId="77777777" w:rsidR="00BC2082" w:rsidRPr="0076224F" w:rsidRDefault="00BC2082" w:rsidP="001D4C8A">
      <w:pPr>
        <w:pStyle w:val="Point2"/>
        <w:spacing w:line="360" w:lineRule="auto"/>
        <w:jc w:val="left"/>
        <w:rPr>
          <w:noProof/>
        </w:rPr>
      </w:pPr>
      <w:r w:rsidRPr="0076224F">
        <w:t>(d)</w:t>
      </w:r>
      <w:r w:rsidRPr="0076224F">
        <w:tab/>
        <w:t>odobri izbor konzorcijev gigatovarn umetne inteligence, ki bodo vzpostavili in upravljali gigatovarne umetne inteligence;</w:t>
      </w:r>
    </w:p>
    <w:p w14:paraId="6EE91147" w14:textId="77777777" w:rsidR="00BC2082" w:rsidRPr="0076224F" w:rsidRDefault="00BC2082" w:rsidP="001D4C8A">
      <w:pPr>
        <w:pStyle w:val="Point2"/>
        <w:spacing w:line="360" w:lineRule="auto"/>
        <w:jc w:val="left"/>
        <w:rPr>
          <w:noProof/>
        </w:rPr>
      </w:pPr>
      <w:r w:rsidRPr="0076224F">
        <w:t>(e)</w:t>
      </w:r>
      <w:r w:rsidRPr="0076224F">
        <w:tab/>
        <w:t xml:space="preserve">določi pogoje za čas dostopa Unije do gigatovarn umetne inteligence; </w:t>
      </w:r>
    </w:p>
    <w:p w14:paraId="7E48D291" w14:textId="77777777" w:rsidR="00BC2082" w:rsidRPr="0076224F" w:rsidRDefault="00BC2082" w:rsidP="001D4C8A">
      <w:pPr>
        <w:pStyle w:val="Point2"/>
        <w:spacing w:line="360" w:lineRule="auto"/>
        <w:jc w:val="left"/>
        <w:rPr>
          <w:noProof/>
        </w:rPr>
      </w:pPr>
      <w:r w:rsidRPr="0076224F">
        <w:t xml:space="preserve">(f) </w:t>
      </w:r>
      <w:r w:rsidRPr="0076224F">
        <w:tab/>
        <w:t>odobri vse razpise, povezane z vzpostavitvijo gigatovarne umetne inteligence, ki so bili izbrani za financiranje;</w:t>
      </w:r>
    </w:p>
    <w:p w14:paraId="4AC2F598" w14:textId="77777777" w:rsidR="00BC2082" w:rsidRPr="0076224F" w:rsidRDefault="00BC2082" w:rsidP="001D4C8A">
      <w:pPr>
        <w:pStyle w:val="Point2"/>
        <w:spacing w:line="360" w:lineRule="auto"/>
        <w:jc w:val="left"/>
        <w:rPr>
          <w:noProof/>
        </w:rPr>
      </w:pPr>
      <w:r w:rsidRPr="0076224F">
        <w:t>(g)</w:t>
      </w:r>
      <w:r w:rsidRPr="0076224F">
        <w:tab/>
        <w:t>odobri okvirne pogodbe, ki jih je sklenilo Skupno podjetje EuroHPC za zagotavljanje bistvenih in zelo iskanih komponent gigatovarn umetne inteligence.“;</w:t>
      </w:r>
    </w:p>
    <w:p w14:paraId="345497DE" w14:textId="77777777" w:rsidR="00BC2082" w:rsidRPr="0076224F" w:rsidRDefault="00BC2082" w:rsidP="001D4C8A">
      <w:pPr>
        <w:pStyle w:val="Point0"/>
        <w:spacing w:line="360" w:lineRule="auto"/>
        <w:jc w:val="left"/>
        <w:rPr>
          <w:noProof/>
        </w:rPr>
      </w:pPr>
      <w:r w:rsidRPr="0076224F">
        <w:t>(39)</w:t>
      </w:r>
      <w:r w:rsidRPr="0076224F">
        <w:tab/>
        <w:t xml:space="preserve">doda se naslednji odstavek 5a: </w:t>
      </w:r>
    </w:p>
    <w:p w14:paraId="2C52FCB6" w14:textId="5E3FE7C3" w:rsidR="00BC2082" w:rsidRPr="0076224F" w:rsidRDefault="001D4C8A" w:rsidP="00E84B9B">
      <w:pPr>
        <w:pStyle w:val="Text1"/>
        <w:spacing w:line="360" w:lineRule="auto"/>
        <w:ind w:left="1418" w:hanging="568"/>
        <w:jc w:val="left"/>
        <w:rPr>
          <w:noProof/>
        </w:rPr>
      </w:pPr>
      <w:r w:rsidRPr="0076224F">
        <w:lastRenderedPageBreak/>
        <w:t>„</w:t>
      </w:r>
      <w:r w:rsidR="00BC2082" w:rsidRPr="0076224F">
        <w:t>(5a)</w:t>
      </w:r>
      <w:r w:rsidR="00BC2082" w:rsidRPr="0076224F">
        <w:tab/>
        <w:t xml:space="preserve">Za kvantni steber dejavnosti se uporabljajo določbe člena 7(5) tega statuta, razen za dejavnosti, povezane s pridobitvijo in upravljanjem kvantnih računalnikov, za katere se uporabljajo določbe člena 7(4) tega statuta.“; </w:t>
      </w:r>
    </w:p>
    <w:p w14:paraId="06B59C86" w14:textId="77777777" w:rsidR="00BC2082" w:rsidRPr="0076224F" w:rsidRDefault="00BC2082" w:rsidP="001D4C8A">
      <w:pPr>
        <w:pStyle w:val="Point0"/>
        <w:spacing w:line="360" w:lineRule="auto"/>
        <w:jc w:val="left"/>
        <w:rPr>
          <w:noProof/>
        </w:rPr>
      </w:pPr>
      <w:r w:rsidRPr="0076224F">
        <w:t>(40)</w:t>
      </w:r>
      <w:r w:rsidRPr="0076224F">
        <w:tab/>
        <w:t xml:space="preserve">člen 10 Priloge se spremeni: </w:t>
      </w:r>
    </w:p>
    <w:p w14:paraId="00428252" w14:textId="77777777" w:rsidR="00BC2082" w:rsidRPr="0076224F" w:rsidRDefault="00BC2082" w:rsidP="001D4C8A">
      <w:pPr>
        <w:pStyle w:val="Point0"/>
        <w:spacing w:line="360" w:lineRule="auto"/>
        <w:jc w:val="left"/>
        <w:rPr>
          <w:noProof/>
        </w:rPr>
      </w:pPr>
      <w:r w:rsidRPr="0076224F">
        <w:t>(41)</w:t>
      </w:r>
      <w:r w:rsidRPr="0076224F">
        <w:tab/>
        <w:t xml:space="preserve">odstavek 1 se spremeni: </w:t>
      </w:r>
    </w:p>
    <w:p w14:paraId="128E3BC3" w14:textId="77777777" w:rsidR="00BC2082" w:rsidRPr="0076224F" w:rsidRDefault="00BC2082" w:rsidP="001D4C8A">
      <w:pPr>
        <w:pStyle w:val="Text1"/>
        <w:spacing w:line="360" w:lineRule="auto"/>
        <w:jc w:val="left"/>
        <w:rPr>
          <w:noProof/>
        </w:rPr>
      </w:pPr>
      <w:r w:rsidRPr="0076224F">
        <w:t>„</w:t>
      </w:r>
      <w:bookmarkStart w:id="13" w:name="_Hlk201234016"/>
      <w:r w:rsidRPr="0076224F">
        <w:t>Industrijski in znanstveni svetovalni odbor</w:t>
      </w:r>
      <w:bookmarkEnd w:id="13"/>
      <w:r w:rsidRPr="0076224F">
        <w:t xml:space="preserve"> sestavljajo svetovalna skupina za raziskave in inovacije, svetovalna skupina za infrastrukturo in svetovalna skupina za strategijo za kvantno tehnologijo.“;</w:t>
      </w:r>
    </w:p>
    <w:p w14:paraId="7597759D" w14:textId="77777777" w:rsidR="00BC2082" w:rsidRPr="0076224F" w:rsidRDefault="00BC2082" w:rsidP="001D4C8A">
      <w:pPr>
        <w:pStyle w:val="Point0"/>
        <w:spacing w:line="360" w:lineRule="auto"/>
        <w:jc w:val="left"/>
        <w:rPr>
          <w:noProof/>
        </w:rPr>
      </w:pPr>
      <w:r w:rsidRPr="0076224F">
        <w:t>(42)</w:t>
      </w:r>
      <w:r w:rsidRPr="0076224F">
        <w:tab/>
        <w:t xml:space="preserve">doda se naslednji odstavek 7: </w:t>
      </w:r>
    </w:p>
    <w:p w14:paraId="4E880512" w14:textId="3406BBEC" w:rsidR="00BC2082" w:rsidRPr="0076224F" w:rsidRDefault="001D4C8A" w:rsidP="0076224F">
      <w:pPr>
        <w:pStyle w:val="Text1"/>
        <w:spacing w:line="360" w:lineRule="auto"/>
        <w:ind w:left="1418" w:hanging="568"/>
        <w:jc w:val="left"/>
        <w:rPr>
          <w:noProof/>
        </w:rPr>
      </w:pPr>
      <w:r w:rsidRPr="0076224F">
        <w:t>„</w:t>
      </w:r>
      <w:r w:rsidR="00BC2082" w:rsidRPr="0076224F">
        <w:t xml:space="preserve">(7)  </w:t>
      </w:r>
      <w:r w:rsidR="00BC2082" w:rsidRPr="0076224F">
        <w:tab/>
      </w:r>
      <w:bookmarkStart w:id="14" w:name="_Hlk202956349"/>
      <w:r w:rsidR="00BC2082" w:rsidRPr="0076224F">
        <w:t>Svetovalno skupino za strategijo za kvantno tehnologijo sestavlja največ dvanajst članov, od katerih jih največ šest imenujejo zasebni člani ob upoštevanju njihovih finančnih zavez do skupnega podjetja, največ šest pa upravni odbor v skladu s členom 7(3), točka (k), tega statuta.“;</w:t>
      </w:r>
      <w:bookmarkEnd w:id="14"/>
    </w:p>
    <w:p w14:paraId="53376B50" w14:textId="77777777" w:rsidR="00BC2082" w:rsidRPr="0076224F" w:rsidRDefault="00BC2082" w:rsidP="001D4C8A">
      <w:pPr>
        <w:pStyle w:val="Point0"/>
        <w:spacing w:line="360" w:lineRule="auto"/>
        <w:jc w:val="left"/>
        <w:rPr>
          <w:noProof/>
        </w:rPr>
      </w:pPr>
      <w:r w:rsidRPr="0076224F">
        <w:t>(43)</w:t>
      </w:r>
      <w:r w:rsidRPr="0076224F">
        <w:tab/>
        <w:t xml:space="preserve">doda se naslednji člen 12a: </w:t>
      </w:r>
    </w:p>
    <w:p w14:paraId="101CCBDC" w14:textId="77777777" w:rsidR="00BC2082" w:rsidRPr="0076224F" w:rsidRDefault="00BC2082" w:rsidP="001D4C8A">
      <w:pPr>
        <w:spacing w:line="360" w:lineRule="auto"/>
        <w:jc w:val="center"/>
        <w:rPr>
          <w:noProof/>
        </w:rPr>
      </w:pPr>
      <w:r w:rsidRPr="0076224F">
        <w:t>„Člen 12a</w:t>
      </w:r>
    </w:p>
    <w:p w14:paraId="3BC56AB3" w14:textId="77777777" w:rsidR="00BC2082" w:rsidRPr="0076224F" w:rsidRDefault="00BC2082" w:rsidP="001D4C8A">
      <w:pPr>
        <w:spacing w:line="360" w:lineRule="auto"/>
        <w:jc w:val="center"/>
        <w:rPr>
          <w:i/>
          <w:iCs/>
          <w:noProof/>
        </w:rPr>
      </w:pPr>
      <w:r w:rsidRPr="0076224F">
        <w:rPr>
          <w:i/>
        </w:rPr>
        <w:t>Delovanje svetovalne skupine za strategijo za kvantno tehnologijo</w:t>
      </w:r>
    </w:p>
    <w:p w14:paraId="1F9B1C36" w14:textId="77777777" w:rsidR="00BC2082" w:rsidRPr="0076224F" w:rsidRDefault="00BC2082" w:rsidP="001D4C8A">
      <w:pPr>
        <w:pStyle w:val="ManualNumPar1"/>
        <w:spacing w:line="360" w:lineRule="auto"/>
        <w:jc w:val="left"/>
        <w:rPr>
          <w:noProof/>
        </w:rPr>
      </w:pPr>
      <w:r w:rsidRPr="0076224F">
        <w:t>1.</w:t>
      </w:r>
      <w:r w:rsidRPr="0076224F">
        <w:tab/>
        <w:t>Svetovalna skupina za strategijo za kvantno tehnologijo se sestane vsaj dvakrat letno.</w:t>
      </w:r>
    </w:p>
    <w:p w14:paraId="1C960C86" w14:textId="77777777" w:rsidR="00BC2082" w:rsidRPr="0076224F" w:rsidRDefault="00BC2082" w:rsidP="001D4C8A">
      <w:pPr>
        <w:pStyle w:val="ManualNumPar1"/>
        <w:spacing w:line="360" w:lineRule="auto"/>
        <w:jc w:val="left"/>
        <w:rPr>
          <w:noProof/>
        </w:rPr>
      </w:pPr>
      <w:r w:rsidRPr="0076224F">
        <w:t>2.</w:t>
      </w:r>
      <w:r w:rsidRPr="0076224F">
        <w:tab/>
        <w:t>Svetovalna skupina za strategijo za kvantno tehnologijo lahko po potrebi imenuje delovne skupine, ki jih skupaj usklajuje en ali več članov.</w:t>
      </w:r>
    </w:p>
    <w:p w14:paraId="436B4067" w14:textId="77777777" w:rsidR="00BC2082" w:rsidRPr="0076224F" w:rsidRDefault="00BC2082" w:rsidP="001D4C8A">
      <w:pPr>
        <w:pStyle w:val="ManualNumPar1"/>
        <w:spacing w:line="360" w:lineRule="auto"/>
        <w:jc w:val="left"/>
        <w:rPr>
          <w:noProof/>
        </w:rPr>
      </w:pPr>
      <w:r w:rsidRPr="0076224F">
        <w:t>3.</w:t>
      </w:r>
      <w:r w:rsidRPr="0076224F">
        <w:tab/>
        <w:t>Svetovalna skupina za strategijo za kvantno tehnologijo izvoli svojega predsednika.</w:t>
      </w:r>
    </w:p>
    <w:p w14:paraId="04929374" w14:textId="77777777" w:rsidR="00BC2082" w:rsidRPr="0076224F" w:rsidRDefault="00BC2082" w:rsidP="001D4C8A">
      <w:pPr>
        <w:pStyle w:val="ManualNumPar1"/>
        <w:spacing w:line="360" w:lineRule="auto"/>
        <w:jc w:val="left"/>
        <w:rPr>
          <w:noProof/>
        </w:rPr>
      </w:pPr>
      <w:r w:rsidRPr="0076224F">
        <w:t>4.</w:t>
      </w:r>
      <w:r w:rsidRPr="0076224F">
        <w:tab/>
        <w:t xml:space="preserve">Svetovalna skupina za strategijo za kvantno tehnologijo sprejme svoj poslovnik, vključno z imenovanjem subjektov v sestavi, ki jo zastopajo, in določitvijo obdobja, za katero so imenovani.“; </w:t>
      </w:r>
    </w:p>
    <w:p w14:paraId="062F6910" w14:textId="77777777" w:rsidR="00BC2082" w:rsidRPr="0076224F" w:rsidRDefault="00BC2082" w:rsidP="001D4C8A">
      <w:pPr>
        <w:pStyle w:val="Point0"/>
        <w:spacing w:line="360" w:lineRule="auto"/>
        <w:jc w:val="left"/>
        <w:rPr>
          <w:noProof/>
        </w:rPr>
      </w:pPr>
      <w:r w:rsidRPr="0076224F">
        <w:t>(44)</w:t>
      </w:r>
      <w:r w:rsidRPr="0076224F">
        <w:tab/>
        <w:t xml:space="preserve">doda se naslednji člen 14a: </w:t>
      </w:r>
    </w:p>
    <w:p w14:paraId="63DE4CD3" w14:textId="77777777" w:rsidR="00BC2082" w:rsidRPr="0076224F" w:rsidRDefault="00BC2082" w:rsidP="001D4C8A">
      <w:pPr>
        <w:spacing w:line="360" w:lineRule="auto"/>
        <w:jc w:val="center"/>
        <w:rPr>
          <w:noProof/>
        </w:rPr>
      </w:pPr>
      <w:r w:rsidRPr="0076224F">
        <w:t>„Člen 14a</w:t>
      </w:r>
    </w:p>
    <w:p w14:paraId="62361577" w14:textId="77777777" w:rsidR="00BC2082" w:rsidRPr="0076224F" w:rsidRDefault="00BC2082" w:rsidP="001D4C8A">
      <w:pPr>
        <w:spacing w:line="360" w:lineRule="auto"/>
        <w:jc w:val="center"/>
        <w:rPr>
          <w:i/>
          <w:iCs/>
          <w:noProof/>
        </w:rPr>
      </w:pPr>
      <w:r w:rsidRPr="0076224F">
        <w:rPr>
          <w:i/>
        </w:rPr>
        <w:t>Naloge svetovalne skupine za strategijo za kvantno tehnologijo</w:t>
      </w:r>
    </w:p>
    <w:p w14:paraId="4FE255C3" w14:textId="77777777" w:rsidR="00BC2082" w:rsidRPr="0076224F" w:rsidRDefault="00BC2082" w:rsidP="001D4C8A">
      <w:pPr>
        <w:pStyle w:val="ManualNumPar1"/>
        <w:spacing w:line="360" w:lineRule="auto"/>
        <w:jc w:val="left"/>
        <w:rPr>
          <w:noProof/>
        </w:rPr>
      </w:pPr>
      <w:r w:rsidRPr="0076224F">
        <w:t>1.</w:t>
      </w:r>
      <w:r w:rsidRPr="0076224F">
        <w:tab/>
        <w:t xml:space="preserve">Svetovalna skupina za strategijo za kvantno tehnologijo: </w:t>
      </w:r>
    </w:p>
    <w:p w14:paraId="39010A62" w14:textId="77777777" w:rsidR="00BC2082" w:rsidRPr="0076224F" w:rsidRDefault="00BC2082" w:rsidP="001D4C8A">
      <w:pPr>
        <w:pStyle w:val="Point1"/>
        <w:spacing w:line="360" w:lineRule="auto"/>
        <w:jc w:val="left"/>
        <w:rPr>
          <w:noProof/>
        </w:rPr>
      </w:pPr>
      <w:r w:rsidRPr="0076224F">
        <w:t>(a)</w:t>
      </w:r>
      <w:r w:rsidRPr="0076224F">
        <w:tab/>
        <w:t xml:space="preserve">pripravi svoj prispevek k osnutku večletnega strateškega programa v zvezi z dejavnostmi na področju kvantnih tehnologij iz člena 20 tega statuta ter ga </w:t>
      </w:r>
      <w:r w:rsidRPr="0076224F">
        <w:lastRenderedPageBreak/>
        <w:t xml:space="preserve">redno pregleduje v skladu s spremembami znanstvenega, industrijskega in političnega povpraševanja; </w:t>
      </w:r>
    </w:p>
    <w:p w14:paraId="77F824B2" w14:textId="77777777" w:rsidR="00BC2082" w:rsidRPr="0076224F" w:rsidRDefault="00BC2082" w:rsidP="001D4C8A">
      <w:pPr>
        <w:pStyle w:val="Point1"/>
        <w:spacing w:line="360" w:lineRule="auto"/>
        <w:jc w:val="left"/>
        <w:rPr>
          <w:noProof/>
        </w:rPr>
      </w:pPr>
      <w:r w:rsidRPr="0076224F">
        <w:t>(b)</w:t>
      </w:r>
      <w:r w:rsidRPr="0076224F">
        <w:tab/>
        <w:t>organizira javna posvetovanja, odprta za vse javne in zasebne deležnike, ki jih zanima področje kvantnih tehnologij, da jih obvešča in pridobi povratne informacije o osnutku večletnega strateškega programa in pripadajočem osnutku programa dela za dejavnosti na področju kvantnih tehnologij za zadevno leto.</w:t>
      </w:r>
    </w:p>
    <w:p w14:paraId="05A4AB5E" w14:textId="77777777" w:rsidR="00BC2082" w:rsidRPr="0076224F" w:rsidRDefault="00BC2082" w:rsidP="001D4C8A">
      <w:pPr>
        <w:pStyle w:val="Point1"/>
        <w:spacing w:line="360" w:lineRule="auto"/>
        <w:jc w:val="left"/>
        <w:rPr>
          <w:noProof/>
        </w:rPr>
      </w:pPr>
      <w:r w:rsidRPr="0076224F">
        <w:t>(c)</w:t>
      </w:r>
      <w:r w:rsidRPr="0076224F">
        <w:tab/>
        <w:t xml:space="preserve">Prispevek k osnutku večletnega strateškega programa iz odstavka 1 obravnava: </w:t>
      </w:r>
    </w:p>
    <w:p w14:paraId="194EDB71" w14:textId="77777777" w:rsidR="00BC2082" w:rsidRPr="0076224F" w:rsidRDefault="00BC2082" w:rsidP="001D4C8A">
      <w:pPr>
        <w:pStyle w:val="Point1"/>
        <w:spacing w:line="360" w:lineRule="auto"/>
        <w:jc w:val="left"/>
        <w:rPr>
          <w:noProof/>
        </w:rPr>
      </w:pPr>
      <w:r w:rsidRPr="0076224F">
        <w:t>(d)</w:t>
      </w:r>
      <w:r w:rsidRPr="0076224F">
        <w:tab/>
        <w:t>strateške prednostne naloge na področju raziskav, inovacij, uvajanja in infrastrukture za razvoj in uvedbo kvantnih tehnologij ter njihovo integracijo v evropski digitalni ekosistem, za podporo odpornosti, tehnološki suverenosti in strateški avtonomiji Unije, ob upoštevanju možnosti dvojne rabe takih tehnologij;</w:t>
      </w:r>
    </w:p>
    <w:p w14:paraId="01452A90" w14:textId="77777777" w:rsidR="00BC2082" w:rsidRPr="0076224F" w:rsidRDefault="00BC2082" w:rsidP="001D4C8A">
      <w:pPr>
        <w:pStyle w:val="Point1"/>
        <w:spacing w:line="360" w:lineRule="auto"/>
        <w:jc w:val="left"/>
        <w:rPr>
          <w:noProof/>
        </w:rPr>
      </w:pPr>
      <w:r w:rsidRPr="0076224F">
        <w:t>(e)</w:t>
      </w:r>
      <w:r w:rsidRPr="0076224F">
        <w:tab/>
        <w:t>morebitne dejavnosti mednarodnega sodelovanja na področju kvantnih tehnologij, ki prinašajo dodano vrednost in so v skupnem interesu, ob hkratnem zagotavljanju usklajenosti z vrednotami in varnostnimi interesi Unije;</w:t>
      </w:r>
    </w:p>
    <w:p w14:paraId="557E85BE" w14:textId="77777777" w:rsidR="00BC2082" w:rsidRPr="0076224F" w:rsidRDefault="00BC2082" w:rsidP="001D4C8A">
      <w:pPr>
        <w:pStyle w:val="Point1"/>
        <w:spacing w:line="360" w:lineRule="auto"/>
        <w:jc w:val="left"/>
        <w:rPr>
          <w:noProof/>
        </w:rPr>
      </w:pPr>
      <w:r w:rsidRPr="0076224F">
        <w:t>(f)</w:t>
      </w:r>
      <w:r w:rsidRPr="0076224F">
        <w:tab/>
        <w:t>prednostne naloge na področju usposabljanja, izobraževanja in razvoja delovne sile za obravnavanje ključnih kompetenc ter vrzeli v znanjih in spretnostih na področju kvantnih tehnologij, vključno z ozaveščenostjo o varnostno občutljivih aplikacijah;</w:t>
      </w:r>
    </w:p>
    <w:p w14:paraId="71DDA309" w14:textId="77777777" w:rsidR="00BC2082" w:rsidRPr="0076224F" w:rsidRDefault="00BC2082" w:rsidP="001D4C8A">
      <w:pPr>
        <w:pStyle w:val="Point1"/>
        <w:spacing w:line="360" w:lineRule="auto"/>
        <w:jc w:val="left"/>
        <w:rPr>
          <w:noProof/>
        </w:rPr>
      </w:pPr>
      <w:r w:rsidRPr="0076224F">
        <w:t>(g)</w:t>
      </w:r>
      <w:r w:rsidRPr="0076224F">
        <w:tab/>
        <w:t xml:space="preserve">pridobitev, uvajanje in upravljanje kvantnih infrastruktur, vključno z medsebojno povezavo in združevanjem z infrastrukturami visokozmogljivostnega računalništva ter drugimi digitalnimi infrastrukturami, kot so kvantne komunikacije in kvantno zaznavanje; </w:t>
      </w:r>
    </w:p>
    <w:p w14:paraId="5EC493D8" w14:textId="77777777" w:rsidR="00BC2082" w:rsidRPr="0076224F" w:rsidRDefault="00BC2082" w:rsidP="001D4C8A">
      <w:pPr>
        <w:pStyle w:val="Point1"/>
        <w:spacing w:line="360" w:lineRule="auto"/>
        <w:jc w:val="left"/>
        <w:rPr>
          <w:noProof/>
        </w:rPr>
      </w:pPr>
      <w:r w:rsidRPr="0076224F">
        <w:t>(h)</w:t>
      </w:r>
      <w:r w:rsidRPr="0076224F">
        <w:tab/>
        <w:t>ukrepe za krepitev zmogljivosti, interoperabilnost, standardizacijo in varnost na področju kvantnih tehnologij s posebnim poudarkom na tveganjih v zvezi z dvojno rabo ter zaščito strateških sredstev, interesov, avtonomije ali varnosti Unije.“;</w:t>
      </w:r>
    </w:p>
    <w:p w14:paraId="36689DCF" w14:textId="77777777" w:rsidR="00BC2082" w:rsidRPr="0076224F" w:rsidRDefault="00BC2082" w:rsidP="001D4C8A">
      <w:pPr>
        <w:pStyle w:val="Point0"/>
        <w:spacing w:line="360" w:lineRule="auto"/>
        <w:jc w:val="left"/>
        <w:rPr>
          <w:noProof/>
        </w:rPr>
      </w:pPr>
      <w:r w:rsidRPr="0076224F">
        <w:t>(45)</w:t>
      </w:r>
      <w:r w:rsidRPr="0076224F">
        <w:tab/>
        <w:t xml:space="preserve">člen 16 Priloge se spremeni: </w:t>
      </w:r>
    </w:p>
    <w:p w14:paraId="667AEDF5" w14:textId="7F5CB011" w:rsidR="00BC2082" w:rsidRPr="0076224F" w:rsidRDefault="001D4C8A" w:rsidP="001D4C8A">
      <w:pPr>
        <w:pStyle w:val="Text1"/>
        <w:spacing w:line="360" w:lineRule="auto"/>
        <w:jc w:val="left"/>
        <w:rPr>
          <w:noProof/>
        </w:rPr>
      </w:pPr>
      <w:r w:rsidRPr="0076224F">
        <w:lastRenderedPageBreak/>
        <w:t>„</w:t>
      </w:r>
      <w:r w:rsidR="00BC2082" w:rsidRPr="0076224F">
        <w:t>Proračunske obveznosti Skupnega podjetja se lahko razdelijo na letne obroke. Od januarja 2025 vsaj 20 % skupnega proračuna za preostala leta ni kritih z letnimi obroki.“.</w:t>
      </w:r>
    </w:p>
    <w:p w14:paraId="1507AF17" w14:textId="77777777" w:rsidR="00BC2082" w:rsidRPr="0076224F" w:rsidRDefault="00BC2082" w:rsidP="001D4C8A">
      <w:pPr>
        <w:pStyle w:val="Titrearticle"/>
        <w:spacing w:line="360" w:lineRule="auto"/>
        <w:rPr>
          <w:noProof/>
        </w:rPr>
      </w:pPr>
      <w:r w:rsidRPr="0076224F">
        <w:t>Člen 40</w:t>
      </w:r>
    </w:p>
    <w:p w14:paraId="62D4CC16" w14:textId="77777777" w:rsidR="00BC2082" w:rsidRPr="0076224F" w:rsidRDefault="00BC2082" w:rsidP="001D4C8A">
      <w:pPr>
        <w:spacing w:line="360" w:lineRule="auto"/>
        <w:rPr>
          <w:noProof/>
        </w:rPr>
      </w:pPr>
      <w:r w:rsidRPr="0076224F">
        <w:t xml:space="preserve">Ta uredba začne veljati dvajseti dan po objavi v </w:t>
      </w:r>
      <w:r w:rsidRPr="0076224F">
        <w:rPr>
          <w:i/>
          <w:iCs/>
        </w:rPr>
        <w:t>Uradnem listu Evropske unije</w:t>
      </w:r>
      <w:r w:rsidRPr="0076224F">
        <w:t>.</w:t>
      </w:r>
    </w:p>
    <w:p w14:paraId="18A653D1" w14:textId="77777777" w:rsidR="00BC2082" w:rsidRPr="0076224F" w:rsidRDefault="00BC2082" w:rsidP="001D4C8A">
      <w:pPr>
        <w:pStyle w:val="Applicationdirecte"/>
        <w:spacing w:line="360" w:lineRule="auto"/>
        <w:jc w:val="left"/>
        <w:rPr>
          <w:noProof/>
        </w:rPr>
      </w:pPr>
      <w:r w:rsidRPr="0076224F">
        <w:t>Ta uredba je v celoti zavezujoča in se neposredno uporablja v vseh državah članicah.</w:t>
      </w:r>
    </w:p>
    <w:p w14:paraId="3FEA3B03" w14:textId="77777777" w:rsidR="00BC2082" w:rsidRPr="0076224F" w:rsidRDefault="00BC2082" w:rsidP="001D4C8A">
      <w:pPr>
        <w:pStyle w:val="Fait"/>
        <w:spacing w:line="360" w:lineRule="auto"/>
        <w:rPr>
          <w:noProof/>
        </w:rPr>
      </w:pPr>
      <w:r w:rsidRPr="0076224F">
        <w:t>V Bruslju,</w:t>
      </w:r>
    </w:p>
    <w:p w14:paraId="2BB4C934" w14:textId="77777777" w:rsidR="001D4C8A" w:rsidRPr="0076224F" w:rsidRDefault="001D4C8A" w:rsidP="0076224F">
      <w:pPr>
        <w:pStyle w:val="Institutionquisigne"/>
        <w:ind w:left="4253" w:hanging="4253"/>
        <w:rPr>
          <w:noProof/>
        </w:rPr>
      </w:pPr>
      <w:r w:rsidRPr="0076224F">
        <w:t xml:space="preserve">Za Evropski parlament </w:t>
      </w:r>
      <w:r w:rsidRPr="0076224F">
        <w:tab/>
        <w:t>Za Svet</w:t>
      </w:r>
    </w:p>
    <w:p w14:paraId="09E8028D" w14:textId="4CFEEAED" w:rsidR="00E365E1" w:rsidRPr="0076224F" w:rsidRDefault="001D4C8A" w:rsidP="0076224F">
      <w:pPr>
        <w:spacing w:before="480"/>
        <w:ind w:left="4253" w:hanging="4253"/>
        <w:rPr>
          <w:i/>
        </w:rPr>
      </w:pPr>
      <w:r w:rsidRPr="0076224F">
        <w:rPr>
          <w:i/>
        </w:rPr>
        <w:t>predsednica</w:t>
      </w:r>
      <w:r w:rsidRPr="0076224F">
        <w:rPr>
          <w:i/>
        </w:rPr>
        <w:tab/>
        <w:t>predsednik/predsednica</w:t>
      </w:r>
    </w:p>
    <w:sectPr w:rsidR="00E365E1" w:rsidRPr="0076224F" w:rsidSect="002D25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9CDDE" w14:textId="77777777" w:rsidR="00B7311D" w:rsidRPr="002D2522" w:rsidRDefault="00B7311D">
      <w:r w:rsidRPr="002D2522">
        <w:separator/>
      </w:r>
    </w:p>
  </w:endnote>
  <w:endnote w:type="continuationSeparator" w:id="0">
    <w:p w14:paraId="510976AE" w14:textId="77777777" w:rsidR="00B7311D" w:rsidRPr="002D2522" w:rsidRDefault="00B7311D">
      <w:r w:rsidRPr="002D25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FD6B1" w14:textId="77777777" w:rsidR="00064002" w:rsidRPr="002D25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02822" w14:textId="77777777" w:rsidR="00064002" w:rsidRPr="002D25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74CA4" w14:textId="77777777" w:rsidR="00064002" w:rsidRPr="002D25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A1EA4" w14:textId="77777777" w:rsidR="00B7311D" w:rsidRPr="002D2522" w:rsidRDefault="00B7311D">
      <w:r w:rsidRPr="002D2522">
        <w:separator/>
      </w:r>
    </w:p>
  </w:footnote>
  <w:footnote w:type="continuationSeparator" w:id="0">
    <w:p w14:paraId="54159D12" w14:textId="77777777" w:rsidR="00B7311D" w:rsidRPr="002D2522" w:rsidRDefault="00B7311D">
      <w:r w:rsidRPr="002D2522">
        <w:continuationSeparator/>
      </w:r>
    </w:p>
  </w:footnote>
  <w:footnote w:id="1">
    <w:p w14:paraId="539EC63F" w14:textId="77777777" w:rsidR="008E5BF1" w:rsidRPr="002D2522" w:rsidRDefault="008E5BF1" w:rsidP="008E5BF1">
      <w:pPr>
        <w:pStyle w:val="FootnoteText"/>
        <w:ind w:left="567" w:hanging="567"/>
        <w:rPr>
          <w:sz w:val="24"/>
          <w:lang w:val="sl-SI"/>
        </w:rPr>
      </w:pPr>
      <w:r w:rsidRPr="002D2522">
        <w:rPr>
          <w:rStyle w:val="FootnoteReference"/>
          <w:sz w:val="24"/>
          <w:lang w:val="sl-SI"/>
        </w:rPr>
        <w:t>*</w:t>
      </w:r>
      <w:r w:rsidRPr="002D2522">
        <w:rPr>
          <w:rStyle w:val="FootnoteReference"/>
          <w:sz w:val="24"/>
          <w:lang w:val="sl-SI"/>
        </w:rPr>
        <w:tab/>
      </w:r>
      <w:r w:rsidRPr="002D2522">
        <w:rPr>
          <w:sz w:val="24"/>
          <w:lang w:val="sl-SI"/>
        </w:rPr>
        <w:t xml:space="preserve">Spremembe: novo ali spremenjeno besedilo je označeno s </w:t>
      </w:r>
      <w:r w:rsidRPr="002D2522">
        <w:rPr>
          <w:b/>
          <w:i/>
          <w:sz w:val="24"/>
          <w:lang w:val="sl-SI"/>
        </w:rPr>
        <w:t>krepkim ležečim tiskom</w:t>
      </w:r>
      <w:r w:rsidRPr="002D2522">
        <w:rPr>
          <w:sz w:val="24"/>
          <w:lang w:val="sl-SI"/>
        </w:rPr>
        <w:t>; simbol ▌pa tiste dele besedila, ki so bili črtani.</w:t>
      </w:r>
    </w:p>
  </w:footnote>
  <w:footnote w:id="2">
    <w:p w14:paraId="666CBEB0" w14:textId="3D62B771" w:rsidR="00BC2082" w:rsidRPr="002D2522" w:rsidRDefault="00BC2082" w:rsidP="002D2522">
      <w:pPr>
        <w:pStyle w:val="FootnoteText"/>
        <w:ind w:left="567" w:hanging="567"/>
        <w:rPr>
          <w:sz w:val="24"/>
          <w:lang w:val="sl-SI"/>
        </w:rPr>
      </w:pPr>
      <w:r w:rsidRPr="002D2522">
        <w:rPr>
          <w:rStyle w:val="FootnoteReference"/>
          <w:sz w:val="24"/>
          <w:lang w:val="sl-SI"/>
        </w:rPr>
        <w:footnoteRef/>
      </w:r>
      <w:r w:rsidR="002D2522" w:rsidRPr="002D2522">
        <w:rPr>
          <w:sz w:val="24"/>
          <w:lang w:val="sl-SI"/>
        </w:rPr>
        <w:t xml:space="preserve"> </w:t>
      </w:r>
      <w:r w:rsidR="002D2522" w:rsidRPr="002D2522">
        <w:rPr>
          <w:sz w:val="24"/>
          <w:lang w:val="sl-SI"/>
        </w:rPr>
        <w:tab/>
      </w:r>
      <w:r w:rsidR="008E5BF1" w:rsidRPr="002D2522">
        <w:rPr>
          <w:sz w:val="24"/>
          <w:lang w:val="sl-SI"/>
        </w:rPr>
        <w:t xml:space="preserve">UL C </w:t>
      </w:r>
      <w:r w:rsidR="008E5BF1">
        <w:rPr>
          <w:sz w:val="24"/>
          <w:lang w:val="sl-SI"/>
        </w:rPr>
        <w:t>,</w:t>
      </w:r>
      <w:r w:rsidR="008E5BF1" w:rsidRPr="002D2522">
        <w:rPr>
          <w:sz w:val="24"/>
          <w:lang w:val="sl-SI"/>
        </w:rPr>
        <w:t xml:space="preserve"> </w:t>
      </w:r>
      <w:r w:rsidR="008E5BF1">
        <w:rPr>
          <w:sz w:val="24"/>
          <w:lang w:val="sl-SI"/>
        </w:rPr>
        <w:t>,</w:t>
      </w:r>
      <w:r w:rsidR="008E5BF1" w:rsidRPr="002D2522">
        <w:rPr>
          <w:sz w:val="24"/>
          <w:lang w:val="sl-SI"/>
        </w:rPr>
        <w:t xml:space="preserve"> str. .</w:t>
      </w:r>
    </w:p>
  </w:footnote>
  <w:footnote w:id="3">
    <w:p w14:paraId="74DC4F49" w14:textId="0F24411F" w:rsidR="00BC2082" w:rsidRPr="002D2522" w:rsidRDefault="00BC2082" w:rsidP="002D2522">
      <w:pPr>
        <w:pStyle w:val="FootnoteText"/>
        <w:ind w:left="567" w:hanging="567"/>
        <w:rPr>
          <w:sz w:val="24"/>
          <w:lang w:val="sl-SI"/>
        </w:rPr>
      </w:pPr>
      <w:r w:rsidRPr="002D2522">
        <w:rPr>
          <w:rStyle w:val="FootnoteReference"/>
          <w:sz w:val="24"/>
          <w:lang w:val="sl-SI"/>
        </w:rPr>
        <w:footnoteRef/>
      </w:r>
      <w:r w:rsidR="002D2522" w:rsidRPr="002D2522">
        <w:rPr>
          <w:sz w:val="24"/>
          <w:lang w:val="sl-SI"/>
        </w:rPr>
        <w:t xml:space="preserve"> </w:t>
      </w:r>
      <w:r w:rsidR="002D2522" w:rsidRPr="002D2522">
        <w:rPr>
          <w:sz w:val="24"/>
          <w:lang w:val="sl-SI"/>
        </w:rPr>
        <w:tab/>
      </w:r>
      <w:r w:rsidR="008E5BF1" w:rsidRPr="002D2522">
        <w:rPr>
          <w:sz w:val="24"/>
          <w:lang w:val="sl-SI"/>
        </w:rPr>
        <w:t>UL C […], […], str. […].</w:t>
      </w:r>
    </w:p>
  </w:footnote>
  <w:footnote w:id="4">
    <w:p w14:paraId="42DA8C32" w14:textId="0B6CD1D2" w:rsidR="00BC2082" w:rsidRPr="002D2522" w:rsidRDefault="00BC2082" w:rsidP="002D2522">
      <w:pPr>
        <w:pStyle w:val="FootnoteText"/>
        <w:ind w:left="567" w:hanging="567"/>
        <w:rPr>
          <w:b/>
          <w:bCs/>
          <w:i/>
          <w:iCs/>
          <w:sz w:val="24"/>
          <w:lang w:val="sl-SI"/>
        </w:rPr>
      </w:pPr>
      <w:r w:rsidRPr="002D2522">
        <w:rPr>
          <w:rStyle w:val="FootnoteReference"/>
          <w:b/>
          <w:bCs/>
          <w:i/>
          <w:iCs/>
          <w:sz w:val="24"/>
          <w:lang w:val="sl-SI"/>
        </w:rPr>
        <w:footnoteRef/>
      </w:r>
      <w:r w:rsidR="002D2522" w:rsidRPr="002D2522">
        <w:rPr>
          <w:b/>
          <w:i/>
          <w:sz w:val="24"/>
          <w:lang w:val="sl-SI"/>
        </w:rPr>
        <w:t xml:space="preserve"> </w:t>
      </w:r>
      <w:r w:rsidR="002D2522" w:rsidRPr="002D2522">
        <w:rPr>
          <w:b/>
          <w:i/>
          <w:sz w:val="24"/>
          <w:lang w:val="sl-SI"/>
        </w:rPr>
        <w:tab/>
      </w:r>
      <w:r w:rsidRPr="002D2522">
        <w:rPr>
          <w:b/>
          <w:i/>
          <w:sz w:val="24"/>
          <w:lang w:val="sl-SI"/>
        </w:rPr>
        <w:t>Uredba (EU) 2021/695 Evropskega parlamenta in Sveta z dne 28. aprila 2021 o vzpostavitvi okvirnega programa za raziskave in inovacije Obzorje Evropa, določitvi pravil za sodelovanje in razširjanje rezultatov ter razveljavitvi uredb (EU) št. 1290/2013 in (EU) št. 1291/2013 (UL L 170, 12.5.2021, str. 1, ELI: </w:t>
      </w:r>
      <w:hyperlink r:id="rId1" w:tooltip="Dokument je na voljo prek zakonodajnega identifikatorja ELI." w:history="1">
        <w:r w:rsidRPr="002D2522">
          <w:rPr>
            <w:rStyle w:val="Hyperlink"/>
            <w:b/>
            <w:i/>
            <w:sz w:val="24"/>
            <w:lang w:val="sl-SI"/>
          </w:rPr>
          <w:t>http://data.europa.eu/eli/reg/2021/695/oj</w:t>
        </w:r>
      </w:hyperlink>
      <w:r w:rsidRPr="002D2522">
        <w:rPr>
          <w:b/>
          <w:i/>
          <w:sz w:val="24"/>
          <w:lang w:val="sl-SI"/>
        </w:rPr>
        <w:t>).</w:t>
      </w:r>
    </w:p>
  </w:footnote>
  <w:footnote w:id="5">
    <w:p w14:paraId="55412A90" w14:textId="4962C5B3" w:rsidR="00BC2082" w:rsidRPr="002D2522" w:rsidRDefault="00BC2082" w:rsidP="002D2522">
      <w:pPr>
        <w:pStyle w:val="FootnoteText"/>
        <w:ind w:left="567" w:hanging="567"/>
        <w:rPr>
          <w:sz w:val="24"/>
          <w:lang w:val="sl-SI"/>
        </w:rPr>
      </w:pPr>
      <w:r w:rsidRPr="002D2522">
        <w:rPr>
          <w:rStyle w:val="FootnoteReference"/>
          <w:sz w:val="24"/>
          <w:lang w:val="sl-SI"/>
        </w:rPr>
        <w:footnoteRef/>
      </w:r>
      <w:r w:rsidR="002D2522" w:rsidRPr="002D2522">
        <w:rPr>
          <w:sz w:val="24"/>
          <w:lang w:val="sl-SI"/>
        </w:rPr>
        <w:t xml:space="preserve"> </w:t>
      </w:r>
      <w:r w:rsidR="002D2522" w:rsidRPr="002D2522">
        <w:rPr>
          <w:sz w:val="24"/>
          <w:lang w:val="sl-SI"/>
        </w:rPr>
        <w:tab/>
      </w:r>
      <w:hyperlink r:id="rId2" w:history="1">
        <w:r w:rsidRPr="002D2522">
          <w:rPr>
            <w:rStyle w:val="Hyperlink"/>
            <w:sz w:val="24"/>
            <w:lang w:val="sl-SI"/>
          </w:rPr>
          <w:t>https://digital-strategy.ec.europa.eu/en/news/commission-sets-course-europes-ai-leadership-ambitious-ai-continent-action-plan</w:t>
        </w:r>
      </w:hyperlink>
      <w:r w:rsidRPr="002D2522">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7867F" w14:textId="77777777" w:rsidR="00064002" w:rsidRPr="002D25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A95BB" w14:textId="77777777" w:rsidR="00064002" w:rsidRPr="002D25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6075" w14:textId="77777777" w:rsidR="00064002" w:rsidRPr="002D25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6380976">
    <w:abstractNumId w:val="9"/>
  </w:num>
  <w:num w:numId="2" w16cid:durableId="1300652781">
    <w:abstractNumId w:val="9"/>
  </w:num>
  <w:num w:numId="3" w16cid:durableId="361519782">
    <w:abstractNumId w:val="7"/>
  </w:num>
  <w:num w:numId="4" w16cid:durableId="81997302">
    <w:abstractNumId w:val="7"/>
  </w:num>
  <w:num w:numId="5" w16cid:durableId="1067416916">
    <w:abstractNumId w:val="6"/>
  </w:num>
  <w:num w:numId="6" w16cid:durableId="620306208">
    <w:abstractNumId w:val="6"/>
  </w:num>
  <w:num w:numId="7" w16cid:durableId="1024405709">
    <w:abstractNumId w:val="5"/>
  </w:num>
  <w:num w:numId="8" w16cid:durableId="10842591">
    <w:abstractNumId w:val="5"/>
  </w:num>
  <w:num w:numId="9" w16cid:durableId="1950231808">
    <w:abstractNumId w:val="4"/>
  </w:num>
  <w:num w:numId="10" w16cid:durableId="288166819">
    <w:abstractNumId w:val="4"/>
  </w:num>
  <w:num w:numId="11" w16cid:durableId="886842462">
    <w:abstractNumId w:val="8"/>
  </w:num>
  <w:num w:numId="12" w16cid:durableId="994645062">
    <w:abstractNumId w:val="8"/>
  </w:num>
  <w:num w:numId="13" w16cid:durableId="1756632726">
    <w:abstractNumId w:val="3"/>
  </w:num>
  <w:num w:numId="14" w16cid:durableId="1052655963">
    <w:abstractNumId w:val="3"/>
  </w:num>
  <w:num w:numId="15" w16cid:durableId="2076121580">
    <w:abstractNumId w:val="2"/>
  </w:num>
  <w:num w:numId="16" w16cid:durableId="836116284">
    <w:abstractNumId w:val="2"/>
  </w:num>
  <w:num w:numId="17" w16cid:durableId="1831943581">
    <w:abstractNumId w:val="1"/>
  </w:num>
  <w:num w:numId="18" w16cid:durableId="1295796593">
    <w:abstractNumId w:val="1"/>
  </w:num>
  <w:num w:numId="19" w16cid:durableId="594288170">
    <w:abstractNumId w:val="0"/>
  </w:num>
  <w:num w:numId="20" w16cid:durableId="1580752013">
    <w:abstractNumId w:val="0"/>
  </w:num>
  <w:num w:numId="21" w16cid:durableId="1312634268">
    <w:abstractNumId w:val="9"/>
  </w:num>
  <w:num w:numId="22" w16cid:durableId="1154222281">
    <w:abstractNumId w:val="7"/>
  </w:num>
  <w:num w:numId="23" w16cid:durableId="325669919">
    <w:abstractNumId w:val="6"/>
  </w:num>
  <w:num w:numId="24" w16cid:durableId="2082094186">
    <w:abstractNumId w:val="5"/>
  </w:num>
  <w:num w:numId="25" w16cid:durableId="2112163893">
    <w:abstractNumId w:val="4"/>
  </w:num>
  <w:num w:numId="26" w16cid:durableId="1358893609">
    <w:abstractNumId w:val="8"/>
  </w:num>
  <w:num w:numId="27" w16cid:durableId="1621497246">
    <w:abstractNumId w:val="3"/>
  </w:num>
  <w:num w:numId="28" w16cid:durableId="1886480501">
    <w:abstractNumId w:val="2"/>
  </w:num>
  <w:num w:numId="29" w16cid:durableId="128523161">
    <w:abstractNumId w:val="1"/>
  </w:num>
  <w:num w:numId="30" w16cid:durableId="867372258">
    <w:abstractNumId w:val="0"/>
  </w:num>
  <w:num w:numId="31" w16cid:durableId="417288535">
    <w:abstractNumId w:val="9"/>
  </w:num>
  <w:num w:numId="32" w16cid:durableId="584532332">
    <w:abstractNumId w:val="7"/>
  </w:num>
  <w:num w:numId="33" w16cid:durableId="1178423006">
    <w:abstractNumId w:val="6"/>
  </w:num>
  <w:num w:numId="34" w16cid:durableId="2106923433">
    <w:abstractNumId w:val="5"/>
  </w:num>
  <w:num w:numId="35" w16cid:durableId="13121288">
    <w:abstractNumId w:val="4"/>
  </w:num>
  <w:num w:numId="36" w16cid:durableId="1412460322">
    <w:abstractNumId w:val="8"/>
  </w:num>
  <w:num w:numId="37" w16cid:durableId="809636504">
    <w:abstractNumId w:val="3"/>
  </w:num>
  <w:num w:numId="38" w16cid:durableId="1825927505">
    <w:abstractNumId w:val="2"/>
  </w:num>
  <w:num w:numId="39" w16cid:durableId="344284048">
    <w:abstractNumId w:val="1"/>
  </w:num>
  <w:num w:numId="40" w16cid:durableId="1647513248">
    <w:abstractNumId w:val="0"/>
  </w:num>
  <w:num w:numId="41" w16cid:durableId="911089476">
    <w:abstractNumId w:val="10"/>
  </w:num>
  <w:num w:numId="42" w16cid:durableId="512181886">
    <w:abstractNumId w:val="10"/>
  </w:num>
  <w:num w:numId="43" w16cid:durableId="1479226213">
    <w:abstractNumId w:val="10"/>
  </w:num>
  <w:num w:numId="44" w16cid:durableId="10090671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SL"/>
    <w:docVar w:name="dvnumam" w:val="0"/>
    <w:docVar w:name="dvpe" w:val="779.752"/>
    <w:docVar w:name="dvrapporteur" w:val="Poročevalec: "/>
    <w:docVar w:name="dvstar" w:val="*"/>
    <w:docVar w:name="dvtitre" w:val="Zakonodajna resolucija Evropskega parlamenta z dne xx. decembra 2025 o predlogu uredbe Sveta o spremembi Uredbe Sveta (EU) 2021/1173 z dne 13. julija 2021 o ustanovitvi Skupnega podjetja za evropsko visokozmogljivostno računalništvo in razveljavitvi Uredbe (EU) 2018/1488(COM(2025)0414 – C10-0204/2025 – 2025/0229(NLE))"/>
  </w:docVars>
  <w:rsids>
    <w:rsidRoot w:val="00B7311D"/>
    <w:rsid w:val="00002272"/>
    <w:rsid w:val="00064002"/>
    <w:rsid w:val="000677B9"/>
    <w:rsid w:val="000831BA"/>
    <w:rsid w:val="000913ED"/>
    <w:rsid w:val="000A42CC"/>
    <w:rsid w:val="000E7DD9"/>
    <w:rsid w:val="0010095E"/>
    <w:rsid w:val="00125B37"/>
    <w:rsid w:val="0015547D"/>
    <w:rsid w:val="00187494"/>
    <w:rsid w:val="001D4C8A"/>
    <w:rsid w:val="001F32AE"/>
    <w:rsid w:val="002767FF"/>
    <w:rsid w:val="002B18FE"/>
    <w:rsid w:val="002B5493"/>
    <w:rsid w:val="002D2522"/>
    <w:rsid w:val="00343214"/>
    <w:rsid w:val="00361C00"/>
    <w:rsid w:val="00395FA1"/>
    <w:rsid w:val="003E15D4"/>
    <w:rsid w:val="003E6FE9"/>
    <w:rsid w:val="00411CCE"/>
    <w:rsid w:val="0041666E"/>
    <w:rsid w:val="00421060"/>
    <w:rsid w:val="00471C19"/>
    <w:rsid w:val="004867E3"/>
    <w:rsid w:val="00494A28"/>
    <w:rsid w:val="004C0004"/>
    <w:rsid w:val="004C5D52"/>
    <w:rsid w:val="004E042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24F"/>
    <w:rsid w:val="00762C74"/>
    <w:rsid w:val="00786EC0"/>
    <w:rsid w:val="007D1690"/>
    <w:rsid w:val="007E22AD"/>
    <w:rsid w:val="00814F25"/>
    <w:rsid w:val="00817416"/>
    <w:rsid w:val="00842779"/>
    <w:rsid w:val="00865F67"/>
    <w:rsid w:val="00881A7B"/>
    <w:rsid w:val="008840E5"/>
    <w:rsid w:val="00887B3E"/>
    <w:rsid w:val="008C2AC6"/>
    <w:rsid w:val="008E5BF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11D"/>
    <w:rsid w:val="00BC2082"/>
    <w:rsid w:val="00BD48FE"/>
    <w:rsid w:val="00BD7BD8"/>
    <w:rsid w:val="00BE6ADC"/>
    <w:rsid w:val="00C05BFE"/>
    <w:rsid w:val="00C23CD4"/>
    <w:rsid w:val="00C61C0C"/>
    <w:rsid w:val="00C72392"/>
    <w:rsid w:val="00C941CB"/>
    <w:rsid w:val="00CC2357"/>
    <w:rsid w:val="00CF071A"/>
    <w:rsid w:val="00D058B8"/>
    <w:rsid w:val="00D1341A"/>
    <w:rsid w:val="00D56C11"/>
    <w:rsid w:val="00D834A0"/>
    <w:rsid w:val="00D872DF"/>
    <w:rsid w:val="00D91E21"/>
    <w:rsid w:val="00DA7FCD"/>
    <w:rsid w:val="00E365E1"/>
    <w:rsid w:val="00E820A4"/>
    <w:rsid w:val="00E84B9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77DF8"/>
  <w15:chartTrackingRefBased/>
  <w15:docId w15:val="{92FA416A-FFD3-42BF-83E5-5A817FCB0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C2082"/>
    <w:rPr>
      <w:b/>
    </w:rPr>
  </w:style>
  <w:style w:type="paragraph" w:customStyle="1" w:styleId="NormalHanging12a">
    <w:name w:val="NormalHanging12a"/>
    <w:basedOn w:val="Normal"/>
    <w:rsid w:val="00BC2082"/>
    <w:pPr>
      <w:spacing w:after="240"/>
      <w:ind w:left="567" w:hanging="567"/>
    </w:pPr>
  </w:style>
  <w:style w:type="paragraph" w:customStyle="1" w:styleId="AmNumberTabs">
    <w:name w:val="AmNumberTabs"/>
    <w:basedOn w:val="Normal"/>
    <w:rsid w:val="00BC20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C2082"/>
    <w:pPr>
      <w:spacing w:before="480" w:after="240"/>
    </w:pPr>
  </w:style>
  <w:style w:type="character" w:styleId="Hyperlink">
    <w:name w:val="Hyperlink"/>
    <w:uiPriority w:val="99"/>
    <w:unhideWhenUsed/>
    <w:rsid w:val="00BC2082"/>
    <w:rPr>
      <w:color w:val="0000FF"/>
      <w:u w:val="single"/>
    </w:rPr>
  </w:style>
  <w:style w:type="paragraph" w:customStyle="1" w:styleId="Text1">
    <w:name w:val="Text 1"/>
    <w:basedOn w:val="Normal"/>
    <w:rsid w:val="00BC2082"/>
    <w:pPr>
      <w:widowControl/>
      <w:spacing w:before="120" w:after="120"/>
      <w:ind w:left="850"/>
      <w:jc w:val="both"/>
    </w:pPr>
    <w:rPr>
      <w:rFonts w:eastAsiaTheme="minorHAnsi"/>
      <w:szCs w:val="22"/>
      <w:lang w:eastAsia="en-US"/>
    </w:rPr>
  </w:style>
  <w:style w:type="paragraph" w:customStyle="1" w:styleId="Point0">
    <w:name w:val="Point 0"/>
    <w:basedOn w:val="Normal"/>
    <w:rsid w:val="00BC2082"/>
    <w:pPr>
      <w:widowControl/>
      <w:spacing w:before="120" w:after="120"/>
      <w:ind w:left="850" w:hanging="850"/>
      <w:jc w:val="both"/>
    </w:pPr>
    <w:rPr>
      <w:rFonts w:eastAsiaTheme="minorHAnsi"/>
      <w:szCs w:val="22"/>
      <w:lang w:eastAsia="en-US"/>
    </w:rPr>
  </w:style>
  <w:style w:type="paragraph" w:customStyle="1" w:styleId="Point1">
    <w:name w:val="Point 1"/>
    <w:basedOn w:val="Normal"/>
    <w:rsid w:val="00BC208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C2082"/>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BC2082"/>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BC2082"/>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BC2082"/>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BC208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C208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C208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C208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C2082"/>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BC2082"/>
    <w:pPr>
      <w:widowControl/>
      <w:spacing w:before="360"/>
      <w:jc w:val="center"/>
    </w:pPr>
    <w:rPr>
      <w:rFonts w:eastAsiaTheme="minorHAnsi"/>
      <w:b/>
      <w:szCs w:val="22"/>
      <w:lang w:eastAsia="en-US"/>
    </w:rPr>
  </w:style>
  <w:style w:type="paragraph" w:customStyle="1" w:styleId="Titreobjet">
    <w:name w:val="Titre objet"/>
    <w:basedOn w:val="Normal"/>
    <w:next w:val="Normal"/>
    <w:rsid w:val="00BC2082"/>
    <w:pPr>
      <w:widowControl/>
      <w:spacing w:before="360" w:after="360"/>
      <w:jc w:val="center"/>
    </w:pPr>
    <w:rPr>
      <w:rFonts w:eastAsiaTheme="minorHAnsi"/>
      <w:b/>
      <w:szCs w:val="22"/>
      <w:lang w:eastAsia="en-US"/>
    </w:rPr>
  </w:style>
  <w:style w:type="paragraph" w:customStyle="1" w:styleId="Normal24">
    <w:name w:val="Normal24"/>
    <w:basedOn w:val="Normal"/>
    <w:rsid w:val="00BC2082"/>
    <w:pPr>
      <w:spacing w:after="480"/>
    </w:pPr>
  </w:style>
  <w:style w:type="paragraph" w:styleId="Revision">
    <w:name w:val="Revision"/>
    <w:hidden/>
    <w:uiPriority w:val="99"/>
    <w:semiHidden/>
    <w:rsid w:val="00D1341A"/>
    <w:rPr>
      <w:sz w:val="24"/>
      <w:lang w:val="sl-SI"/>
    </w:rPr>
  </w:style>
  <w:style w:type="character" w:styleId="CommentReference">
    <w:name w:val="annotation reference"/>
    <w:basedOn w:val="DefaultParagraphFont"/>
    <w:rsid w:val="00C72392"/>
    <w:rPr>
      <w:sz w:val="16"/>
      <w:szCs w:val="16"/>
    </w:rPr>
  </w:style>
  <w:style w:type="paragraph" w:styleId="CommentText">
    <w:name w:val="annotation text"/>
    <w:basedOn w:val="Normal"/>
    <w:link w:val="CommentTextChar"/>
    <w:rsid w:val="00C72392"/>
    <w:rPr>
      <w:sz w:val="20"/>
    </w:rPr>
  </w:style>
  <w:style w:type="character" w:customStyle="1" w:styleId="CommentTextChar">
    <w:name w:val="Comment Text Char"/>
    <w:basedOn w:val="DefaultParagraphFont"/>
    <w:link w:val="CommentText"/>
    <w:rsid w:val="00C72392"/>
    <w:rPr>
      <w:lang w:val="sl-SI"/>
    </w:rPr>
  </w:style>
  <w:style w:type="paragraph" w:styleId="CommentSubject">
    <w:name w:val="annotation subject"/>
    <w:basedOn w:val="CommentText"/>
    <w:next w:val="CommentText"/>
    <w:link w:val="CommentSubjectChar"/>
    <w:rsid w:val="00C72392"/>
    <w:rPr>
      <w:b/>
      <w:bCs/>
    </w:rPr>
  </w:style>
  <w:style w:type="character" w:customStyle="1" w:styleId="CommentSubjectChar">
    <w:name w:val="Comment Subject Char"/>
    <w:basedOn w:val="CommentTextChar"/>
    <w:link w:val="CommentSubject"/>
    <w:rsid w:val="00C72392"/>
    <w:rPr>
      <w:b/>
      <w:bCs/>
      <w:lang w:val="sl-SI"/>
    </w:rPr>
  </w:style>
  <w:style w:type="character" w:styleId="UnresolvedMention">
    <w:name w:val="Unresolved Mention"/>
    <w:basedOn w:val="DefaultParagraphFont"/>
    <w:uiPriority w:val="99"/>
    <w:semiHidden/>
    <w:unhideWhenUsed/>
    <w:rsid w:val="00C72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sl/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6519</Words>
  <Characters>41959</Characters>
  <Application>Microsoft Office Word</Application>
  <DocSecurity>0</DocSecurity>
  <Lines>349</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2026-02-17T09:09:00Z</dcterms:created>
  <dcterms:modified xsi:type="dcterms:W3CDTF">2026-02-17T09:09:00Z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P10_TA(2025)0333_</vt:lpwstr>
  </property>
  <property fmtid="{D5CDD505-2E9C-101B-9397-08002B2CF9AE}" pid="4" name="&lt;Type&gt;">
    <vt:lpwstr>RR</vt:lpwstr>
  </property>
</Properties>
</file>