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1493" w14:paraId="7A3A727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48F34A" w14:textId="16F1D280" w:rsidR="00751A4A" w:rsidRPr="00CC1493" w:rsidRDefault="008B0337" w:rsidP="0010095E">
            <w:pPr>
              <w:pStyle w:val="EPName"/>
            </w:pPr>
            <w:r w:rsidRPr="00CC1493">
              <w:t>Европейски</w:t>
            </w:r>
            <w:r w:rsidR="00C1038F" w:rsidRPr="00CC1493">
              <w:t xml:space="preserve"> парламент</w:t>
            </w:r>
          </w:p>
          <w:p w14:paraId="1DAA218C" w14:textId="6DC60B8B" w:rsidR="00751A4A" w:rsidRPr="00CC149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1493">
              <w:t>2024</w:t>
            </w:r>
            <w:r w:rsidR="008B0337">
              <w:t> – </w:t>
            </w:r>
            <w:r w:rsidR="00817416" w:rsidRPr="00CC1493">
              <w:t>202</w:t>
            </w:r>
            <w:r w:rsidRPr="00CC1493">
              <w:t>9</w:t>
            </w:r>
          </w:p>
        </w:tc>
        <w:tc>
          <w:tcPr>
            <w:tcW w:w="2268" w:type="dxa"/>
            <w:shd w:val="clear" w:color="auto" w:fill="auto"/>
          </w:tcPr>
          <w:p w14:paraId="22D5AC29" w14:textId="77777777" w:rsidR="00751A4A" w:rsidRPr="00CC1493" w:rsidRDefault="00187494" w:rsidP="0010095E">
            <w:pPr>
              <w:pStyle w:val="EPLogo"/>
            </w:pPr>
            <w:r w:rsidRPr="00CC1493">
              <w:rPr>
                <w:noProof/>
                <w:lang w:eastAsia="ja-JP"/>
              </w:rPr>
              <w:drawing>
                <wp:inline distT="0" distB="0" distL="0" distR="0" wp14:anchorId="50316B11" wp14:editId="12E55A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471E32" w14:textId="77777777" w:rsidR="00D058B8" w:rsidRPr="00CC1493" w:rsidRDefault="00D058B8" w:rsidP="004C5D52">
      <w:pPr>
        <w:pStyle w:val="LineTop"/>
      </w:pPr>
    </w:p>
    <w:p w14:paraId="565E3682" w14:textId="77777777" w:rsidR="00680577" w:rsidRPr="00CC1493" w:rsidRDefault="00C1038F" w:rsidP="00680577">
      <w:pPr>
        <w:pStyle w:val="EPBodyTA1"/>
      </w:pPr>
      <w:r w:rsidRPr="00CC1493">
        <w:t>ПРИЕТИ ТЕКСТОВЕ</w:t>
      </w:r>
    </w:p>
    <w:p w14:paraId="775E0AF7" w14:textId="77777777" w:rsidR="00D058B8" w:rsidRPr="00CC1493" w:rsidRDefault="00D058B8" w:rsidP="00D058B8">
      <w:pPr>
        <w:pStyle w:val="LineBottom"/>
      </w:pPr>
    </w:p>
    <w:p w14:paraId="6DD79B97" w14:textId="3BBCD8EC" w:rsidR="00C1038F" w:rsidRPr="00CC1493" w:rsidRDefault="00C1038F" w:rsidP="00C1038F">
      <w:pPr>
        <w:pStyle w:val="ATHeading1"/>
      </w:pPr>
      <w:bookmarkStart w:id="0" w:name="TANumber"/>
      <w:r w:rsidRPr="00CC1493">
        <w:t>P10_TA(2025)0</w:t>
      </w:r>
      <w:r w:rsidR="00FE0567">
        <w:t>334</w:t>
      </w:r>
      <w:bookmarkEnd w:id="0"/>
    </w:p>
    <w:p w14:paraId="0378E56C" w14:textId="77777777" w:rsidR="00C1038F" w:rsidRPr="00CC1493" w:rsidRDefault="00C1038F" w:rsidP="00C1038F">
      <w:pPr>
        <w:pStyle w:val="ATHeading2"/>
      </w:pPr>
      <w:bookmarkStart w:id="1" w:name="title"/>
      <w:r w:rsidRPr="00CC1493">
        <w:t>Назначаване на изпълнителния директор на Европейския орган за застраховане и професионално пенсионно осигуряване (EIOPA)</w:t>
      </w:r>
      <w:bookmarkEnd w:id="1"/>
    </w:p>
    <w:p w14:paraId="5006138F" w14:textId="77777777" w:rsidR="00C1038F" w:rsidRPr="00CC1493" w:rsidRDefault="00C1038F" w:rsidP="00C1038F">
      <w:pPr>
        <w:rPr>
          <w:i/>
          <w:vanish/>
        </w:rPr>
      </w:pPr>
      <w:r w:rsidRPr="00CC1493">
        <w:rPr>
          <w:i/>
        </w:rPr>
        <w:fldChar w:fldCharType="begin"/>
      </w:r>
      <w:r w:rsidRPr="00CC1493">
        <w:rPr>
          <w:i/>
        </w:rPr>
        <w:instrText xml:space="preserve"> TC"(</w:instrText>
      </w:r>
      <w:bookmarkStart w:id="2" w:name="DocNumber"/>
      <w:r w:rsidRPr="00CC1493">
        <w:rPr>
          <w:i/>
        </w:rPr>
        <w:instrText>A10-0247/2025</w:instrText>
      </w:r>
      <w:bookmarkEnd w:id="2"/>
      <w:r w:rsidRPr="00CC1493">
        <w:rPr>
          <w:i/>
        </w:rPr>
        <w:instrText xml:space="preserve"> - Докладчик: Орор Лалюк)"\l3 \n&gt; \* MERGEFORMAT </w:instrText>
      </w:r>
      <w:r w:rsidRPr="00CC1493">
        <w:rPr>
          <w:i/>
        </w:rPr>
        <w:fldChar w:fldCharType="end"/>
      </w:r>
    </w:p>
    <w:p w14:paraId="14293F0D" w14:textId="77777777" w:rsidR="00C1038F" w:rsidRPr="00CC1493" w:rsidRDefault="00C1038F" w:rsidP="00C1038F">
      <w:pPr>
        <w:rPr>
          <w:vanish/>
        </w:rPr>
      </w:pPr>
      <w:bookmarkStart w:id="3" w:name="Commission"/>
      <w:r w:rsidRPr="00CC1493">
        <w:rPr>
          <w:vanish/>
        </w:rPr>
        <w:t>Комисия по икономически и парични въпроси</w:t>
      </w:r>
      <w:bookmarkEnd w:id="3"/>
    </w:p>
    <w:p w14:paraId="0D6490FF" w14:textId="77777777" w:rsidR="00C1038F" w:rsidRPr="00CC1493" w:rsidRDefault="00C1038F" w:rsidP="00C1038F">
      <w:pPr>
        <w:rPr>
          <w:vanish/>
        </w:rPr>
      </w:pPr>
      <w:bookmarkStart w:id="4" w:name="PE"/>
      <w:r w:rsidRPr="00CC1493">
        <w:rPr>
          <w:vanish/>
        </w:rPr>
        <w:t>PE779.515</w:t>
      </w:r>
      <w:bookmarkEnd w:id="4"/>
    </w:p>
    <w:p w14:paraId="661B2DBF" w14:textId="445565EF" w:rsidR="00C1038F" w:rsidRPr="00CC1493" w:rsidRDefault="00C1038F" w:rsidP="00C1038F">
      <w:pPr>
        <w:pStyle w:val="ATHeading3"/>
      </w:pPr>
      <w:bookmarkStart w:id="5" w:name="Sujet"/>
      <w:r w:rsidRPr="00CC1493">
        <w:t xml:space="preserve">Решение на Европейския парламент от </w:t>
      </w:r>
      <w:r w:rsidR="008B0337">
        <w:t>17 декември</w:t>
      </w:r>
      <w:r w:rsidR="008B0337" w:rsidRPr="00CC1493">
        <w:t xml:space="preserve"> </w:t>
      </w:r>
      <w:r w:rsidRPr="00CC1493">
        <w:t>2025 г. относно предложението за назначаване на изпълнителен директор на Европейския орган за застраховане и професионално пенсионно осигуряване</w:t>
      </w:r>
      <w:bookmarkEnd w:id="5"/>
      <w:r w:rsidRPr="00CC1493">
        <w:t xml:space="preserve"> </w:t>
      </w:r>
      <w:bookmarkStart w:id="6" w:name="References"/>
      <w:r w:rsidRPr="00CC1493">
        <w:t>(N10-0060/2025 – C10-0268/2025 – 2025/0904(NLE))</w:t>
      </w:r>
      <w:bookmarkEnd w:id="6"/>
    </w:p>
    <w:p w14:paraId="597C4244" w14:textId="77777777" w:rsidR="007D09EA" w:rsidRPr="00CC1493" w:rsidRDefault="007D09EA" w:rsidP="007D09EA">
      <w:pPr>
        <w:pStyle w:val="NormalBold"/>
        <w:widowControl/>
      </w:pPr>
      <w:r w:rsidRPr="00CC1493">
        <w:t>(Одобрение)</w:t>
      </w:r>
    </w:p>
    <w:p w14:paraId="0F07201E" w14:textId="77777777" w:rsidR="007D09EA" w:rsidRPr="00CC1493" w:rsidRDefault="007D09EA" w:rsidP="007D09EA">
      <w:pPr>
        <w:pStyle w:val="EPComma"/>
        <w:widowControl/>
      </w:pPr>
      <w:r w:rsidRPr="00CC1493">
        <w:rPr>
          <w:i/>
        </w:rPr>
        <w:t>Европейският парламент</w:t>
      </w:r>
      <w:r w:rsidRPr="00CC1493">
        <w:t>,</w:t>
      </w:r>
    </w:p>
    <w:p w14:paraId="1F67EA94" w14:textId="77777777" w:rsidR="007D09EA" w:rsidRPr="00CC1493" w:rsidRDefault="007D09EA" w:rsidP="007D09EA">
      <w:pPr>
        <w:pStyle w:val="NormalHanging12a"/>
        <w:widowControl/>
      </w:pPr>
      <w:r w:rsidRPr="00CC1493">
        <w:t>–</w:t>
      </w:r>
      <w:r w:rsidRPr="00CC1493">
        <w:tab/>
        <w:t>като взе предвид предложението на Съвета на надзорниците на Европейския орган за застраховане и професионално пенсионно осигуряване от 23 октомври 2025 г. (C10</w:t>
      </w:r>
      <w:r w:rsidRPr="00CC1493">
        <w:noBreakHyphen/>
        <w:t>0268/2025),</w:t>
      </w:r>
    </w:p>
    <w:p w14:paraId="709EF4C6" w14:textId="3DE7CDC6" w:rsidR="007D09EA" w:rsidRPr="00CC1493" w:rsidRDefault="007D09EA" w:rsidP="007D09EA">
      <w:pPr>
        <w:pStyle w:val="NormalHanging12a"/>
        <w:widowControl/>
      </w:pPr>
      <w:r w:rsidRPr="00CC1493">
        <w:t>–</w:t>
      </w:r>
      <w:r w:rsidRPr="00CC1493">
        <w:tab/>
        <w:t>като взе предвид член 51, параграфи 2 и 3 от Регламент (ЕС) № 1094/2010 на Европейския парламент и на Съвета от 24 ноември 2010 г. за създаване на Европейски надзорен орган (Европейски орган за застраховане и професионално пенсионно осигуряване), за изменение на Решение № 716/2009/ЕО и за отмяна на Решение 2009/79/ЕО на Комисията</w:t>
      </w:r>
      <w:r w:rsidRPr="00CC1493">
        <w:rPr>
          <w:rStyle w:val="FootnoteReference"/>
        </w:rPr>
        <w:footnoteReference w:id="1"/>
      </w:r>
      <w:r w:rsidRPr="00CC1493">
        <w:t>,</w:t>
      </w:r>
    </w:p>
    <w:p w14:paraId="1D2134EF" w14:textId="77777777" w:rsidR="007D09EA" w:rsidRPr="00CC1493" w:rsidRDefault="007D09EA" w:rsidP="007D09EA">
      <w:pPr>
        <w:pStyle w:val="Normal12Hanging"/>
        <w:widowControl/>
      </w:pPr>
      <w:r w:rsidRPr="00CC1493">
        <w:t>–</w:t>
      </w:r>
      <w:r w:rsidRPr="00CC1493">
        <w:tab/>
        <w:t>като взе предвид своята резолюция от 14 март 2019 г. относно равенството между половете при издигането на кандидатури за позиции в областта на икономическите и паричните въпроси на ЕС</w:t>
      </w:r>
      <w:r w:rsidRPr="00CC1493">
        <w:rPr>
          <w:rStyle w:val="FootnoteReference"/>
        </w:rPr>
        <w:footnoteReference w:id="2"/>
      </w:r>
      <w:r w:rsidRPr="00CC1493">
        <w:t>,</w:t>
      </w:r>
    </w:p>
    <w:p w14:paraId="1DF888F9" w14:textId="77777777" w:rsidR="007D09EA" w:rsidRPr="00CC1493" w:rsidRDefault="007D09EA" w:rsidP="007D09EA">
      <w:pPr>
        <w:pStyle w:val="Normal12Hanging"/>
        <w:widowControl/>
      </w:pPr>
      <w:r w:rsidRPr="00CC1493">
        <w:t>–</w:t>
      </w:r>
      <w:r w:rsidRPr="00CC1493">
        <w:tab/>
        <w:t>като взе предвид своята резолюция от 16 януари 2020 г. относно институции и органи в рамките на Икономическия и паричен съюз: предотвратяване на конфликти на интереси след приключване на трудово или служебно правоотношение в публичната администрация</w:t>
      </w:r>
      <w:r w:rsidRPr="00CC1493">
        <w:rPr>
          <w:rStyle w:val="FootnoteReference"/>
        </w:rPr>
        <w:footnoteReference w:id="3"/>
      </w:r>
      <w:r w:rsidRPr="00CC1493">
        <w:t>,</w:t>
      </w:r>
    </w:p>
    <w:p w14:paraId="62AB6B42" w14:textId="77777777" w:rsidR="007D09EA" w:rsidRPr="00CC1493" w:rsidRDefault="007D09EA" w:rsidP="007D09EA">
      <w:pPr>
        <w:pStyle w:val="NormalHanging12a"/>
        <w:widowControl/>
      </w:pPr>
      <w:r w:rsidRPr="00CC1493">
        <w:t>–</w:t>
      </w:r>
      <w:r w:rsidRPr="00CC1493">
        <w:tab/>
        <w:t>като взе предвид член 135 от своя Правилник за дейността,</w:t>
      </w:r>
    </w:p>
    <w:p w14:paraId="653EA2A8" w14:textId="77777777" w:rsidR="007D09EA" w:rsidRPr="00CC1493" w:rsidRDefault="007D09EA" w:rsidP="007D09EA">
      <w:pPr>
        <w:pStyle w:val="NormalHanging12a"/>
        <w:widowControl/>
      </w:pPr>
      <w:r w:rsidRPr="00CC1493">
        <w:lastRenderedPageBreak/>
        <w:t>–</w:t>
      </w:r>
      <w:r w:rsidRPr="00CC1493">
        <w:tab/>
        <w:t>като взе предвид доклада на комисията по икономически и парични въпроси (A10-0247/2025),</w:t>
      </w:r>
    </w:p>
    <w:p w14:paraId="2EF30583" w14:textId="77777777" w:rsidR="007D09EA" w:rsidRPr="00CC1493" w:rsidRDefault="007D09EA" w:rsidP="007D09EA">
      <w:pPr>
        <w:pStyle w:val="NormalHanging12a"/>
        <w:widowControl/>
      </w:pPr>
      <w:r w:rsidRPr="00CC1493">
        <w:t>А.</w:t>
      </w:r>
      <w:r w:rsidRPr="00CC1493">
        <w:tab/>
        <w:t>като има предвид, че мандатът на настоящия изпълнителен директор на Европейския орган за застраховане и професионално пенсионно осигуряване изтича на 31 март 2026 г.;</w:t>
      </w:r>
    </w:p>
    <w:p w14:paraId="3C273D72" w14:textId="77777777" w:rsidR="007D09EA" w:rsidRPr="00CC1493" w:rsidRDefault="007D09EA" w:rsidP="007D09EA">
      <w:pPr>
        <w:pStyle w:val="NormalHanging12a"/>
        <w:widowControl/>
      </w:pPr>
      <w:r w:rsidRPr="00CC1493">
        <w:t>Б.</w:t>
      </w:r>
      <w:r w:rsidRPr="00CC1493">
        <w:tab/>
        <w:t xml:space="preserve">като има предвид, че на 23 октомври 2025 г., след открита процедура за подбор, Съветът на надзорниците на Европейския орган за застраховане и професионално пенсионно осигуряване предложи назначаването на </w:t>
      </w:r>
      <w:proofErr w:type="spellStart"/>
      <w:r w:rsidRPr="00CC1493">
        <w:t>Дамиан</w:t>
      </w:r>
      <w:proofErr w:type="spellEnd"/>
      <w:r w:rsidRPr="00CC1493">
        <w:t xml:space="preserve"> </w:t>
      </w:r>
      <w:proofErr w:type="spellStart"/>
      <w:r w:rsidRPr="00CC1493">
        <w:t>Яворски</w:t>
      </w:r>
      <w:proofErr w:type="spellEnd"/>
      <w:r w:rsidRPr="00CC1493">
        <w:t xml:space="preserve"> за изпълнителен директор с мандат от пет години в съответствие с член 51, параграфи 2 и 3 от Регламент (ЕС) № 1094/2010;</w:t>
      </w:r>
    </w:p>
    <w:p w14:paraId="486D037F" w14:textId="77777777" w:rsidR="007D09EA" w:rsidRPr="00CC1493" w:rsidRDefault="007D09EA" w:rsidP="007D09EA">
      <w:pPr>
        <w:pStyle w:val="NormalHanging12a"/>
        <w:widowControl/>
      </w:pPr>
      <w:r w:rsidRPr="00CC1493">
        <w:t>В.</w:t>
      </w:r>
      <w:r w:rsidRPr="00CC1493">
        <w:tab/>
        <w:t xml:space="preserve">като има предвид, че на 6 ноември 2025 г. комисията по икономически и парични въпроси проведе изслушване на </w:t>
      </w:r>
      <w:proofErr w:type="spellStart"/>
      <w:r w:rsidRPr="00CC1493">
        <w:t>Дамиан</w:t>
      </w:r>
      <w:proofErr w:type="spellEnd"/>
      <w:r w:rsidRPr="00CC1493">
        <w:t xml:space="preserve"> </w:t>
      </w:r>
      <w:proofErr w:type="spellStart"/>
      <w:r w:rsidRPr="00CC1493">
        <w:t>Яворски</w:t>
      </w:r>
      <w:proofErr w:type="spellEnd"/>
      <w:r w:rsidRPr="00CC1493">
        <w:t>, по време на което той направи встъпително изказване и след това отговори на въпросите, зададени от членовете на комисията;</w:t>
      </w:r>
    </w:p>
    <w:p w14:paraId="192C0B1C" w14:textId="77777777" w:rsidR="007D09EA" w:rsidRPr="00CC1493" w:rsidRDefault="007D09EA" w:rsidP="007D09EA">
      <w:pPr>
        <w:pStyle w:val="NormalHanging12a"/>
        <w:widowControl/>
      </w:pPr>
      <w:r w:rsidRPr="00CC1493">
        <w:t>1.</w:t>
      </w:r>
      <w:r w:rsidRPr="00CC1493">
        <w:tab/>
        <w:t xml:space="preserve">одобрява назначаването на </w:t>
      </w:r>
      <w:proofErr w:type="spellStart"/>
      <w:r w:rsidRPr="00CC1493">
        <w:t>Дамиан</w:t>
      </w:r>
      <w:proofErr w:type="spellEnd"/>
      <w:r w:rsidRPr="00CC1493">
        <w:t xml:space="preserve"> </w:t>
      </w:r>
      <w:proofErr w:type="spellStart"/>
      <w:r w:rsidRPr="00CC1493">
        <w:t>Яворски</w:t>
      </w:r>
      <w:proofErr w:type="spellEnd"/>
      <w:r w:rsidRPr="00CC1493">
        <w:t xml:space="preserve"> за изпълнителен директор на Европейския орган за застраховане и професионално пенсионно осигуряване;</w:t>
      </w:r>
    </w:p>
    <w:p w14:paraId="49B30132" w14:textId="427594D7" w:rsidR="00CC1493" w:rsidRPr="00CC1493" w:rsidRDefault="007D09EA" w:rsidP="00CC1493">
      <w:pPr>
        <w:pStyle w:val="NormalHanging12a"/>
        <w:widowControl/>
      </w:pPr>
      <w:r w:rsidRPr="00CC1493">
        <w:t>2.</w:t>
      </w:r>
      <w:r w:rsidRPr="00CC1493">
        <w:tab/>
        <w:t>възлага на своя председател да предаде настоящото решение съответно на Съвета, на Комисията, на Европейския орган за застраховане и професионално пенсионно осигуряване, както и на правителствата на държавите членки.</w:t>
      </w:r>
    </w:p>
    <w:p w14:paraId="3BD354B6" w14:textId="6534F03A" w:rsidR="00E365E1" w:rsidRPr="00CC1493" w:rsidRDefault="00E365E1" w:rsidP="00C1038F"/>
    <w:sectPr w:rsidR="00E365E1" w:rsidRPr="00CC1493" w:rsidSect="00CC14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15C2A" w14:textId="77777777" w:rsidR="00C1038F" w:rsidRPr="00CC1493" w:rsidRDefault="00C1038F">
      <w:r w:rsidRPr="00CC1493">
        <w:separator/>
      </w:r>
    </w:p>
  </w:endnote>
  <w:endnote w:type="continuationSeparator" w:id="0">
    <w:p w14:paraId="445ACEE2" w14:textId="77777777" w:rsidR="00C1038F" w:rsidRPr="00CC1493" w:rsidRDefault="00C1038F">
      <w:r w:rsidRPr="00CC14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A799E" w14:textId="77777777" w:rsidR="00064002" w:rsidRPr="00CC14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0E08D" w14:textId="77777777" w:rsidR="00064002" w:rsidRPr="00CC14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E3BA" w14:textId="77777777" w:rsidR="00064002" w:rsidRPr="00CC14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53B6A" w14:textId="77777777" w:rsidR="00C1038F" w:rsidRPr="00CC1493" w:rsidRDefault="00C1038F">
      <w:r w:rsidRPr="00CC1493">
        <w:separator/>
      </w:r>
    </w:p>
  </w:footnote>
  <w:footnote w:type="continuationSeparator" w:id="0">
    <w:p w14:paraId="4A5964AE" w14:textId="77777777" w:rsidR="00C1038F" w:rsidRPr="00CC1493" w:rsidRDefault="00C1038F">
      <w:r w:rsidRPr="00CC1493">
        <w:continuationSeparator/>
      </w:r>
    </w:p>
  </w:footnote>
  <w:footnote w:id="1">
    <w:p w14:paraId="2EB2C03F" w14:textId="410A5C5C" w:rsidR="007D09EA" w:rsidRPr="00CC1493" w:rsidRDefault="007D09EA" w:rsidP="00CC1493">
      <w:pPr>
        <w:pStyle w:val="FootnoteText"/>
        <w:ind w:left="567" w:hanging="567"/>
        <w:rPr>
          <w:sz w:val="24"/>
          <w:lang w:val="bg-BG"/>
        </w:rPr>
      </w:pPr>
      <w:r w:rsidRPr="00CC1493">
        <w:rPr>
          <w:rStyle w:val="FootnoteReference"/>
          <w:sz w:val="24"/>
          <w:lang w:val="bg-BG"/>
        </w:rPr>
        <w:footnoteRef/>
      </w:r>
      <w:r w:rsidR="00CC1493" w:rsidRPr="00CC1493">
        <w:rPr>
          <w:sz w:val="24"/>
          <w:lang w:val="bg-BG"/>
        </w:rPr>
        <w:t xml:space="preserve"> </w:t>
      </w:r>
      <w:r w:rsidR="00CC1493" w:rsidRPr="00CC1493">
        <w:rPr>
          <w:sz w:val="24"/>
          <w:lang w:val="bg-BG"/>
        </w:rPr>
        <w:tab/>
      </w:r>
      <w:r w:rsidRPr="00CC1493">
        <w:rPr>
          <w:sz w:val="24"/>
          <w:lang w:val="bg-BG"/>
        </w:rPr>
        <w:t xml:space="preserve">OВ L 331, 15.12.2010 г., стр. 48, ELI: </w:t>
      </w:r>
      <w:hyperlink r:id="rId1" w:history="1">
        <w:r w:rsidRPr="00CC1493">
          <w:rPr>
            <w:rStyle w:val="Hyperlink"/>
            <w:sz w:val="24"/>
            <w:lang w:val="bg-BG"/>
          </w:rPr>
          <w:t>http://data.europa.eu/eli/reg/2010/1094/oj</w:t>
        </w:r>
      </w:hyperlink>
      <w:r w:rsidRPr="00CC1493">
        <w:rPr>
          <w:sz w:val="24"/>
          <w:lang w:val="bg-BG"/>
        </w:rPr>
        <w:t>.</w:t>
      </w:r>
    </w:p>
  </w:footnote>
  <w:footnote w:id="2">
    <w:p w14:paraId="1A860B8D" w14:textId="429CD3AB" w:rsidR="007D09EA" w:rsidRPr="00CC1493" w:rsidRDefault="007D09EA" w:rsidP="00CC1493">
      <w:pPr>
        <w:pStyle w:val="FootnoteText"/>
        <w:ind w:left="567" w:hanging="567"/>
        <w:rPr>
          <w:sz w:val="24"/>
          <w:lang w:val="bg-BG"/>
        </w:rPr>
      </w:pPr>
      <w:r w:rsidRPr="00CC1493">
        <w:rPr>
          <w:rStyle w:val="FootnoteReference"/>
          <w:sz w:val="24"/>
          <w:lang w:val="bg-BG"/>
        </w:rPr>
        <w:footnoteRef/>
      </w:r>
      <w:r w:rsidR="00CC1493" w:rsidRPr="00CC1493">
        <w:rPr>
          <w:sz w:val="24"/>
          <w:lang w:val="bg-BG"/>
        </w:rPr>
        <w:t xml:space="preserve"> </w:t>
      </w:r>
      <w:r w:rsidR="00CC1493" w:rsidRPr="00CC1493">
        <w:rPr>
          <w:sz w:val="24"/>
          <w:lang w:val="bg-BG"/>
        </w:rPr>
        <w:tab/>
      </w:r>
      <w:r w:rsidRPr="00CC1493">
        <w:rPr>
          <w:sz w:val="24"/>
          <w:lang w:val="bg-BG"/>
        </w:rPr>
        <w:t>OВ C 23, 21.1.2021 г., стр. 105.</w:t>
      </w:r>
    </w:p>
  </w:footnote>
  <w:footnote w:id="3">
    <w:p w14:paraId="2375F1D2" w14:textId="2F35989C" w:rsidR="007D09EA" w:rsidRPr="00CC1493" w:rsidRDefault="007D09EA" w:rsidP="00CC1493">
      <w:pPr>
        <w:pStyle w:val="FootnoteText"/>
        <w:ind w:left="567" w:hanging="567"/>
        <w:rPr>
          <w:sz w:val="24"/>
          <w:lang w:val="bg-BG"/>
        </w:rPr>
      </w:pPr>
      <w:r w:rsidRPr="00CC1493">
        <w:rPr>
          <w:rStyle w:val="FootnoteReference"/>
          <w:sz w:val="24"/>
          <w:lang w:val="bg-BG"/>
        </w:rPr>
        <w:footnoteRef/>
      </w:r>
      <w:r w:rsidR="00CC1493" w:rsidRPr="00CC1493">
        <w:rPr>
          <w:sz w:val="24"/>
          <w:lang w:val="bg-BG"/>
        </w:rPr>
        <w:t xml:space="preserve"> </w:t>
      </w:r>
      <w:r w:rsidR="00CC1493" w:rsidRPr="00CC1493">
        <w:rPr>
          <w:sz w:val="24"/>
          <w:lang w:val="bg-BG"/>
        </w:rPr>
        <w:tab/>
      </w:r>
      <w:r w:rsidRPr="00CC1493">
        <w:rPr>
          <w:sz w:val="24"/>
          <w:lang w:val="bg-BG"/>
        </w:rPr>
        <w:t>Приети текстове,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A068" w14:textId="77777777" w:rsidR="00064002" w:rsidRPr="00CC14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3B363" w14:textId="77777777" w:rsidR="00064002" w:rsidRPr="00CC14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5E74" w14:textId="77777777" w:rsidR="00064002" w:rsidRPr="00CC14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71385985">
    <w:abstractNumId w:val="9"/>
  </w:num>
  <w:num w:numId="2" w16cid:durableId="618419409">
    <w:abstractNumId w:val="9"/>
  </w:num>
  <w:num w:numId="3" w16cid:durableId="1395546825">
    <w:abstractNumId w:val="7"/>
  </w:num>
  <w:num w:numId="4" w16cid:durableId="80565881">
    <w:abstractNumId w:val="7"/>
  </w:num>
  <w:num w:numId="5" w16cid:durableId="2115662541">
    <w:abstractNumId w:val="6"/>
  </w:num>
  <w:num w:numId="6" w16cid:durableId="1456829164">
    <w:abstractNumId w:val="6"/>
  </w:num>
  <w:num w:numId="7" w16cid:durableId="2106027178">
    <w:abstractNumId w:val="5"/>
  </w:num>
  <w:num w:numId="8" w16cid:durableId="795568718">
    <w:abstractNumId w:val="5"/>
  </w:num>
  <w:num w:numId="9" w16cid:durableId="1456483770">
    <w:abstractNumId w:val="4"/>
  </w:num>
  <w:num w:numId="10" w16cid:durableId="58018412">
    <w:abstractNumId w:val="4"/>
  </w:num>
  <w:num w:numId="11" w16cid:durableId="1267274712">
    <w:abstractNumId w:val="8"/>
  </w:num>
  <w:num w:numId="12" w16cid:durableId="468787727">
    <w:abstractNumId w:val="8"/>
  </w:num>
  <w:num w:numId="13" w16cid:durableId="870997583">
    <w:abstractNumId w:val="3"/>
  </w:num>
  <w:num w:numId="14" w16cid:durableId="1324510954">
    <w:abstractNumId w:val="3"/>
  </w:num>
  <w:num w:numId="15" w16cid:durableId="407118398">
    <w:abstractNumId w:val="2"/>
  </w:num>
  <w:num w:numId="16" w16cid:durableId="936446235">
    <w:abstractNumId w:val="2"/>
  </w:num>
  <w:num w:numId="17" w16cid:durableId="1337223350">
    <w:abstractNumId w:val="1"/>
  </w:num>
  <w:num w:numId="18" w16cid:durableId="325715530">
    <w:abstractNumId w:val="1"/>
  </w:num>
  <w:num w:numId="19" w16cid:durableId="779255650">
    <w:abstractNumId w:val="0"/>
  </w:num>
  <w:num w:numId="20" w16cid:durableId="2016418182">
    <w:abstractNumId w:val="0"/>
  </w:num>
  <w:num w:numId="21" w16cid:durableId="918639464">
    <w:abstractNumId w:val="9"/>
  </w:num>
  <w:num w:numId="22" w16cid:durableId="174418291">
    <w:abstractNumId w:val="7"/>
  </w:num>
  <w:num w:numId="23" w16cid:durableId="578517599">
    <w:abstractNumId w:val="6"/>
  </w:num>
  <w:num w:numId="24" w16cid:durableId="329022706">
    <w:abstractNumId w:val="5"/>
  </w:num>
  <w:num w:numId="25" w16cid:durableId="658341686">
    <w:abstractNumId w:val="4"/>
  </w:num>
  <w:num w:numId="26" w16cid:durableId="599871599">
    <w:abstractNumId w:val="8"/>
  </w:num>
  <w:num w:numId="27" w16cid:durableId="1364936455">
    <w:abstractNumId w:val="3"/>
  </w:num>
  <w:num w:numId="28" w16cid:durableId="1849053983">
    <w:abstractNumId w:val="2"/>
  </w:num>
  <w:num w:numId="29" w16cid:durableId="2011057853">
    <w:abstractNumId w:val="1"/>
  </w:num>
  <w:num w:numId="30" w16cid:durableId="2058626303">
    <w:abstractNumId w:val="0"/>
  </w:num>
  <w:num w:numId="31" w16cid:durableId="1570530862">
    <w:abstractNumId w:val="9"/>
  </w:num>
  <w:num w:numId="32" w16cid:durableId="1201671656">
    <w:abstractNumId w:val="7"/>
  </w:num>
  <w:num w:numId="33" w16cid:durableId="955261035">
    <w:abstractNumId w:val="6"/>
  </w:num>
  <w:num w:numId="34" w16cid:durableId="132987177">
    <w:abstractNumId w:val="5"/>
  </w:num>
  <w:num w:numId="35" w16cid:durableId="108087095">
    <w:abstractNumId w:val="4"/>
  </w:num>
  <w:num w:numId="36" w16cid:durableId="835921183">
    <w:abstractNumId w:val="8"/>
  </w:num>
  <w:num w:numId="37" w16cid:durableId="1798832253">
    <w:abstractNumId w:val="3"/>
  </w:num>
  <w:num w:numId="38" w16cid:durableId="1539657434">
    <w:abstractNumId w:val="2"/>
  </w:num>
  <w:num w:numId="39" w16cid:durableId="1717244002">
    <w:abstractNumId w:val="1"/>
  </w:num>
  <w:num w:numId="40" w16cid:durableId="721638174">
    <w:abstractNumId w:val="0"/>
  </w:num>
  <w:num w:numId="41" w16cid:durableId="1028288156">
    <w:abstractNumId w:val="10"/>
  </w:num>
  <w:num w:numId="42" w16cid:durableId="1909800376">
    <w:abstractNumId w:val="10"/>
  </w:num>
  <w:num w:numId="43" w16cid:durableId="1286154907">
    <w:abstractNumId w:val="10"/>
  </w:num>
  <w:num w:numId="44" w16cid:durableId="986595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BG"/>
    <w:docVar w:name="dvnumam" w:val="0"/>
    <w:docVar w:name="dvpe" w:val="779.515"/>
    <w:docVar w:name="dvrapporteur" w:val="Докладчик: "/>
    <w:docVar w:name="dvtitre" w:val="Решение на Европейския парламент от ... 2025 г. относно предложението за назначаване на изпълнителен директор на Европейския орган за застраховане и професионално пенсионно осигуряване(N10-0060/2025 – C10-0268/2025 – 2025/0904(NLE))"/>
  </w:docVars>
  <w:rsids>
    <w:rsidRoot w:val="00C1038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BE9"/>
    <w:rsid w:val="00471C19"/>
    <w:rsid w:val="00485CF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9EA"/>
    <w:rsid w:val="007D1690"/>
    <w:rsid w:val="007E22AD"/>
    <w:rsid w:val="00817416"/>
    <w:rsid w:val="00842779"/>
    <w:rsid w:val="00865F67"/>
    <w:rsid w:val="00881A7B"/>
    <w:rsid w:val="008840E5"/>
    <w:rsid w:val="00887B3E"/>
    <w:rsid w:val="008B033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3B6D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038F"/>
    <w:rsid w:val="00C23CD4"/>
    <w:rsid w:val="00C61C0C"/>
    <w:rsid w:val="00C941CB"/>
    <w:rsid w:val="00CC1493"/>
    <w:rsid w:val="00CC2357"/>
    <w:rsid w:val="00CF071A"/>
    <w:rsid w:val="00D058B8"/>
    <w:rsid w:val="00D56C11"/>
    <w:rsid w:val="00D834A0"/>
    <w:rsid w:val="00D872DF"/>
    <w:rsid w:val="00D91E21"/>
    <w:rsid w:val="00DA7FCD"/>
    <w:rsid w:val="00E35A7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0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14708"/>
  <w15:chartTrackingRefBased/>
  <w15:docId w15:val="{FD968108-1B2B-4515-8FEB-607D47E7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D09EA"/>
    <w:pPr>
      <w:spacing w:before="480" w:after="240"/>
    </w:pPr>
  </w:style>
  <w:style w:type="paragraph" w:customStyle="1" w:styleId="NormalBold">
    <w:name w:val="NormalBold"/>
    <w:basedOn w:val="Normal"/>
    <w:rsid w:val="007D09EA"/>
    <w:rPr>
      <w:b/>
    </w:rPr>
  </w:style>
  <w:style w:type="paragraph" w:customStyle="1" w:styleId="NormalHanging12a">
    <w:name w:val="NormalHanging12a"/>
    <w:basedOn w:val="Normal"/>
    <w:rsid w:val="007D09EA"/>
    <w:pPr>
      <w:spacing w:after="240"/>
      <w:ind w:left="567" w:hanging="567"/>
    </w:pPr>
  </w:style>
  <w:style w:type="character" w:styleId="Hyperlink">
    <w:name w:val="Hyperlink"/>
    <w:uiPriority w:val="99"/>
    <w:rsid w:val="007D09EA"/>
    <w:rPr>
      <w:color w:val="0000FF"/>
      <w:u w:val="single"/>
    </w:rPr>
  </w:style>
  <w:style w:type="paragraph" w:customStyle="1" w:styleId="Normal12Hanging">
    <w:name w:val="Normal12Hanging"/>
    <w:basedOn w:val="Normal"/>
    <w:rsid w:val="007D09E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B0337"/>
    <w:rPr>
      <w:sz w:val="24"/>
      <w:lang w:val="bg-BG"/>
    </w:rPr>
  </w:style>
  <w:style w:type="character" w:styleId="FollowedHyperlink">
    <w:name w:val="FollowedHyperlink"/>
    <w:basedOn w:val="DefaultParagraphFont"/>
    <w:rsid w:val="00A83B6D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A83B6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3B6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83B6D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A83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3B6D"/>
    <w:rPr>
      <w:b/>
      <w:bCs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A83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385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2025-12-17T11:55:00Z</dcterms:created>
  <dcterms:modified xsi:type="dcterms:W3CDTF">2025-12-17T11:55:00Z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