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773D" w14:paraId="7A4F80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083494" w14:textId="5554993A" w:rsidR="00751A4A" w:rsidRPr="00AF773D" w:rsidRDefault="00154857" w:rsidP="0010095E">
            <w:pPr>
              <w:pStyle w:val="EPName"/>
            </w:pPr>
            <w:r w:rsidRPr="00AF773D">
              <w:t>Evropský parlament</w:t>
            </w:r>
          </w:p>
          <w:p w14:paraId="41D5F51F" w14:textId="77777777" w:rsidR="00751A4A" w:rsidRPr="00AF77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773D">
              <w:t>2024</w:t>
            </w:r>
            <w:r w:rsidR="00817416" w:rsidRPr="00AF773D">
              <w:t>-202</w:t>
            </w:r>
            <w:r w:rsidRPr="00AF773D">
              <w:t>9</w:t>
            </w:r>
          </w:p>
        </w:tc>
        <w:tc>
          <w:tcPr>
            <w:tcW w:w="2268" w:type="dxa"/>
            <w:shd w:val="clear" w:color="auto" w:fill="auto"/>
          </w:tcPr>
          <w:p w14:paraId="48297A8E" w14:textId="77777777" w:rsidR="00751A4A" w:rsidRPr="00AF773D" w:rsidRDefault="00187494" w:rsidP="0010095E">
            <w:pPr>
              <w:pStyle w:val="EPLogo"/>
            </w:pPr>
            <w:r w:rsidRPr="00AF773D">
              <w:rPr>
                <w:noProof/>
                <w:lang w:eastAsia="ja-JP"/>
              </w:rPr>
              <w:drawing>
                <wp:inline distT="0" distB="0" distL="0" distR="0" wp14:anchorId="5289DF81" wp14:editId="0E5042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08B761" w14:textId="77777777" w:rsidR="00D058B8" w:rsidRPr="00AF773D" w:rsidRDefault="00D058B8" w:rsidP="004C5D52">
      <w:pPr>
        <w:pStyle w:val="LineTop"/>
      </w:pPr>
    </w:p>
    <w:p w14:paraId="046FDD2F" w14:textId="3FCBE039" w:rsidR="00680577" w:rsidRPr="00AF773D" w:rsidRDefault="00154857" w:rsidP="00680577">
      <w:pPr>
        <w:pStyle w:val="EPBodyTA1"/>
      </w:pPr>
      <w:r w:rsidRPr="00AF773D">
        <w:t>PŘIJATÉ TEXTY</w:t>
      </w:r>
    </w:p>
    <w:p w14:paraId="5284F87D" w14:textId="77777777" w:rsidR="00D058B8" w:rsidRPr="00AF773D" w:rsidRDefault="00D058B8" w:rsidP="00D058B8">
      <w:pPr>
        <w:pStyle w:val="LineBottom"/>
      </w:pPr>
    </w:p>
    <w:p w14:paraId="29BD3340" w14:textId="06617B44" w:rsidR="00154857" w:rsidRPr="00AF773D" w:rsidRDefault="00154857" w:rsidP="00154857">
      <w:pPr>
        <w:pStyle w:val="ATHeading1"/>
      </w:pPr>
      <w:bookmarkStart w:id="0" w:name="TANumber"/>
      <w:r w:rsidRPr="00AF773D">
        <w:t>P10_</w:t>
      </w:r>
      <w:proofErr w:type="gramStart"/>
      <w:r w:rsidRPr="00AF773D">
        <w:t>TA(</w:t>
      </w:r>
      <w:proofErr w:type="gramEnd"/>
      <w:r w:rsidRPr="00AF773D">
        <w:t>2025)0</w:t>
      </w:r>
      <w:bookmarkEnd w:id="0"/>
      <w:r w:rsidR="00A51750">
        <w:t>334</w:t>
      </w:r>
    </w:p>
    <w:p w14:paraId="5023807E" w14:textId="77777777" w:rsidR="00154857" w:rsidRPr="00AF773D" w:rsidRDefault="00154857" w:rsidP="00154857">
      <w:pPr>
        <w:pStyle w:val="ATHeading2"/>
      </w:pPr>
      <w:bookmarkStart w:id="1" w:name="title"/>
      <w:r w:rsidRPr="00AF773D">
        <w:t>Jmenování výkonného ředitele Evropského orgánu pro pojišťovnictví a zaměstnanecké penzijní pojištění (EIOPA)</w:t>
      </w:r>
      <w:bookmarkEnd w:id="1"/>
    </w:p>
    <w:p w14:paraId="76C866F6" w14:textId="77777777" w:rsidR="00154857" w:rsidRPr="00AF773D" w:rsidRDefault="00154857" w:rsidP="00154857">
      <w:pPr>
        <w:rPr>
          <w:i/>
          <w:vanish/>
        </w:rPr>
      </w:pPr>
      <w:r w:rsidRPr="00AF773D">
        <w:rPr>
          <w:i/>
        </w:rPr>
        <w:fldChar w:fldCharType="begin"/>
      </w:r>
      <w:r w:rsidRPr="00AF773D">
        <w:rPr>
          <w:i/>
        </w:rPr>
        <w:instrText xml:space="preserve"> TC"(</w:instrText>
      </w:r>
      <w:bookmarkStart w:id="2" w:name="DocNumber"/>
      <w:r w:rsidRPr="00AF773D">
        <w:rPr>
          <w:i/>
        </w:rPr>
        <w:instrText>A10-0247/2025</w:instrText>
      </w:r>
      <w:bookmarkEnd w:id="2"/>
      <w:r w:rsidRPr="00AF773D">
        <w:rPr>
          <w:i/>
        </w:rPr>
        <w:instrText xml:space="preserve"> - Zpravodajka: </w:instrText>
      </w:r>
      <w:proofErr w:type="spellStart"/>
      <w:r w:rsidRPr="00AF773D">
        <w:rPr>
          <w:i/>
        </w:rPr>
        <w:instrText>Aurore</w:instrText>
      </w:r>
      <w:proofErr w:type="spellEnd"/>
      <w:r w:rsidRPr="00AF773D">
        <w:rPr>
          <w:i/>
        </w:rPr>
        <w:instrText xml:space="preserve"> </w:instrText>
      </w:r>
      <w:proofErr w:type="spellStart"/>
      <w:r w:rsidRPr="00AF773D">
        <w:rPr>
          <w:i/>
        </w:rPr>
        <w:instrText>Lalucq</w:instrText>
      </w:r>
      <w:proofErr w:type="spellEnd"/>
      <w:r w:rsidRPr="00AF773D">
        <w:rPr>
          <w:i/>
        </w:rPr>
        <w:instrText xml:space="preserve">)"\l3 \n&gt; \* MERGEFORMAT </w:instrText>
      </w:r>
      <w:r w:rsidRPr="00AF773D">
        <w:rPr>
          <w:i/>
        </w:rPr>
        <w:fldChar w:fldCharType="end"/>
      </w:r>
    </w:p>
    <w:p w14:paraId="2A3F3368" w14:textId="77777777" w:rsidR="00154857" w:rsidRPr="00AF773D" w:rsidRDefault="00154857" w:rsidP="00154857">
      <w:pPr>
        <w:rPr>
          <w:vanish/>
        </w:rPr>
      </w:pPr>
      <w:bookmarkStart w:id="3" w:name="Commission"/>
      <w:r w:rsidRPr="00AF773D">
        <w:rPr>
          <w:vanish/>
        </w:rPr>
        <w:t>Hospodářský a měnový výbor</w:t>
      </w:r>
      <w:bookmarkEnd w:id="3"/>
    </w:p>
    <w:p w14:paraId="2F431EFF" w14:textId="77777777" w:rsidR="00154857" w:rsidRPr="00AF773D" w:rsidRDefault="00154857" w:rsidP="00154857">
      <w:pPr>
        <w:rPr>
          <w:vanish/>
        </w:rPr>
      </w:pPr>
      <w:bookmarkStart w:id="4" w:name="PE"/>
      <w:r w:rsidRPr="00AF773D">
        <w:rPr>
          <w:vanish/>
        </w:rPr>
        <w:t>PE779.515</w:t>
      </w:r>
      <w:bookmarkEnd w:id="4"/>
    </w:p>
    <w:p w14:paraId="52E9DB5E" w14:textId="77777777" w:rsidR="00154857" w:rsidRPr="00AF773D" w:rsidRDefault="00154857" w:rsidP="00154857">
      <w:pPr>
        <w:pStyle w:val="ATHeading3"/>
      </w:pPr>
      <w:bookmarkStart w:id="5" w:name="Sujet"/>
      <w:r w:rsidRPr="00AF773D">
        <w:t>Rozhodnutí Evropského parlamentu ze dne 17. prosince 2025 o návrhu jmenování výkonného ředitele Evropského orgánu pro pojišťovnictví a zaměstnanecké penzijní pojištění</w:t>
      </w:r>
      <w:bookmarkEnd w:id="5"/>
      <w:r w:rsidRPr="00AF773D">
        <w:t xml:space="preserve"> </w:t>
      </w:r>
      <w:bookmarkStart w:id="6" w:name="References"/>
      <w:r w:rsidRPr="00AF773D">
        <w:t>(N10-0060/2025 – C10-0268/</w:t>
      </w:r>
      <w:proofErr w:type="gramStart"/>
      <w:r w:rsidRPr="00AF773D">
        <w:t>2025 – 2025</w:t>
      </w:r>
      <w:proofErr w:type="gramEnd"/>
      <w:r w:rsidRPr="00AF773D">
        <w:t>/0904(NLE))</w:t>
      </w:r>
      <w:bookmarkEnd w:id="6"/>
    </w:p>
    <w:p w14:paraId="34996F5D" w14:textId="77777777" w:rsidR="006E5A57" w:rsidRPr="00AF773D" w:rsidRDefault="006E5A57" w:rsidP="006E5A57">
      <w:pPr>
        <w:pStyle w:val="NormalBold"/>
      </w:pPr>
      <w:r w:rsidRPr="00AF773D">
        <w:t>(Souhlas)</w:t>
      </w:r>
    </w:p>
    <w:p w14:paraId="7D521BDF" w14:textId="77777777" w:rsidR="006E5A57" w:rsidRPr="00AF773D" w:rsidRDefault="006E5A57" w:rsidP="006E5A57">
      <w:pPr>
        <w:pStyle w:val="EPComma"/>
      </w:pPr>
      <w:r w:rsidRPr="00AF773D">
        <w:rPr>
          <w:i/>
        </w:rPr>
        <w:t>Evropský parlament</w:t>
      </w:r>
      <w:r w:rsidRPr="00AF773D">
        <w:t>,</w:t>
      </w:r>
    </w:p>
    <w:p w14:paraId="52043917" w14:textId="77777777" w:rsidR="006E5A57" w:rsidRPr="00AF773D" w:rsidRDefault="006E5A57" w:rsidP="006E5A57">
      <w:pPr>
        <w:pStyle w:val="NormalHanging12a"/>
      </w:pPr>
      <w:r w:rsidRPr="00AF773D">
        <w:t>–</w:t>
      </w:r>
      <w:r w:rsidRPr="00AF773D">
        <w:tab/>
        <w:t>s ohledem na návrh rady orgánů dohledu Evropského orgánu pro pojišťovnictví a zaměstnanecké penzijní pojištění ze dne 23. října 2025 (C10</w:t>
      </w:r>
      <w:r w:rsidRPr="00AF773D">
        <w:noBreakHyphen/>
        <w:t>0268/2025),</w:t>
      </w:r>
    </w:p>
    <w:p w14:paraId="070F0399" w14:textId="77777777" w:rsidR="006E5A57" w:rsidRPr="00AF773D" w:rsidRDefault="006E5A57" w:rsidP="006E5A57">
      <w:pPr>
        <w:pStyle w:val="NormalHanging12a"/>
      </w:pPr>
      <w:r w:rsidRPr="00AF773D">
        <w:t>–</w:t>
      </w:r>
      <w:r w:rsidRPr="00AF773D">
        <w:tab/>
        <w:t>s ohledem na čl. 51 odst. 2 a 3 nařízení Evropského parlamentu a Rady (EU) č. 1094/2010 ze dne 24. listopadu 2010 o zřízení Evropského orgánu dohledu (Evropského orgánu pro pojišťovnictví a zaměstnanecké penzijní pojištění), o změně rozhodnutí č. 716/2009/ES a o zrušení rozhodnutí Komise 2009/79/ES</w:t>
      </w:r>
      <w:r w:rsidRPr="00AF773D">
        <w:rPr>
          <w:rStyle w:val="FootnoteReference"/>
        </w:rPr>
        <w:footnoteReference w:id="1"/>
      </w:r>
      <w:r w:rsidRPr="00AF773D">
        <w:t>,</w:t>
      </w:r>
    </w:p>
    <w:p w14:paraId="6609A8B2" w14:textId="77777777" w:rsidR="006E5A57" w:rsidRPr="00AF773D" w:rsidRDefault="006E5A57" w:rsidP="006E5A57">
      <w:pPr>
        <w:pStyle w:val="Normal12Hanging"/>
      </w:pPr>
      <w:r w:rsidRPr="00AF773D">
        <w:t>–</w:t>
      </w:r>
      <w:r w:rsidRPr="00AF773D">
        <w:tab/>
        <w:t>s ohledem na své usnesení ze dne 14. března 2019 o genderové vyváženosti při navrhování kandidátů v oblasti hospodářských a měnových záležitostí EU</w:t>
      </w:r>
      <w:r w:rsidRPr="00AF773D">
        <w:rPr>
          <w:rStyle w:val="FootnoteReference"/>
        </w:rPr>
        <w:footnoteReference w:id="2"/>
      </w:r>
      <w:r w:rsidRPr="00AF773D">
        <w:t>,</w:t>
      </w:r>
    </w:p>
    <w:p w14:paraId="1B99A3A3" w14:textId="77777777" w:rsidR="006E5A57" w:rsidRPr="00AF773D" w:rsidRDefault="006E5A57" w:rsidP="006E5A57">
      <w:pPr>
        <w:pStyle w:val="Normal12Hanging"/>
      </w:pPr>
      <w:r w:rsidRPr="00AF773D">
        <w:t>–</w:t>
      </w:r>
      <w:r w:rsidRPr="00AF773D">
        <w:tab/>
        <w:t>s ohledem na své usnesení ze dne 16. ledna 2020 o orgánech a institucích hospodářské a měnové unie: prevence střetu zájmů po ukončení pracovního poměru ve veřejném sektoru</w:t>
      </w:r>
      <w:r w:rsidRPr="00AF773D">
        <w:rPr>
          <w:rStyle w:val="FootnoteReference"/>
        </w:rPr>
        <w:footnoteReference w:id="3"/>
      </w:r>
      <w:r w:rsidRPr="00AF773D">
        <w:t>,</w:t>
      </w:r>
    </w:p>
    <w:p w14:paraId="70275810" w14:textId="77777777" w:rsidR="006E5A57" w:rsidRPr="00AF773D" w:rsidRDefault="006E5A57" w:rsidP="006E5A57">
      <w:pPr>
        <w:pStyle w:val="NormalHanging12a"/>
      </w:pPr>
      <w:r w:rsidRPr="00AF773D">
        <w:t>–</w:t>
      </w:r>
      <w:r w:rsidRPr="00AF773D">
        <w:tab/>
        <w:t>s ohledem na článek 135 jednacího řádu,</w:t>
      </w:r>
    </w:p>
    <w:p w14:paraId="306A5254" w14:textId="77777777" w:rsidR="006E5A57" w:rsidRPr="00AF773D" w:rsidRDefault="006E5A57" w:rsidP="006E5A57">
      <w:pPr>
        <w:pStyle w:val="NormalHanging12a"/>
      </w:pPr>
      <w:r w:rsidRPr="00AF773D">
        <w:t>–</w:t>
      </w:r>
      <w:r w:rsidRPr="00AF773D">
        <w:tab/>
        <w:t>s ohledem na zprávu Hospodářského a měnového výboru (A10</w:t>
      </w:r>
      <w:r w:rsidRPr="00AF773D">
        <w:noBreakHyphen/>
        <w:t>0247/2025),</w:t>
      </w:r>
    </w:p>
    <w:p w14:paraId="79E5255F" w14:textId="77777777" w:rsidR="006E5A57" w:rsidRPr="00AF773D" w:rsidRDefault="006E5A57" w:rsidP="006E5A57">
      <w:pPr>
        <w:pStyle w:val="NormalHanging12a"/>
      </w:pPr>
      <w:r w:rsidRPr="00AF773D">
        <w:t>A.</w:t>
      </w:r>
      <w:r w:rsidRPr="00AF773D">
        <w:tab/>
        <w:t xml:space="preserve">vzhledem k tomu, že funkční období současného výkonného ředitele Evropského orgánu pro pojišťovnictví a zaměstnanecké penzijní pojištění </w:t>
      </w:r>
      <w:proofErr w:type="gramStart"/>
      <w:r w:rsidRPr="00AF773D">
        <w:t>skončí</w:t>
      </w:r>
      <w:proofErr w:type="gramEnd"/>
      <w:r w:rsidRPr="00AF773D">
        <w:t xml:space="preserve"> dne 31. března </w:t>
      </w:r>
      <w:r w:rsidRPr="00AF773D">
        <w:lastRenderedPageBreak/>
        <w:t>2026;</w:t>
      </w:r>
    </w:p>
    <w:p w14:paraId="66D7AAF1" w14:textId="77777777" w:rsidR="006E5A57" w:rsidRPr="00AF773D" w:rsidRDefault="006E5A57" w:rsidP="006E5A57">
      <w:pPr>
        <w:pStyle w:val="NormalHanging12a"/>
      </w:pPr>
      <w:r w:rsidRPr="00AF773D">
        <w:t>B.</w:t>
      </w:r>
      <w:r w:rsidRPr="00AF773D">
        <w:tab/>
        <w:t xml:space="preserve">vzhledem k tomu, že dne 23. října 2025 rada orgánů dohledu Evropského orgánu pro pojišťovnictví a zaměstnanecké penzijní pojištění navrhla na základě otevřeného výběrového řízení, aby byl Damian </w:t>
      </w:r>
      <w:proofErr w:type="spellStart"/>
      <w:r w:rsidRPr="00AF773D">
        <w:t>Jaworski</w:t>
      </w:r>
      <w:proofErr w:type="spellEnd"/>
      <w:r w:rsidRPr="00AF773D">
        <w:t xml:space="preserve"> jmenován výkonným ředitelem na pětileté funkční období v souladu s čl. 51 odst. 2 a 3 nařízení (EU) č. 1094/2010;</w:t>
      </w:r>
    </w:p>
    <w:p w14:paraId="7AC5BC15" w14:textId="77777777" w:rsidR="006E5A57" w:rsidRPr="00AF773D" w:rsidRDefault="006E5A57" w:rsidP="006E5A57">
      <w:pPr>
        <w:pStyle w:val="NormalHanging12a"/>
      </w:pPr>
      <w:r w:rsidRPr="00AF773D">
        <w:t>C.</w:t>
      </w:r>
      <w:r w:rsidRPr="00AF773D">
        <w:tab/>
        <w:t xml:space="preserve">vzhledem k tomu, že Hospodářský a měnový výbor dne 6. listopadu 2025 uspořádal slyšení s Damianem </w:t>
      </w:r>
      <w:proofErr w:type="spellStart"/>
      <w:r w:rsidRPr="00AF773D">
        <w:t>Jaworskim</w:t>
      </w:r>
      <w:proofErr w:type="spellEnd"/>
      <w:r w:rsidRPr="00AF773D">
        <w:t>, během kterého tento kandidát pronesl úvodní prohlášení a poté odpovídal na otázky členů výboru;</w:t>
      </w:r>
    </w:p>
    <w:p w14:paraId="0ECD7E59" w14:textId="77777777" w:rsidR="006E5A57" w:rsidRPr="00AF773D" w:rsidRDefault="006E5A57" w:rsidP="006E5A57">
      <w:pPr>
        <w:pStyle w:val="NormalHanging12a"/>
      </w:pPr>
      <w:r w:rsidRPr="00AF773D">
        <w:t>1.</w:t>
      </w:r>
      <w:r w:rsidRPr="00AF773D">
        <w:tab/>
        <w:t xml:space="preserve">uděluje souhlas se jmenováním Damiana </w:t>
      </w:r>
      <w:proofErr w:type="spellStart"/>
      <w:r w:rsidRPr="00AF773D">
        <w:t>Jaworského</w:t>
      </w:r>
      <w:proofErr w:type="spellEnd"/>
      <w:r w:rsidRPr="00AF773D">
        <w:t xml:space="preserve"> výkonným ředitelem Evropského orgánu pro pojišťovnictví a zaměstnanecké penzijní pojištění;</w:t>
      </w:r>
    </w:p>
    <w:p w14:paraId="7C74D49A" w14:textId="12055A97" w:rsidR="005021C6" w:rsidRPr="00AF773D" w:rsidRDefault="006E5A57" w:rsidP="005021C6">
      <w:pPr>
        <w:pStyle w:val="NormalHanging12a"/>
      </w:pPr>
      <w:r w:rsidRPr="00AF773D">
        <w:t>2.</w:t>
      </w:r>
      <w:r w:rsidRPr="00AF773D">
        <w:tab/>
        <w:t>pověřuje svou předsedkyni, aby předala toto rozhodnutí Radě, Komisi, Evropskému orgánu pro pojišťovnictví a zaměstnanecké penzijní pojištění a vládám členských států.</w:t>
      </w:r>
    </w:p>
    <w:p w14:paraId="31F484F5" w14:textId="5ECC2D15" w:rsidR="00E365E1" w:rsidRPr="00AF773D" w:rsidRDefault="00E365E1" w:rsidP="00154857"/>
    <w:sectPr w:rsidR="00E365E1" w:rsidRPr="00AF773D" w:rsidSect="005021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44464" w14:textId="77777777" w:rsidR="00154857" w:rsidRPr="005021C6" w:rsidRDefault="00154857">
      <w:r w:rsidRPr="005021C6">
        <w:separator/>
      </w:r>
    </w:p>
  </w:endnote>
  <w:endnote w:type="continuationSeparator" w:id="0">
    <w:p w14:paraId="0A14DC81" w14:textId="77777777" w:rsidR="00154857" w:rsidRPr="005021C6" w:rsidRDefault="00154857">
      <w:r w:rsidRPr="005021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8B6B5" w14:textId="77777777" w:rsidR="00064002" w:rsidRPr="005021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6A3FF" w14:textId="77777777" w:rsidR="00064002" w:rsidRPr="005021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09D6B" w14:textId="77777777" w:rsidR="00064002" w:rsidRPr="005021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60D42" w14:textId="77777777" w:rsidR="00154857" w:rsidRPr="005021C6" w:rsidRDefault="00154857">
      <w:r w:rsidRPr="005021C6">
        <w:separator/>
      </w:r>
    </w:p>
  </w:footnote>
  <w:footnote w:type="continuationSeparator" w:id="0">
    <w:p w14:paraId="2FE48C76" w14:textId="77777777" w:rsidR="00154857" w:rsidRPr="005021C6" w:rsidRDefault="00154857">
      <w:r w:rsidRPr="005021C6">
        <w:continuationSeparator/>
      </w:r>
    </w:p>
  </w:footnote>
  <w:footnote w:id="1">
    <w:p w14:paraId="5585CF5C" w14:textId="20E5A965" w:rsidR="006E5A57" w:rsidRPr="005021C6" w:rsidRDefault="006E5A57" w:rsidP="005021C6">
      <w:pPr>
        <w:pStyle w:val="FootnoteText"/>
        <w:ind w:left="567" w:hanging="567"/>
        <w:rPr>
          <w:sz w:val="24"/>
          <w:lang w:val="cs-CZ"/>
        </w:rPr>
      </w:pPr>
      <w:r w:rsidRPr="005021C6">
        <w:rPr>
          <w:rStyle w:val="FootnoteReference"/>
          <w:sz w:val="24"/>
          <w:lang w:val="cs-CZ"/>
        </w:rPr>
        <w:footnoteRef/>
      </w:r>
      <w:r w:rsidR="005021C6" w:rsidRPr="005021C6">
        <w:rPr>
          <w:sz w:val="24"/>
          <w:lang w:val="cs-CZ"/>
        </w:rPr>
        <w:t xml:space="preserve"> </w:t>
      </w:r>
      <w:r w:rsidR="005021C6" w:rsidRPr="005021C6">
        <w:rPr>
          <w:sz w:val="24"/>
          <w:lang w:val="cs-CZ"/>
        </w:rPr>
        <w:tab/>
      </w:r>
      <w:proofErr w:type="spellStart"/>
      <w:r w:rsidRPr="005021C6">
        <w:rPr>
          <w:sz w:val="24"/>
          <w:lang w:val="cs-CZ"/>
        </w:rPr>
        <w:t>Úř</w:t>
      </w:r>
      <w:proofErr w:type="spellEnd"/>
      <w:r w:rsidRPr="005021C6">
        <w:rPr>
          <w:sz w:val="24"/>
          <w:lang w:val="cs-CZ"/>
        </w:rPr>
        <w:t xml:space="preserve">. </w:t>
      </w:r>
      <w:proofErr w:type="spellStart"/>
      <w:r w:rsidRPr="005021C6">
        <w:rPr>
          <w:sz w:val="24"/>
          <w:lang w:val="cs-CZ"/>
        </w:rPr>
        <w:t>věst</w:t>
      </w:r>
      <w:proofErr w:type="spellEnd"/>
      <w:r w:rsidRPr="005021C6">
        <w:rPr>
          <w:sz w:val="24"/>
          <w:lang w:val="cs-CZ"/>
        </w:rPr>
        <w:t xml:space="preserve">. L 331, 15.12.2010, s. 48, ELI: </w:t>
      </w:r>
      <w:r w:rsidR="00A51750">
        <w:fldChar w:fldCharType="begin"/>
      </w:r>
      <w:r w:rsidR="00A51750" w:rsidRPr="00A51750">
        <w:rPr>
          <w:lang w:val="fi-FI"/>
        </w:rPr>
        <w:instrText>HYPERLINK "http://data.europa.eu/eli/reg/2010/1094/oj"</w:instrText>
      </w:r>
      <w:r w:rsidR="00A51750">
        <w:fldChar w:fldCharType="separate"/>
      </w:r>
      <w:r w:rsidRPr="005021C6">
        <w:rPr>
          <w:rStyle w:val="Hyperlink"/>
          <w:sz w:val="24"/>
          <w:lang w:val="cs-CZ"/>
        </w:rPr>
        <w:t>http://data.europa.eu/eli/reg/2010/1094/oj</w:t>
      </w:r>
      <w:r w:rsidR="00A51750">
        <w:rPr>
          <w:rStyle w:val="Hyperlink"/>
          <w:sz w:val="24"/>
          <w:lang w:val="cs-CZ"/>
        </w:rPr>
        <w:fldChar w:fldCharType="end"/>
      </w:r>
      <w:r w:rsidRPr="005021C6">
        <w:rPr>
          <w:sz w:val="24"/>
          <w:lang w:val="cs-CZ"/>
        </w:rPr>
        <w:t>.</w:t>
      </w:r>
    </w:p>
  </w:footnote>
  <w:footnote w:id="2">
    <w:p w14:paraId="0970EB3F" w14:textId="125AAC25" w:rsidR="006E5A57" w:rsidRPr="005021C6" w:rsidRDefault="006E5A57" w:rsidP="005021C6">
      <w:pPr>
        <w:pStyle w:val="FootnoteText"/>
        <w:ind w:left="567" w:hanging="567"/>
        <w:rPr>
          <w:sz w:val="24"/>
          <w:lang w:val="cs-CZ"/>
        </w:rPr>
      </w:pPr>
      <w:r w:rsidRPr="005021C6">
        <w:rPr>
          <w:rStyle w:val="FootnoteReference"/>
          <w:sz w:val="24"/>
          <w:lang w:val="cs-CZ"/>
        </w:rPr>
        <w:footnoteRef/>
      </w:r>
      <w:r w:rsidR="005021C6" w:rsidRPr="005021C6">
        <w:rPr>
          <w:sz w:val="24"/>
          <w:lang w:val="cs-CZ"/>
        </w:rPr>
        <w:t xml:space="preserve"> </w:t>
      </w:r>
      <w:r w:rsidR="005021C6" w:rsidRPr="005021C6">
        <w:rPr>
          <w:sz w:val="24"/>
          <w:lang w:val="cs-CZ"/>
        </w:rPr>
        <w:tab/>
      </w:r>
      <w:proofErr w:type="spellStart"/>
      <w:r w:rsidRPr="005021C6">
        <w:rPr>
          <w:sz w:val="24"/>
          <w:lang w:val="cs-CZ"/>
        </w:rPr>
        <w:t>Úř</w:t>
      </w:r>
      <w:proofErr w:type="spellEnd"/>
      <w:r w:rsidRPr="005021C6">
        <w:rPr>
          <w:sz w:val="24"/>
          <w:lang w:val="cs-CZ"/>
        </w:rPr>
        <w:t xml:space="preserve">. </w:t>
      </w:r>
      <w:proofErr w:type="spellStart"/>
      <w:r w:rsidRPr="005021C6">
        <w:rPr>
          <w:sz w:val="24"/>
          <w:lang w:val="cs-CZ"/>
        </w:rPr>
        <w:t>věst</w:t>
      </w:r>
      <w:proofErr w:type="spellEnd"/>
      <w:r w:rsidRPr="005021C6">
        <w:rPr>
          <w:sz w:val="24"/>
          <w:lang w:val="cs-CZ"/>
        </w:rPr>
        <w:t>. C 23, 21.1.2021, s. 105.</w:t>
      </w:r>
    </w:p>
  </w:footnote>
  <w:footnote w:id="3">
    <w:p w14:paraId="4BFD75CD" w14:textId="55E96741" w:rsidR="006E5A57" w:rsidRPr="005021C6" w:rsidRDefault="006E5A57" w:rsidP="005021C6">
      <w:pPr>
        <w:pStyle w:val="FootnoteText"/>
        <w:ind w:left="567" w:hanging="567"/>
        <w:rPr>
          <w:sz w:val="24"/>
          <w:lang w:val="cs-CZ"/>
        </w:rPr>
      </w:pPr>
      <w:r w:rsidRPr="005021C6">
        <w:rPr>
          <w:rStyle w:val="FootnoteReference"/>
          <w:sz w:val="24"/>
          <w:lang w:val="cs-CZ"/>
        </w:rPr>
        <w:footnoteRef/>
      </w:r>
      <w:r w:rsidR="005021C6" w:rsidRPr="005021C6">
        <w:rPr>
          <w:sz w:val="24"/>
          <w:lang w:val="cs-CZ"/>
        </w:rPr>
        <w:t xml:space="preserve"> </w:t>
      </w:r>
      <w:r w:rsidR="005021C6" w:rsidRPr="005021C6">
        <w:rPr>
          <w:sz w:val="24"/>
          <w:lang w:val="cs-CZ"/>
        </w:rPr>
        <w:tab/>
      </w:r>
      <w:r w:rsidRPr="005021C6">
        <w:rPr>
          <w:sz w:val="24"/>
          <w:lang w:val="cs-CZ"/>
        </w:rPr>
        <w:t>Přijaté texty, P9_</w:t>
      </w:r>
      <w:proofErr w:type="gramStart"/>
      <w:r w:rsidRPr="005021C6">
        <w:rPr>
          <w:sz w:val="24"/>
          <w:lang w:val="cs-CZ"/>
        </w:rPr>
        <w:t>TA(</w:t>
      </w:r>
      <w:proofErr w:type="gramEnd"/>
      <w:r w:rsidRPr="005021C6">
        <w:rPr>
          <w:sz w:val="24"/>
          <w:lang w:val="cs-CZ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7D43B" w14:textId="77777777" w:rsidR="00064002" w:rsidRPr="005021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73873" w14:textId="77777777" w:rsidR="00064002" w:rsidRPr="005021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DE637" w14:textId="77777777" w:rsidR="00064002" w:rsidRPr="005021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5444506">
    <w:abstractNumId w:val="9"/>
  </w:num>
  <w:num w:numId="2" w16cid:durableId="709962183">
    <w:abstractNumId w:val="9"/>
  </w:num>
  <w:num w:numId="3" w16cid:durableId="1816144313">
    <w:abstractNumId w:val="7"/>
  </w:num>
  <w:num w:numId="4" w16cid:durableId="1512566">
    <w:abstractNumId w:val="7"/>
  </w:num>
  <w:num w:numId="5" w16cid:durableId="1251819006">
    <w:abstractNumId w:val="6"/>
  </w:num>
  <w:num w:numId="6" w16cid:durableId="686367844">
    <w:abstractNumId w:val="6"/>
  </w:num>
  <w:num w:numId="7" w16cid:durableId="616446499">
    <w:abstractNumId w:val="5"/>
  </w:num>
  <w:num w:numId="8" w16cid:durableId="94597088">
    <w:abstractNumId w:val="5"/>
  </w:num>
  <w:num w:numId="9" w16cid:durableId="1367877652">
    <w:abstractNumId w:val="4"/>
  </w:num>
  <w:num w:numId="10" w16cid:durableId="1923953522">
    <w:abstractNumId w:val="4"/>
  </w:num>
  <w:num w:numId="11" w16cid:durableId="1907059548">
    <w:abstractNumId w:val="8"/>
  </w:num>
  <w:num w:numId="12" w16cid:durableId="908229794">
    <w:abstractNumId w:val="8"/>
  </w:num>
  <w:num w:numId="13" w16cid:durableId="1550651910">
    <w:abstractNumId w:val="3"/>
  </w:num>
  <w:num w:numId="14" w16cid:durableId="844435831">
    <w:abstractNumId w:val="3"/>
  </w:num>
  <w:num w:numId="15" w16cid:durableId="2054038310">
    <w:abstractNumId w:val="2"/>
  </w:num>
  <w:num w:numId="16" w16cid:durableId="1667978158">
    <w:abstractNumId w:val="2"/>
  </w:num>
  <w:num w:numId="17" w16cid:durableId="251743018">
    <w:abstractNumId w:val="1"/>
  </w:num>
  <w:num w:numId="18" w16cid:durableId="582029595">
    <w:abstractNumId w:val="1"/>
  </w:num>
  <w:num w:numId="19" w16cid:durableId="1619137560">
    <w:abstractNumId w:val="0"/>
  </w:num>
  <w:num w:numId="20" w16cid:durableId="1419789345">
    <w:abstractNumId w:val="0"/>
  </w:num>
  <w:num w:numId="21" w16cid:durableId="1617518450">
    <w:abstractNumId w:val="9"/>
  </w:num>
  <w:num w:numId="22" w16cid:durableId="1519539883">
    <w:abstractNumId w:val="7"/>
  </w:num>
  <w:num w:numId="23" w16cid:durableId="1700660524">
    <w:abstractNumId w:val="6"/>
  </w:num>
  <w:num w:numId="24" w16cid:durableId="1112557485">
    <w:abstractNumId w:val="5"/>
  </w:num>
  <w:num w:numId="25" w16cid:durableId="656499718">
    <w:abstractNumId w:val="4"/>
  </w:num>
  <w:num w:numId="26" w16cid:durableId="994459415">
    <w:abstractNumId w:val="8"/>
  </w:num>
  <w:num w:numId="27" w16cid:durableId="1807770924">
    <w:abstractNumId w:val="3"/>
  </w:num>
  <w:num w:numId="28" w16cid:durableId="856113339">
    <w:abstractNumId w:val="2"/>
  </w:num>
  <w:num w:numId="29" w16cid:durableId="1221211602">
    <w:abstractNumId w:val="1"/>
  </w:num>
  <w:num w:numId="30" w16cid:durableId="78214522">
    <w:abstractNumId w:val="0"/>
  </w:num>
  <w:num w:numId="31" w16cid:durableId="987635396">
    <w:abstractNumId w:val="9"/>
  </w:num>
  <w:num w:numId="32" w16cid:durableId="721363912">
    <w:abstractNumId w:val="7"/>
  </w:num>
  <w:num w:numId="33" w16cid:durableId="543444165">
    <w:abstractNumId w:val="6"/>
  </w:num>
  <w:num w:numId="34" w16cid:durableId="596713363">
    <w:abstractNumId w:val="5"/>
  </w:num>
  <w:num w:numId="35" w16cid:durableId="1502546296">
    <w:abstractNumId w:val="4"/>
  </w:num>
  <w:num w:numId="36" w16cid:durableId="777140170">
    <w:abstractNumId w:val="8"/>
  </w:num>
  <w:num w:numId="37" w16cid:durableId="1089617380">
    <w:abstractNumId w:val="3"/>
  </w:num>
  <w:num w:numId="38" w16cid:durableId="451561481">
    <w:abstractNumId w:val="2"/>
  </w:num>
  <w:num w:numId="39" w16cid:durableId="574555934">
    <w:abstractNumId w:val="1"/>
  </w:num>
  <w:num w:numId="40" w16cid:durableId="1450469047">
    <w:abstractNumId w:val="0"/>
  </w:num>
  <w:num w:numId="41" w16cid:durableId="622811469">
    <w:abstractNumId w:val="10"/>
  </w:num>
  <w:num w:numId="42" w16cid:durableId="281614954">
    <w:abstractNumId w:val="10"/>
  </w:num>
  <w:num w:numId="43" w16cid:durableId="823814853">
    <w:abstractNumId w:val="10"/>
  </w:num>
  <w:num w:numId="44" w16cid:durableId="9327410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CS"/>
    <w:docVar w:name="dvnumam" w:val="0"/>
    <w:docVar w:name="dvpe" w:val="779.515"/>
    <w:docVar w:name="dvrapporteur" w:val="Zpravodajka: "/>
    <w:docVar w:name="dvtitre" w:val="Rozhodnutí Evropského parlamentu ze dne 17. prosince 2025 o návrhu jmenování výkonného ředitele Evropského orgánu pro pojišťovnictví a zaměstnanecké penzijní pojištění(N10-0060/2025 – C10-0268/2025 – 2025/0904(NLE))"/>
  </w:docVars>
  <w:rsids>
    <w:rsidRoot w:val="00154857"/>
    <w:rsid w:val="00002272"/>
    <w:rsid w:val="00064002"/>
    <w:rsid w:val="000677B9"/>
    <w:rsid w:val="000831BA"/>
    <w:rsid w:val="000A42CC"/>
    <w:rsid w:val="000E7DD9"/>
    <w:rsid w:val="0010095E"/>
    <w:rsid w:val="00125B37"/>
    <w:rsid w:val="0015485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1C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A5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750"/>
    <w:rsid w:val="00A778C7"/>
    <w:rsid w:val="00AB441E"/>
    <w:rsid w:val="00AB6293"/>
    <w:rsid w:val="00AE0928"/>
    <w:rsid w:val="00AF3B82"/>
    <w:rsid w:val="00AF773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11A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1F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9A96E5"/>
  <w15:chartTrackingRefBased/>
  <w15:docId w15:val="{E7E66EED-458D-4F12-AE0C-111283219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5A57"/>
    <w:pPr>
      <w:spacing w:before="480" w:after="240"/>
    </w:pPr>
  </w:style>
  <w:style w:type="paragraph" w:customStyle="1" w:styleId="NormalBold">
    <w:name w:val="NormalBold"/>
    <w:basedOn w:val="Normal"/>
    <w:rsid w:val="006E5A57"/>
    <w:rPr>
      <w:b/>
    </w:rPr>
  </w:style>
  <w:style w:type="paragraph" w:customStyle="1" w:styleId="NormalHanging12a">
    <w:name w:val="NormalHanging12a"/>
    <w:basedOn w:val="Normal"/>
    <w:rsid w:val="006E5A57"/>
    <w:pPr>
      <w:spacing w:after="240"/>
      <w:ind w:left="567" w:hanging="567"/>
    </w:pPr>
  </w:style>
  <w:style w:type="character" w:styleId="Hyperlink">
    <w:name w:val="Hyperlink"/>
    <w:uiPriority w:val="99"/>
    <w:rsid w:val="006E5A57"/>
    <w:rPr>
      <w:color w:val="0000FF"/>
      <w:u w:val="single"/>
    </w:rPr>
  </w:style>
  <w:style w:type="paragraph" w:customStyle="1" w:styleId="Normal12Hanging">
    <w:name w:val="Normal12Hanging"/>
    <w:basedOn w:val="Normal"/>
    <w:rsid w:val="006E5A5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2025-12-17T11:58:00Z</dcterms:created>
  <dcterms:modified xsi:type="dcterms:W3CDTF">2025-12-17T11:58:00Z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