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6CCB" w14:paraId="5C68D3B7" w14:textId="77777777" w:rsidTr="0010095E">
        <w:trPr>
          <w:trHeight w:hRule="exact" w:val="1418"/>
        </w:trPr>
        <w:tc>
          <w:tcPr>
            <w:tcW w:w="6804" w:type="dxa"/>
            <w:shd w:val="clear" w:color="auto" w:fill="auto"/>
            <w:vAlign w:val="center"/>
          </w:tcPr>
          <w:p w14:paraId="7B5AC456" w14:textId="77777777" w:rsidR="00751A4A" w:rsidRPr="00826CCB" w:rsidRDefault="00114831" w:rsidP="0010095E">
            <w:pPr>
              <w:pStyle w:val="EPName"/>
            </w:pPr>
            <w:r w:rsidRPr="00826CCB">
              <w:t>Europäisches Parlament</w:t>
            </w:r>
          </w:p>
          <w:p w14:paraId="642B20CF" w14:textId="77777777" w:rsidR="00751A4A" w:rsidRPr="00826CCB" w:rsidRDefault="005F1B17" w:rsidP="005F1B17">
            <w:pPr>
              <w:pStyle w:val="EPTerm"/>
              <w:rPr>
                <w:rStyle w:val="HideTWBExt"/>
                <w:noProof w:val="0"/>
                <w:vanish w:val="0"/>
                <w:color w:val="auto"/>
              </w:rPr>
            </w:pPr>
            <w:r w:rsidRPr="00826CCB">
              <w:t>2024</w:t>
            </w:r>
            <w:r w:rsidR="00817416" w:rsidRPr="00826CCB">
              <w:t>-202</w:t>
            </w:r>
            <w:r w:rsidRPr="00826CCB">
              <w:t>9</w:t>
            </w:r>
          </w:p>
        </w:tc>
        <w:tc>
          <w:tcPr>
            <w:tcW w:w="2268" w:type="dxa"/>
            <w:shd w:val="clear" w:color="auto" w:fill="auto"/>
          </w:tcPr>
          <w:p w14:paraId="659691EB" w14:textId="77777777" w:rsidR="00751A4A" w:rsidRPr="00826CCB" w:rsidRDefault="00187494" w:rsidP="0010095E">
            <w:pPr>
              <w:pStyle w:val="EPLogo"/>
            </w:pPr>
            <w:r w:rsidRPr="00826CCB">
              <w:rPr>
                <w:noProof/>
                <w:lang w:eastAsia="ja-JP"/>
              </w:rPr>
              <w:drawing>
                <wp:inline distT="0" distB="0" distL="0" distR="0" wp14:anchorId="2D379862" wp14:editId="48DDBB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8EEA2C" w14:textId="77777777" w:rsidR="00D058B8" w:rsidRPr="00826CCB" w:rsidRDefault="00D058B8" w:rsidP="004C5D52">
      <w:pPr>
        <w:pStyle w:val="LineTop"/>
      </w:pPr>
    </w:p>
    <w:p w14:paraId="51BA79E4" w14:textId="77777777" w:rsidR="00680577" w:rsidRPr="00826CCB" w:rsidRDefault="00114831" w:rsidP="00680577">
      <w:pPr>
        <w:pStyle w:val="EPBodyTA1"/>
      </w:pPr>
      <w:r w:rsidRPr="00826CCB">
        <w:t>ANGENOMMENE TEXTE</w:t>
      </w:r>
    </w:p>
    <w:p w14:paraId="79E30CD8" w14:textId="77777777" w:rsidR="00D058B8" w:rsidRPr="00826CCB" w:rsidRDefault="00D058B8" w:rsidP="00D058B8">
      <w:pPr>
        <w:pStyle w:val="LineBottom"/>
      </w:pPr>
    </w:p>
    <w:p w14:paraId="1670C5B0" w14:textId="77EBBA25" w:rsidR="00114831" w:rsidRPr="00826CCB" w:rsidRDefault="00114831" w:rsidP="00114831">
      <w:pPr>
        <w:pStyle w:val="ATHeading1"/>
      </w:pPr>
      <w:bookmarkStart w:id="0" w:name="TANumber"/>
      <w:r w:rsidRPr="00826CCB">
        <w:t>P10_</w:t>
      </w:r>
      <w:proofErr w:type="gramStart"/>
      <w:r w:rsidRPr="00826CCB">
        <w:t>TA(</w:t>
      </w:r>
      <w:proofErr w:type="gramEnd"/>
      <w:r w:rsidRPr="00826CCB">
        <w:t>2025)0</w:t>
      </w:r>
      <w:r w:rsidR="00AB7EEA">
        <w:t>334</w:t>
      </w:r>
      <w:bookmarkEnd w:id="0"/>
    </w:p>
    <w:p w14:paraId="22F0A797" w14:textId="01513453" w:rsidR="00114831" w:rsidRPr="00826CCB" w:rsidRDefault="00114831" w:rsidP="00114831">
      <w:pPr>
        <w:pStyle w:val="ATHeading2"/>
      </w:pPr>
      <w:bookmarkStart w:id="1" w:name="title"/>
      <w:r w:rsidRPr="00826CCB">
        <w:t>Ernennung des Exekutivdirektors der Europäischen Aufsichtsbehörde für das Versicherungswesen und die</w:t>
      </w:r>
      <w:r w:rsidR="00040E7E">
        <w:t xml:space="preserve"> </w:t>
      </w:r>
      <w:r w:rsidRPr="00826CCB">
        <w:t>betriebliche Altersversorgung (EIOPA)</w:t>
      </w:r>
      <w:bookmarkEnd w:id="1"/>
    </w:p>
    <w:p w14:paraId="055A22B4" w14:textId="77777777" w:rsidR="00114831" w:rsidRPr="00826CCB" w:rsidRDefault="00114831" w:rsidP="00114831">
      <w:pPr>
        <w:rPr>
          <w:i/>
          <w:vanish/>
        </w:rPr>
      </w:pPr>
      <w:r w:rsidRPr="00826CCB">
        <w:rPr>
          <w:i/>
        </w:rPr>
        <w:fldChar w:fldCharType="begin"/>
      </w:r>
      <w:r w:rsidRPr="00826CCB">
        <w:rPr>
          <w:i/>
        </w:rPr>
        <w:instrText xml:space="preserve"> TC"(</w:instrText>
      </w:r>
      <w:bookmarkStart w:id="2" w:name="DocNumber"/>
      <w:r w:rsidRPr="00826CCB">
        <w:rPr>
          <w:i/>
        </w:rPr>
        <w:instrText>A10-0247/2025</w:instrText>
      </w:r>
      <w:bookmarkEnd w:id="2"/>
      <w:r w:rsidRPr="00826CCB">
        <w:rPr>
          <w:i/>
        </w:rPr>
        <w:instrText xml:space="preserve"> - Berichterstatterin: Aurore Lalucq)"\l3 \n&gt; \* MERGEFORMAT </w:instrText>
      </w:r>
      <w:r w:rsidRPr="00826CCB">
        <w:rPr>
          <w:i/>
        </w:rPr>
        <w:fldChar w:fldCharType="end"/>
      </w:r>
    </w:p>
    <w:p w14:paraId="6DF1F482" w14:textId="77777777" w:rsidR="00114831" w:rsidRPr="00826CCB" w:rsidRDefault="00114831" w:rsidP="00114831">
      <w:pPr>
        <w:rPr>
          <w:vanish/>
        </w:rPr>
      </w:pPr>
      <w:bookmarkStart w:id="3" w:name="Commission"/>
      <w:r w:rsidRPr="00826CCB">
        <w:rPr>
          <w:vanish/>
        </w:rPr>
        <w:t>Ausschuss für Wirtschaft und Währung</w:t>
      </w:r>
      <w:bookmarkEnd w:id="3"/>
    </w:p>
    <w:p w14:paraId="763E0401" w14:textId="77777777" w:rsidR="00114831" w:rsidRPr="00826CCB" w:rsidRDefault="00114831" w:rsidP="00114831">
      <w:pPr>
        <w:rPr>
          <w:vanish/>
        </w:rPr>
      </w:pPr>
      <w:bookmarkStart w:id="4" w:name="PE"/>
      <w:r w:rsidRPr="00826CCB">
        <w:rPr>
          <w:vanish/>
        </w:rPr>
        <w:t>PE779.515</w:t>
      </w:r>
      <w:bookmarkEnd w:id="4"/>
    </w:p>
    <w:p w14:paraId="442C800B" w14:textId="563D891D" w:rsidR="00114831" w:rsidRPr="00826CCB" w:rsidRDefault="00114831" w:rsidP="00114831">
      <w:pPr>
        <w:pStyle w:val="ATHeading3"/>
      </w:pPr>
      <w:bookmarkStart w:id="5" w:name="Sujet"/>
      <w:r w:rsidRPr="00C15C29">
        <w:t xml:space="preserve">Beschluss des Europäischen Parlaments vom </w:t>
      </w:r>
      <w:r w:rsidR="00DC23C1" w:rsidRPr="00C15C29">
        <w:t>17</w:t>
      </w:r>
      <w:r w:rsidRPr="00C15C29">
        <w:t xml:space="preserve">. </w:t>
      </w:r>
      <w:r w:rsidR="00040E7E" w:rsidRPr="00C15C29">
        <w:t>Dezember</w:t>
      </w:r>
      <w:r w:rsidRPr="00C15C29">
        <w:t xml:space="preserve"> 2025 über den Vorschlag zur Ernennung des Exekutivdirektors der Europäischen Aufsichtsbehörde für das Versicherungswesen und die betriebliche Altersversorgung</w:t>
      </w:r>
      <w:bookmarkEnd w:id="5"/>
      <w:r w:rsidRPr="00826CCB">
        <w:t xml:space="preserve"> </w:t>
      </w:r>
      <w:bookmarkStart w:id="6" w:name="References"/>
      <w:r w:rsidRPr="00826CCB">
        <w:t>(N10-0060/2025 – C10-0268/2025 – 2025/0904(NLE))</w:t>
      </w:r>
      <w:bookmarkEnd w:id="6"/>
    </w:p>
    <w:p w14:paraId="6A3DD44C" w14:textId="77777777" w:rsidR="00F23507" w:rsidRPr="00826CCB" w:rsidRDefault="00F23507" w:rsidP="00F23507">
      <w:pPr>
        <w:pStyle w:val="NormalBold"/>
      </w:pPr>
      <w:r w:rsidRPr="00826CCB">
        <w:t>(Zustimmung)</w:t>
      </w:r>
    </w:p>
    <w:p w14:paraId="61064C89" w14:textId="77777777" w:rsidR="00F23507" w:rsidRPr="00826CCB" w:rsidRDefault="00F23507" w:rsidP="00F23507">
      <w:pPr>
        <w:pStyle w:val="EPComma"/>
      </w:pPr>
      <w:r w:rsidRPr="00826CCB">
        <w:rPr>
          <w:i/>
        </w:rPr>
        <w:t>Das Europäische Parlament,</w:t>
      </w:r>
    </w:p>
    <w:p w14:paraId="49B3174F" w14:textId="77777777" w:rsidR="00F23507" w:rsidRPr="00826CCB" w:rsidRDefault="00F23507" w:rsidP="00F23507">
      <w:pPr>
        <w:pStyle w:val="NormalHanging12a"/>
      </w:pPr>
      <w:r w:rsidRPr="00826CCB">
        <w:t>–</w:t>
      </w:r>
      <w:r w:rsidRPr="00826CCB">
        <w:tab/>
        <w:t>unter Hinweis auf den Vorschlag des Rates der Aufseher der Europäischen Aufsichtsbehörde für das Versicherungswesen und die betriebliche Altersversorgung vom 23. Oktober 2025 (C10-0268/2025),</w:t>
      </w:r>
    </w:p>
    <w:p w14:paraId="76920EFB" w14:textId="77777777" w:rsidR="00F23507" w:rsidRPr="00826CCB" w:rsidRDefault="00F23507" w:rsidP="00F23507">
      <w:pPr>
        <w:pStyle w:val="NormalHanging12a"/>
      </w:pPr>
      <w:r w:rsidRPr="00826CCB">
        <w:t>–</w:t>
      </w:r>
      <w:r w:rsidRPr="00826CCB">
        <w:tab/>
        <w:t>gestützt auf Artikel 51 Absatz 2 der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w:t>
      </w:r>
      <w:r w:rsidRPr="00826CCB">
        <w:rPr>
          <w:rStyle w:val="FootnoteReference"/>
        </w:rPr>
        <w:footnoteReference w:id="1"/>
      </w:r>
      <w:r w:rsidRPr="00826CCB">
        <w:t>,</w:t>
      </w:r>
    </w:p>
    <w:p w14:paraId="5C55B8DB" w14:textId="77777777" w:rsidR="00F23507" w:rsidRPr="00826CCB" w:rsidRDefault="00F23507" w:rsidP="00F23507">
      <w:pPr>
        <w:pStyle w:val="Normal12Hanging"/>
      </w:pPr>
      <w:r w:rsidRPr="00826CCB">
        <w:t>–</w:t>
      </w:r>
      <w:r w:rsidRPr="00826CCB">
        <w:tab/>
        <w:t>unter Hinweis auf seine Entschließung vom 14. März 2019 zum ausgewogenen Verhältnis von Frauen und Männern bei Nominierungen für Positionen im Bereich Wirtschaft und Währung auf EU-Ebene</w:t>
      </w:r>
      <w:r w:rsidRPr="00826CCB">
        <w:rPr>
          <w:rStyle w:val="FootnoteReference"/>
        </w:rPr>
        <w:footnoteReference w:id="2"/>
      </w:r>
      <w:r w:rsidRPr="00826CCB">
        <w:t>,</w:t>
      </w:r>
    </w:p>
    <w:p w14:paraId="5FA18532" w14:textId="77777777" w:rsidR="00F23507" w:rsidRPr="00826CCB" w:rsidRDefault="00F23507" w:rsidP="00F23507">
      <w:pPr>
        <w:pStyle w:val="Normal12Hanging"/>
      </w:pPr>
      <w:r w:rsidRPr="00826CCB">
        <w:t>–</w:t>
      </w:r>
      <w:r w:rsidRPr="00826CCB">
        <w:tab/>
        <w:t>unter Hinweis auf seine Entschließung vom 16. Januar 2020 zu dem Thema „Organe und Einrichtungen der Wirtschafts- und Währungsunion: Interessenkonflikte nach dem Ausscheiden aus dem öffentlichen Dienst verhindern“</w:t>
      </w:r>
      <w:r w:rsidRPr="00826CCB">
        <w:rPr>
          <w:rStyle w:val="FootnoteReference"/>
        </w:rPr>
        <w:footnoteReference w:id="3"/>
      </w:r>
      <w:r w:rsidRPr="00826CCB">
        <w:t>,</w:t>
      </w:r>
    </w:p>
    <w:p w14:paraId="527FAE9F" w14:textId="77777777" w:rsidR="00F23507" w:rsidRPr="00826CCB" w:rsidRDefault="00F23507" w:rsidP="00F23507">
      <w:pPr>
        <w:pStyle w:val="NormalHanging12a"/>
      </w:pPr>
      <w:r w:rsidRPr="00826CCB">
        <w:t>–</w:t>
      </w:r>
      <w:r w:rsidRPr="00826CCB">
        <w:tab/>
        <w:t>gestützt auf Artikel 135 seiner Geschäftsordnung,</w:t>
      </w:r>
    </w:p>
    <w:p w14:paraId="075AF357" w14:textId="77777777" w:rsidR="00F23507" w:rsidRPr="00826CCB" w:rsidRDefault="00F23507" w:rsidP="00F23507">
      <w:pPr>
        <w:pStyle w:val="NormalHanging12a"/>
      </w:pPr>
      <w:r w:rsidRPr="00826CCB">
        <w:t>–</w:t>
      </w:r>
      <w:r w:rsidRPr="00826CCB">
        <w:tab/>
        <w:t>unter Hinweis auf den Bericht des Ausschusses für Wirtschaft und Währung (A10-</w:t>
      </w:r>
      <w:r w:rsidRPr="00826CCB">
        <w:lastRenderedPageBreak/>
        <w:t>0247/2025),</w:t>
      </w:r>
    </w:p>
    <w:p w14:paraId="47360175" w14:textId="77777777" w:rsidR="00F23507" w:rsidRPr="00826CCB" w:rsidRDefault="00F23507" w:rsidP="00F23507">
      <w:pPr>
        <w:pStyle w:val="NormalHanging12a"/>
      </w:pPr>
      <w:r w:rsidRPr="00826CCB">
        <w:t>A.</w:t>
      </w:r>
      <w:r w:rsidRPr="00826CCB">
        <w:tab/>
        <w:t>in der Erwägung, dass die Amtszeit des derzeitigen Exekutivdirektors der Europäischen Aufsichtsbehörde für das Versicherungswesen und die betriebliche Altersversorgung am 31. März 2026 endet;</w:t>
      </w:r>
    </w:p>
    <w:p w14:paraId="7DE2CFD3" w14:textId="77777777" w:rsidR="00F23507" w:rsidRPr="00826CCB" w:rsidRDefault="00F23507" w:rsidP="00F23507">
      <w:pPr>
        <w:pStyle w:val="NormalHanging12a"/>
      </w:pPr>
      <w:r w:rsidRPr="00826CCB">
        <w:t>B.</w:t>
      </w:r>
      <w:r w:rsidRPr="00826CCB">
        <w:tab/>
        <w:t>in der Erwägung, dass der Rat der Aufseher der Europäischen Aufsichtsbehörde für das Versicherungswesen und die betriebliche Altersversorgung am 23. Oktober 2025 im Anschluss an ein offenes Auswahlverfahren vorgeschlagen hat, Damian Jaworski gemäß Artikel 51 Absätze 2 und 3 der Verordnung (EU) Nr. 1094/2010 für eine Amtszeit von fünf Jahren zum Exekutivdirektor zu ernennen;</w:t>
      </w:r>
    </w:p>
    <w:p w14:paraId="014BC831" w14:textId="77777777" w:rsidR="00F23507" w:rsidRPr="00826CCB" w:rsidRDefault="00F23507" w:rsidP="00F23507">
      <w:pPr>
        <w:pStyle w:val="NormalHanging12a"/>
      </w:pPr>
      <w:r w:rsidRPr="00826CCB">
        <w:t>C.</w:t>
      </w:r>
      <w:r w:rsidRPr="00826CCB">
        <w:tab/>
        <w:t>in der Erwägung, dass der Ausschuss für Wirtschaft und Währung am 6. November 2025 eine Anhörung von Damian Jaworski durchgeführt hat, bei der er zunächst eine Erklärung abgab und anschließend die Fragen der Ausschussmitglieder beantwortete;</w:t>
      </w:r>
    </w:p>
    <w:p w14:paraId="534BC110" w14:textId="77777777" w:rsidR="00F23507" w:rsidRPr="00826CCB" w:rsidRDefault="00F23507" w:rsidP="00F23507">
      <w:pPr>
        <w:pStyle w:val="NormalHanging12a"/>
      </w:pPr>
      <w:r w:rsidRPr="00826CCB">
        <w:t>1.</w:t>
      </w:r>
      <w:r w:rsidRPr="00826CCB">
        <w:tab/>
        <w:t>gibt seine Zustimmung zur Ernennung von Damian Jaworski als Exekutivdirektor der Europäischen Aufsichtsbehörde für das Versicherungswesen und die betriebliche Altersversorgung;</w:t>
      </w:r>
    </w:p>
    <w:p w14:paraId="1C3A64AC" w14:textId="5BBF8499" w:rsidR="00826CCB" w:rsidRPr="00826CCB" w:rsidRDefault="00F23507" w:rsidP="00826CCB">
      <w:pPr>
        <w:pStyle w:val="NormalHanging12a"/>
      </w:pPr>
      <w:r w:rsidRPr="00826CCB">
        <w:t>2.</w:t>
      </w:r>
      <w:r w:rsidRPr="00826CCB">
        <w:tab/>
        <w:t>beauftragt seine Präsidentin, diesen Beschluss dem Rat, der Kommission, der Europäischen Aufsichtsbehörde für das Versicherungswesen und die betriebliche Altersversorgung und den Regierungen der Mitgliedstaaten zu übermitteln.</w:t>
      </w:r>
    </w:p>
    <w:sectPr w:rsidR="00826CCB" w:rsidRPr="00826CCB" w:rsidSect="00826C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0FDE" w14:textId="77777777" w:rsidR="00114831" w:rsidRPr="00826CCB" w:rsidRDefault="00114831">
      <w:r w:rsidRPr="00826CCB">
        <w:separator/>
      </w:r>
    </w:p>
  </w:endnote>
  <w:endnote w:type="continuationSeparator" w:id="0">
    <w:p w14:paraId="76AFC915" w14:textId="77777777" w:rsidR="00114831" w:rsidRPr="00826CCB" w:rsidRDefault="00114831">
      <w:r w:rsidRPr="00826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2BF3" w14:textId="77777777" w:rsidR="00064002" w:rsidRPr="00826C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AFB8" w14:textId="77777777" w:rsidR="00064002" w:rsidRPr="00826C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C51B" w14:textId="77777777" w:rsidR="00064002" w:rsidRPr="00826C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C86AD" w14:textId="77777777" w:rsidR="00114831" w:rsidRPr="00826CCB" w:rsidRDefault="00114831">
      <w:r w:rsidRPr="00826CCB">
        <w:separator/>
      </w:r>
    </w:p>
  </w:footnote>
  <w:footnote w:type="continuationSeparator" w:id="0">
    <w:p w14:paraId="2EB39F11" w14:textId="77777777" w:rsidR="00114831" w:rsidRPr="00826CCB" w:rsidRDefault="00114831">
      <w:r w:rsidRPr="00826CCB">
        <w:continuationSeparator/>
      </w:r>
    </w:p>
  </w:footnote>
  <w:footnote w:id="1">
    <w:p w14:paraId="765351D4" w14:textId="5D6B6213" w:rsidR="00F23507" w:rsidRPr="00826CCB" w:rsidRDefault="00F23507" w:rsidP="00826CCB">
      <w:pPr>
        <w:pStyle w:val="FootnoteText"/>
        <w:ind w:left="567" w:hanging="567"/>
        <w:rPr>
          <w:sz w:val="24"/>
          <w:lang w:val="de-DE"/>
        </w:rPr>
      </w:pPr>
      <w:r w:rsidRPr="00826CCB">
        <w:rPr>
          <w:rStyle w:val="FootnoteReference"/>
          <w:sz w:val="24"/>
          <w:lang w:val="de-DE"/>
        </w:rPr>
        <w:footnoteRef/>
      </w:r>
      <w:r w:rsidR="00826CCB" w:rsidRPr="00826CCB">
        <w:rPr>
          <w:sz w:val="24"/>
          <w:lang w:val="de-DE"/>
        </w:rPr>
        <w:t xml:space="preserve"> </w:t>
      </w:r>
      <w:r w:rsidR="00826CCB" w:rsidRPr="00826CCB">
        <w:rPr>
          <w:sz w:val="24"/>
          <w:lang w:val="de-DE"/>
        </w:rPr>
        <w:tab/>
      </w:r>
      <w:proofErr w:type="spellStart"/>
      <w:r w:rsidRPr="00826CCB">
        <w:rPr>
          <w:sz w:val="24"/>
          <w:lang w:val="de-DE"/>
        </w:rPr>
        <w:t>ABl.</w:t>
      </w:r>
      <w:proofErr w:type="spellEnd"/>
      <w:r w:rsidRPr="00826CCB">
        <w:rPr>
          <w:sz w:val="24"/>
          <w:lang w:val="de-DE"/>
        </w:rPr>
        <w:t xml:space="preserve"> L 331 vom 15.12.2010, S. 48, ELI: </w:t>
      </w:r>
      <w:hyperlink r:id="rId1" w:history="1">
        <w:r w:rsidRPr="00826CCB">
          <w:rPr>
            <w:rStyle w:val="Hyperlink"/>
            <w:sz w:val="24"/>
            <w:lang w:val="de-DE"/>
          </w:rPr>
          <w:t>http://data.europa.eu/eli/reg/2010/1094/oj</w:t>
        </w:r>
      </w:hyperlink>
      <w:r w:rsidRPr="00826CCB">
        <w:rPr>
          <w:sz w:val="24"/>
          <w:lang w:val="de-DE"/>
        </w:rPr>
        <w:t>.</w:t>
      </w:r>
    </w:p>
  </w:footnote>
  <w:footnote w:id="2">
    <w:p w14:paraId="7577178A" w14:textId="02B6896A" w:rsidR="00F23507" w:rsidRPr="00826CCB" w:rsidRDefault="00F23507" w:rsidP="00826CCB">
      <w:pPr>
        <w:pStyle w:val="FootnoteText"/>
        <w:ind w:left="567" w:hanging="567"/>
        <w:rPr>
          <w:sz w:val="24"/>
          <w:lang w:val="de-DE"/>
        </w:rPr>
      </w:pPr>
      <w:r w:rsidRPr="00826CCB">
        <w:rPr>
          <w:rStyle w:val="FootnoteReference"/>
          <w:sz w:val="24"/>
          <w:lang w:val="de-DE"/>
        </w:rPr>
        <w:footnoteRef/>
      </w:r>
      <w:r w:rsidR="00826CCB" w:rsidRPr="00826CCB">
        <w:rPr>
          <w:sz w:val="24"/>
          <w:lang w:val="de-DE"/>
        </w:rPr>
        <w:t xml:space="preserve"> </w:t>
      </w:r>
      <w:r w:rsidR="00826CCB" w:rsidRPr="00826CCB">
        <w:rPr>
          <w:sz w:val="24"/>
          <w:lang w:val="de-DE"/>
        </w:rPr>
        <w:tab/>
      </w:r>
      <w:proofErr w:type="spellStart"/>
      <w:r w:rsidRPr="00826CCB">
        <w:rPr>
          <w:sz w:val="24"/>
          <w:lang w:val="de-DE"/>
        </w:rPr>
        <w:t>ABl.</w:t>
      </w:r>
      <w:proofErr w:type="spellEnd"/>
      <w:r w:rsidRPr="00826CCB">
        <w:rPr>
          <w:sz w:val="24"/>
          <w:lang w:val="de-DE"/>
        </w:rPr>
        <w:t xml:space="preserve"> C 23 vom 21.1.2021, S. 105.</w:t>
      </w:r>
    </w:p>
  </w:footnote>
  <w:footnote w:id="3">
    <w:p w14:paraId="74CF0E21" w14:textId="4F9376ED" w:rsidR="00F23507" w:rsidRPr="00826CCB" w:rsidRDefault="00F23507" w:rsidP="00826CCB">
      <w:pPr>
        <w:pStyle w:val="FootnoteText"/>
        <w:ind w:left="567" w:hanging="567"/>
        <w:rPr>
          <w:sz w:val="24"/>
          <w:lang w:val="de-DE"/>
        </w:rPr>
      </w:pPr>
      <w:r w:rsidRPr="00826CCB">
        <w:rPr>
          <w:rStyle w:val="FootnoteReference"/>
          <w:sz w:val="24"/>
          <w:lang w:val="de-DE"/>
        </w:rPr>
        <w:footnoteRef/>
      </w:r>
      <w:r w:rsidR="00826CCB" w:rsidRPr="00826CCB">
        <w:rPr>
          <w:sz w:val="24"/>
          <w:lang w:val="de-DE"/>
        </w:rPr>
        <w:t xml:space="preserve"> </w:t>
      </w:r>
      <w:r w:rsidR="00826CCB" w:rsidRPr="00826CCB">
        <w:rPr>
          <w:sz w:val="24"/>
          <w:lang w:val="de-DE"/>
        </w:rPr>
        <w:tab/>
      </w:r>
      <w:r w:rsidRPr="00826CCB">
        <w:rPr>
          <w:sz w:val="24"/>
          <w:lang w:val="de-DE"/>
        </w:rPr>
        <w:t>Angenommene Texte, P9_</w:t>
      </w:r>
      <w:proofErr w:type="gramStart"/>
      <w:r w:rsidRPr="00826CCB">
        <w:rPr>
          <w:sz w:val="24"/>
          <w:lang w:val="de-DE"/>
        </w:rPr>
        <w:t>TA(</w:t>
      </w:r>
      <w:proofErr w:type="gramEnd"/>
      <w:r w:rsidRPr="00826CCB">
        <w:rPr>
          <w:sz w:val="24"/>
          <w:lang w:val="de-DE"/>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6399" w14:textId="77777777" w:rsidR="00064002" w:rsidRPr="00826C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8A79" w14:textId="77777777" w:rsidR="00064002" w:rsidRPr="00826C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0756A" w14:textId="77777777" w:rsidR="00064002" w:rsidRPr="00826C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26294">
    <w:abstractNumId w:val="9"/>
  </w:num>
  <w:num w:numId="2" w16cid:durableId="1665622873">
    <w:abstractNumId w:val="9"/>
  </w:num>
  <w:num w:numId="3" w16cid:durableId="1235121083">
    <w:abstractNumId w:val="7"/>
  </w:num>
  <w:num w:numId="4" w16cid:durableId="112790979">
    <w:abstractNumId w:val="7"/>
  </w:num>
  <w:num w:numId="5" w16cid:durableId="1727336433">
    <w:abstractNumId w:val="6"/>
  </w:num>
  <w:num w:numId="6" w16cid:durableId="1492604805">
    <w:abstractNumId w:val="6"/>
  </w:num>
  <w:num w:numId="7" w16cid:durableId="2045210902">
    <w:abstractNumId w:val="5"/>
  </w:num>
  <w:num w:numId="8" w16cid:durableId="1957132547">
    <w:abstractNumId w:val="5"/>
  </w:num>
  <w:num w:numId="9" w16cid:durableId="491411910">
    <w:abstractNumId w:val="4"/>
  </w:num>
  <w:num w:numId="10" w16cid:durableId="767581652">
    <w:abstractNumId w:val="4"/>
  </w:num>
  <w:num w:numId="11" w16cid:durableId="1696494753">
    <w:abstractNumId w:val="8"/>
  </w:num>
  <w:num w:numId="12" w16cid:durableId="457996277">
    <w:abstractNumId w:val="8"/>
  </w:num>
  <w:num w:numId="13" w16cid:durableId="386684757">
    <w:abstractNumId w:val="3"/>
  </w:num>
  <w:num w:numId="14" w16cid:durableId="2048866429">
    <w:abstractNumId w:val="3"/>
  </w:num>
  <w:num w:numId="15" w16cid:durableId="229193544">
    <w:abstractNumId w:val="2"/>
  </w:num>
  <w:num w:numId="16" w16cid:durableId="1237863974">
    <w:abstractNumId w:val="2"/>
  </w:num>
  <w:num w:numId="17" w16cid:durableId="1734962185">
    <w:abstractNumId w:val="1"/>
  </w:num>
  <w:num w:numId="18" w16cid:durableId="414784478">
    <w:abstractNumId w:val="1"/>
  </w:num>
  <w:num w:numId="19" w16cid:durableId="533809249">
    <w:abstractNumId w:val="0"/>
  </w:num>
  <w:num w:numId="20" w16cid:durableId="2028020810">
    <w:abstractNumId w:val="0"/>
  </w:num>
  <w:num w:numId="21" w16cid:durableId="977495739">
    <w:abstractNumId w:val="9"/>
  </w:num>
  <w:num w:numId="22" w16cid:durableId="853033608">
    <w:abstractNumId w:val="7"/>
  </w:num>
  <w:num w:numId="23" w16cid:durableId="50229804">
    <w:abstractNumId w:val="6"/>
  </w:num>
  <w:num w:numId="24" w16cid:durableId="1568959622">
    <w:abstractNumId w:val="5"/>
  </w:num>
  <w:num w:numId="25" w16cid:durableId="1090925589">
    <w:abstractNumId w:val="4"/>
  </w:num>
  <w:num w:numId="26" w16cid:durableId="1177309522">
    <w:abstractNumId w:val="8"/>
  </w:num>
  <w:num w:numId="27" w16cid:durableId="1606305888">
    <w:abstractNumId w:val="3"/>
  </w:num>
  <w:num w:numId="28" w16cid:durableId="1823540734">
    <w:abstractNumId w:val="2"/>
  </w:num>
  <w:num w:numId="29" w16cid:durableId="1678658003">
    <w:abstractNumId w:val="1"/>
  </w:num>
  <w:num w:numId="30" w16cid:durableId="536354612">
    <w:abstractNumId w:val="0"/>
  </w:num>
  <w:num w:numId="31" w16cid:durableId="1939558375">
    <w:abstractNumId w:val="9"/>
  </w:num>
  <w:num w:numId="32" w16cid:durableId="277836752">
    <w:abstractNumId w:val="7"/>
  </w:num>
  <w:num w:numId="33" w16cid:durableId="867832278">
    <w:abstractNumId w:val="6"/>
  </w:num>
  <w:num w:numId="34" w16cid:durableId="1330449053">
    <w:abstractNumId w:val="5"/>
  </w:num>
  <w:num w:numId="35" w16cid:durableId="1100445263">
    <w:abstractNumId w:val="4"/>
  </w:num>
  <w:num w:numId="36" w16cid:durableId="1074856706">
    <w:abstractNumId w:val="8"/>
  </w:num>
  <w:num w:numId="37" w16cid:durableId="1712027633">
    <w:abstractNumId w:val="3"/>
  </w:num>
  <w:num w:numId="38" w16cid:durableId="1235310512">
    <w:abstractNumId w:val="2"/>
  </w:num>
  <w:num w:numId="39" w16cid:durableId="1160656887">
    <w:abstractNumId w:val="1"/>
  </w:num>
  <w:num w:numId="40" w16cid:durableId="405882766">
    <w:abstractNumId w:val="0"/>
  </w:num>
  <w:num w:numId="41" w16cid:durableId="665329368">
    <w:abstractNumId w:val="10"/>
  </w:num>
  <w:num w:numId="42" w16cid:durableId="1759400098">
    <w:abstractNumId w:val="10"/>
  </w:num>
  <w:num w:numId="43" w16cid:durableId="1486774182">
    <w:abstractNumId w:val="10"/>
  </w:num>
  <w:num w:numId="44" w16cid:durableId="153881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7/2025"/>
    <w:docVar w:name="dvlangue" w:val="DE"/>
    <w:docVar w:name="dvnumam" w:val="0"/>
    <w:docVar w:name="dvpe" w:val="779.515"/>
    <w:docVar w:name="dvrapporteur" w:val="Berichterstatterin: "/>
    <w:docVar w:name="dvtitre" w:val="Beschluss des Europäischen Parlaments vom XX. XXX 2025 über den Vorschlag zur Ernennung des Exekutivdirektors der Europäischen Aufsichtsbehörde für das Versicherungswesen und die betriebliche Altersversorgung(N10-0060/2025 – C10-0268/2025 – 2025/0904(NLE))"/>
  </w:docVars>
  <w:rsids>
    <w:rsidRoot w:val="00114831"/>
    <w:rsid w:val="00002272"/>
    <w:rsid w:val="00040E7E"/>
    <w:rsid w:val="00064002"/>
    <w:rsid w:val="000677B9"/>
    <w:rsid w:val="000831BA"/>
    <w:rsid w:val="000A42CC"/>
    <w:rsid w:val="000E7DD9"/>
    <w:rsid w:val="0010095E"/>
    <w:rsid w:val="00114831"/>
    <w:rsid w:val="001173FB"/>
    <w:rsid w:val="00125B37"/>
    <w:rsid w:val="00187494"/>
    <w:rsid w:val="001B3756"/>
    <w:rsid w:val="001F32AE"/>
    <w:rsid w:val="002767FF"/>
    <w:rsid w:val="002B18FE"/>
    <w:rsid w:val="002B5493"/>
    <w:rsid w:val="00343214"/>
    <w:rsid w:val="00361C00"/>
    <w:rsid w:val="00395FA1"/>
    <w:rsid w:val="003E15D4"/>
    <w:rsid w:val="00411CCE"/>
    <w:rsid w:val="0041666E"/>
    <w:rsid w:val="00421060"/>
    <w:rsid w:val="0045693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CC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EEA"/>
    <w:rsid w:val="00AE0928"/>
    <w:rsid w:val="00AF3B82"/>
    <w:rsid w:val="00B12E95"/>
    <w:rsid w:val="00B22876"/>
    <w:rsid w:val="00B558F0"/>
    <w:rsid w:val="00BD48FE"/>
    <w:rsid w:val="00BD7BD8"/>
    <w:rsid w:val="00BE6ADC"/>
    <w:rsid w:val="00C05BFE"/>
    <w:rsid w:val="00C15C29"/>
    <w:rsid w:val="00C23CD4"/>
    <w:rsid w:val="00C61C0C"/>
    <w:rsid w:val="00C941CB"/>
    <w:rsid w:val="00CC2357"/>
    <w:rsid w:val="00CF071A"/>
    <w:rsid w:val="00D058B8"/>
    <w:rsid w:val="00D56C11"/>
    <w:rsid w:val="00D834A0"/>
    <w:rsid w:val="00D872DF"/>
    <w:rsid w:val="00D91E21"/>
    <w:rsid w:val="00DA7FCD"/>
    <w:rsid w:val="00DC23C1"/>
    <w:rsid w:val="00E365E1"/>
    <w:rsid w:val="00E820A4"/>
    <w:rsid w:val="00EB006A"/>
    <w:rsid w:val="00EB4772"/>
    <w:rsid w:val="00ED169E"/>
    <w:rsid w:val="00ED4235"/>
    <w:rsid w:val="00F04346"/>
    <w:rsid w:val="00F075DC"/>
    <w:rsid w:val="00F149E9"/>
    <w:rsid w:val="00F2350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EE6AA"/>
  <w15:chartTrackingRefBased/>
  <w15:docId w15:val="{E9D935D1-6DA1-45EE-AF46-7A5CDF14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3507"/>
    <w:pPr>
      <w:spacing w:before="480" w:after="240"/>
    </w:pPr>
  </w:style>
  <w:style w:type="paragraph" w:customStyle="1" w:styleId="NormalBold">
    <w:name w:val="NormalBold"/>
    <w:basedOn w:val="Normal"/>
    <w:rsid w:val="00F23507"/>
    <w:rPr>
      <w:b/>
    </w:rPr>
  </w:style>
  <w:style w:type="paragraph" w:customStyle="1" w:styleId="NormalHanging12a">
    <w:name w:val="NormalHanging12a"/>
    <w:basedOn w:val="Normal"/>
    <w:rsid w:val="00F23507"/>
    <w:pPr>
      <w:spacing w:after="240"/>
      <w:ind w:left="567" w:hanging="567"/>
    </w:pPr>
  </w:style>
  <w:style w:type="character" w:styleId="Hyperlink">
    <w:name w:val="Hyperlink"/>
    <w:uiPriority w:val="99"/>
    <w:rsid w:val="00F23507"/>
    <w:rPr>
      <w:color w:val="0000FF"/>
      <w:u w:val="single"/>
    </w:rPr>
  </w:style>
  <w:style w:type="paragraph" w:customStyle="1" w:styleId="Normal12Hanging">
    <w:name w:val="Normal12Hanging"/>
    <w:basedOn w:val="Normal"/>
    <w:rsid w:val="00F23507"/>
    <w:pPr>
      <w:spacing w:after="240"/>
      <w:ind w:left="567" w:hanging="567"/>
    </w:pPr>
  </w:style>
  <w:style w:type="paragraph" w:styleId="Revision">
    <w:name w:val="Revision"/>
    <w:hidden/>
    <w:uiPriority w:val="99"/>
    <w:semiHidden/>
    <w:rsid w:val="00040E7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2025-12-17T15:06:00Z</dcterms:created>
  <dcterms:modified xsi:type="dcterms:W3CDTF">2025-12-17T15:06:00Z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A10-0247/2025</vt:lpwstr>
  </property>
  <property fmtid="{D5CDD505-2E9C-101B-9397-08002B2CF9AE}" pid="4" name="&lt;Type&gt;">
    <vt:lpwstr>RR</vt:lpwstr>
  </property>
</Properties>
</file>