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2902" w14:paraId="6B7AFA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FFDDD2" w14:textId="77777777" w:rsidR="00751A4A" w:rsidRPr="00782902" w:rsidRDefault="008E0D9C" w:rsidP="0010095E">
            <w:pPr>
              <w:pStyle w:val="EPName"/>
            </w:pPr>
            <w:r w:rsidRPr="00782902">
              <w:t>Parlamento Europeo</w:t>
            </w:r>
          </w:p>
          <w:p w14:paraId="78ED907C" w14:textId="77777777" w:rsidR="00751A4A" w:rsidRPr="007829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2902">
              <w:t>2024</w:t>
            </w:r>
            <w:r w:rsidR="00817416" w:rsidRPr="00782902">
              <w:t>-202</w:t>
            </w:r>
            <w:r w:rsidRPr="00782902">
              <w:t>9</w:t>
            </w:r>
          </w:p>
        </w:tc>
        <w:tc>
          <w:tcPr>
            <w:tcW w:w="2268" w:type="dxa"/>
            <w:shd w:val="clear" w:color="auto" w:fill="auto"/>
          </w:tcPr>
          <w:p w14:paraId="4CCCE506" w14:textId="77777777" w:rsidR="00751A4A" w:rsidRPr="00782902" w:rsidRDefault="00187494" w:rsidP="0010095E">
            <w:pPr>
              <w:pStyle w:val="EPLogo"/>
            </w:pPr>
            <w:r w:rsidRPr="00782902">
              <w:rPr>
                <w:noProof/>
                <w:lang w:eastAsia="ja-JP"/>
              </w:rPr>
              <w:drawing>
                <wp:inline distT="0" distB="0" distL="0" distR="0" wp14:anchorId="52ABBAE5" wp14:editId="212DBD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E18E73" w14:textId="77777777" w:rsidR="00D058B8" w:rsidRPr="00782902" w:rsidRDefault="00D058B8" w:rsidP="004C5D52">
      <w:pPr>
        <w:pStyle w:val="LineTop"/>
      </w:pPr>
    </w:p>
    <w:p w14:paraId="5322C564" w14:textId="77777777" w:rsidR="00680577" w:rsidRPr="00782902" w:rsidRDefault="008E0D9C" w:rsidP="00680577">
      <w:pPr>
        <w:pStyle w:val="EPBodyTA1"/>
      </w:pPr>
      <w:r w:rsidRPr="00782902">
        <w:t>TEXTOS APROBADOS</w:t>
      </w:r>
    </w:p>
    <w:p w14:paraId="77FB7194" w14:textId="77777777" w:rsidR="00D058B8" w:rsidRPr="00782902" w:rsidRDefault="00D058B8" w:rsidP="00D058B8">
      <w:pPr>
        <w:pStyle w:val="LineBottom"/>
      </w:pPr>
    </w:p>
    <w:p w14:paraId="04413C52" w14:textId="2837009E" w:rsidR="008E0D9C" w:rsidRPr="00ED3B79" w:rsidRDefault="008E0D9C" w:rsidP="008E0D9C">
      <w:pPr>
        <w:pStyle w:val="ATHeading1"/>
      </w:pPr>
      <w:bookmarkStart w:id="0" w:name="TANumber"/>
      <w:r w:rsidRPr="00ED3B79">
        <w:t>P10_</w:t>
      </w:r>
      <w:proofErr w:type="gramStart"/>
      <w:r w:rsidRPr="00ED3B79">
        <w:t>TA(</w:t>
      </w:r>
      <w:proofErr w:type="gramEnd"/>
      <w:r w:rsidRPr="00ED3B79">
        <w:t>2025)</w:t>
      </w:r>
      <w:bookmarkEnd w:id="0"/>
      <w:r w:rsidR="00782902" w:rsidRPr="00ED3B79">
        <w:t>0334</w:t>
      </w:r>
    </w:p>
    <w:p w14:paraId="55B3CB83" w14:textId="77777777" w:rsidR="008E0D9C" w:rsidRPr="00ED3B79" w:rsidRDefault="008E0D9C" w:rsidP="008E0D9C">
      <w:pPr>
        <w:pStyle w:val="ATHeading2"/>
      </w:pPr>
      <w:bookmarkStart w:id="1" w:name="title"/>
      <w:r w:rsidRPr="00ED3B79">
        <w:t>Nombramiento del director ejecutivo de la Autoridad Europea de Seguros y Pensiones de Jubilación (AESPJ)</w:t>
      </w:r>
      <w:bookmarkEnd w:id="1"/>
    </w:p>
    <w:p w14:paraId="6D93437E" w14:textId="77777777" w:rsidR="008E0D9C" w:rsidRPr="00782902" w:rsidRDefault="008E0D9C" w:rsidP="008E0D9C">
      <w:pPr>
        <w:rPr>
          <w:i/>
          <w:vanish/>
        </w:rPr>
      </w:pPr>
      <w:r w:rsidRPr="00782902">
        <w:rPr>
          <w:i/>
        </w:rPr>
        <w:fldChar w:fldCharType="begin"/>
      </w:r>
      <w:r w:rsidRPr="00782902">
        <w:rPr>
          <w:i/>
        </w:rPr>
        <w:instrText xml:space="preserve"> TC"(</w:instrText>
      </w:r>
      <w:bookmarkStart w:id="2" w:name="DocNumber"/>
      <w:r w:rsidRPr="00782902">
        <w:rPr>
          <w:i/>
        </w:rPr>
        <w:instrText>A10-0247/2025</w:instrText>
      </w:r>
      <w:bookmarkEnd w:id="2"/>
      <w:r w:rsidRPr="00782902">
        <w:rPr>
          <w:i/>
        </w:rPr>
        <w:instrText xml:space="preserve"> - Ponente: Aurore Lalucq)"\l3 \n&gt; \* MERGEFORMAT </w:instrText>
      </w:r>
      <w:r w:rsidRPr="00782902">
        <w:rPr>
          <w:i/>
        </w:rPr>
        <w:fldChar w:fldCharType="end"/>
      </w:r>
    </w:p>
    <w:p w14:paraId="45912FFC" w14:textId="77777777" w:rsidR="008E0D9C" w:rsidRPr="00782902" w:rsidRDefault="008E0D9C" w:rsidP="008E0D9C">
      <w:pPr>
        <w:rPr>
          <w:vanish/>
        </w:rPr>
      </w:pPr>
      <w:bookmarkStart w:id="3" w:name="Commission"/>
      <w:r w:rsidRPr="00782902">
        <w:rPr>
          <w:vanish/>
        </w:rPr>
        <w:t>Comisión de Asuntos Económicos y Monetarios</w:t>
      </w:r>
      <w:bookmarkEnd w:id="3"/>
    </w:p>
    <w:p w14:paraId="6DEAB015" w14:textId="77777777" w:rsidR="008E0D9C" w:rsidRPr="00782902" w:rsidRDefault="008E0D9C" w:rsidP="008E0D9C">
      <w:pPr>
        <w:rPr>
          <w:vanish/>
        </w:rPr>
      </w:pPr>
      <w:bookmarkStart w:id="4" w:name="PE"/>
      <w:r w:rsidRPr="00782902">
        <w:rPr>
          <w:vanish/>
        </w:rPr>
        <w:t>PE779.515</w:t>
      </w:r>
      <w:bookmarkEnd w:id="4"/>
    </w:p>
    <w:p w14:paraId="5F721827" w14:textId="77777777" w:rsidR="008E0D9C" w:rsidRPr="00ED3B79" w:rsidRDefault="008E0D9C" w:rsidP="008E0D9C">
      <w:pPr>
        <w:pStyle w:val="ATHeading3"/>
      </w:pPr>
      <w:bookmarkStart w:id="5" w:name="Sujet"/>
      <w:r w:rsidRPr="00ED3B79">
        <w:t>Decisión del Parlamento Europeo, de 17 de diciembre de 2025, sobre la propuesta de nombramiento del director ejecutivo de la Autoridad Europea de Seguros y Pensiones de Jubilación</w:t>
      </w:r>
      <w:bookmarkEnd w:id="5"/>
      <w:r w:rsidRPr="00ED3B79">
        <w:t xml:space="preserve"> </w:t>
      </w:r>
      <w:bookmarkStart w:id="6" w:name="References"/>
      <w:r w:rsidRPr="00ED3B79">
        <w:t>(N10-0060/2025 – C10-0268/2025 – 2025/0904(NLE))</w:t>
      </w:r>
      <w:bookmarkEnd w:id="6"/>
    </w:p>
    <w:p w14:paraId="2883F0FA" w14:textId="5041385F" w:rsidR="00A830C3" w:rsidRPr="00782902" w:rsidRDefault="00A830C3" w:rsidP="00ED3B79">
      <w:pPr>
        <w:rPr>
          <w:bCs/>
        </w:rPr>
      </w:pPr>
      <w:r w:rsidRPr="00ED3B79">
        <w:rPr>
          <w:b/>
          <w:bCs/>
          <w:lang w:eastAsia="fr-FR"/>
        </w:rPr>
        <w:t>(Aprobación)</w:t>
      </w:r>
    </w:p>
    <w:p w14:paraId="32F74DF0" w14:textId="77777777" w:rsidR="00570A9F" w:rsidRPr="00782902" w:rsidRDefault="00570A9F" w:rsidP="00570A9F">
      <w:pPr>
        <w:pStyle w:val="EPComma"/>
      </w:pPr>
      <w:r w:rsidRPr="00782902">
        <w:rPr>
          <w:i/>
        </w:rPr>
        <w:t>El Parlamento Europeo</w:t>
      </w:r>
      <w:r w:rsidRPr="00782902">
        <w:t>,</w:t>
      </w:r>
    </w:p>
    <w:p w14:paraId="5475CCA6" w14:textId="77777777" w:rsidR="00570A9F" w:rsidRPr="00782902" w:rsidRDefault="00570A9F" w:rsidP="00894CA3">
      <w:pPr>
        <w:pStyle w:val="NormalHanging12a"/>
      </w:pPr>
      <w:r w:rsidRPr="00782902">
        <w:t>–</w:t>
      </w:r>
      <w:r w:rsidRPr="00782902">
        <w:tab/>
        <w:t>Vista la propuesta de la Junta de Supervisores de la Autoridad Europea de Seguros y Pensiones de Jubilación de 23 de octubre de 2025 (C10</w:t>
      </w:r>
      <w:r w:rsidRPr="00782902">
        <w:noBreakHyphen/>
        <w:t>0268/2025),</w:t>
      </w:r>
    </w:p>
    <w:p w14:paraId="4638DBB0" w14:textId="77777777" w:rsidR="00570A9F" w:rsidRPr="00782902" w:rsidRDefault="00570A9F" w:rsidP="00894CA3">
      <w:pPr>
        <w:pStyle w:val="NormalHanging12a"/>
      </w:pPr>
      <w:r w:rsidRPr="00782902">
        <w:t>–</w:t>
      </w:r>
      <w:r w:rsidRPr="00782902">
        <w:tab/>
        <w:t>Visto el artículo 51, apartados 2 y 3, del Reglamento (UE) n.º 1094/2010 del Parlamento Europeo y del Consejo, de 24 de noviembre de 2010, por el que se crea una Autoridad Europea de Supervisión (Autoridad Europea de Seguros y Pensiones de Jubilación), se modifica la Decisión n.º 716/2009/CE y se deroga la Decisión 2009/79/CE de la Comisión</w:t>
      </w:r>
      <w:r w:rsidRPr="00782902">
        <w:rPr>
          <w:rStyle w:val="FootnoteReference"/>
        </w:rPr>
        <w:footnoteReference w:id="1"/>
      </w:r>
      <w:r w:rsidRPr="00782902">
        <w:t>,</w:t>
      </w:r>
    </w:p>
    <w:p w14:paraId="0E50D18C" w14:textId="77777777" w:rsidR="00570A9F" w:rsidRPr="00782902" w:rsidRDefault="00570A9F" w:rsidP="00894CA3">
      <w:pPr>
        <w:pStyle w:val="Normal12Hanging"/>
      </w:pPr>
      <w:r w:rsidRPr="00782902">
        <w:t>–</w:t>
      </w:r>
      <w:r w:rsidRPr="00782902">
        <w:tab/>
        <w:t>Vista su Resolución, de 14 de marzo de 2019, sobre el equilibrio de género en las candidaturas propuestas en el ámbito de los asuntos económicos y monetarios de la Unión</w:t>
      </w:r>
      <w:r w:rsidRPr="00782902">
        <w:rPr>
          <w:rStyle w:val="FootnoteReference"/>
        </w:rPr>
        <w:footnoteReference w:id="2"/>
      </w:r>
      <w:r w:rsidRPr="00782902">
        <w:t>,</w:t>
      </w:r>
    </w:p>
    <w:p w14:paraId="4D839CD5" w14:textId="77777777" w:rsidR="00570A9F" w:rsidRPr="00782902" w:rsidRDefault="00570A9F" w:rsidP="00894CA3">
      <w:pPr>
        <w:pStyle w:val="Normal12Hanging"/>
      </w:pPr>
      <w:r w:rsidRPr="00782902">
        <w:t>–</w:t>
      </w:r>
      <w:r w:rsidRPr="00782902">
        <w:tab/>
        <w:t>Vista su Resolución, de 16 de enero de 2020, sobre instituciones y órganos de la unión económica y monetaria: prevención de los conflictos de intereses posteriores al ejercicio de cargos públicos</w:t>
      </w:r>
      <w:r w:rsidRPr="00782902">
        <w:rPr>
          <w:rStyle w:val="FootnoteReference"/>
        </w:rPr>
        <w:footnoteReference w:id="3"/>
      </w:r>
      <w:r w:rsidRPr="00782902">
        <w:t>,</w:t>
      </w:r>
    </w:p>
    <w:p w14:paraId="4D248154" w14:textId="77777777" w:rsidR="00570A9F" w:rsidRPr="00782902" w:rsidRDefault="00570A9F" w:rsidP="00894CA3">
      <w:pPr>
        <w:pStyle w:val="NormalHanging12a"/>
      </w:pPr>
      <w:r w:rsidRPr="00782902">
        <w:t>–</w:t>
      </w:r>
      <w:r w:rsidRPr="00782902">
        <w:tab/>
        <w:t>Visto el artículo 135 de su Reglamento interno,</w:t>
      </w:r>
    </w:p>
    <w:p w14:paraId="0C824737" w14:textId="77777777" w:rsidR="00570A9F" w:rsidRPr="00782902" w:rsidRDefault="00570A9F" w:rsidP="00894CA3">
      <w:pPr>
        <w:pStyle w:val="NormalHanging12a"/>
      </w:pPr>
      <w:r w:rsidRPr="00782902">
        <w:t>–</w:t>
      </w:r>
      <w:r w:rsidRPr="00782902">
        <w:tab/>
        <w:t>Visto el informe de la Comisión de Asuntos Económicos y Monetarios (A10</w:t>
      </w:r>
      <w:r w:rsidRPr="00782902">
        <w:noBreakHyphen/>
        <w:t>0247/2025),</w:t>
      </w:r>
    </w:p>
    <w:p w14:paraId="7CF2B855" w14:textId="77777777" w:rsidR="00570A9F" w:rsidRPr="00782902" w:rsidRDefault="00570A9F" w:rsidP="00894CA3">
      <w:pPr>
        <w:pStyle w:val="NormalHanging12a"/>
      </w:pPr>
      <w:r w:rsidRPr="00782902">
        <w:lastRenderedPageBreak/>
        <w:t>A.</w:t>
      </w:r>
      <w:r w:rsidRPr="00782902">
        <w:tab/>
        <w:t>Considerando que el mandato del actual director ejecutivo de la Autoridad Europea de Seguros y Pensiones de Jubilación finaliza el 31 de marzo de 2026;</w:t>
      </w:r>
    </w:p>
    <w:p w14:paraId="06968D4B" w14:textId="77777777" w:rsidR="00570A9F" w:rsidRPr="00782902" w:rsidRDefault="00570A9F" w:rsidP="00894CA3">
      <w:pPr>
        <w:pStyle w:val="NormalHanging12a"/>
      </w:pPr>
      <w:r w:rsidRPr="00782902">
        <w:t>B.</w:t>
      </w:r>
      <w:r w:rsidRPr="00782902">
        <w:tab/>
        <w:t xml:space="preserve">Considerando que, el 23 de octubre de 2025, la Junta de Supervisores de la Autoridad Europea de Seguros y Pensiones de Jubilación, tras un procedimiento de selección abierto, propuso nombrar a </w:t>
      </w:r>
      <w:proofErr w:type="spellStart"/>
      <w:r w:rsidRPr="00782902">
        <w:t>Damian</w:t>
      </w:r>
      <w:proofErr w:type="spellEnd"/>
      <w:r w:rsidRPr="00782902">
        <w:t xml:space="preserve"> </w:t>
      </w:r>
      <w:proofErr w:type="spellStart"/>
      <w:r w:rsidRPr="00782902">
        <w:t>Jaworski</w:t>
      </w:r>
      <w:proofErr w:type="spellEnd"/>
      <w:r w:rsidRPr="00782902">
        <w:t xml:space="preserve"> como director ejecutivo para un mandato de cinco años, de conformidad con el artículo 51, apartados 2 y 3, del Reglamento (UE) n.º 1094/2010;</w:t>
      </w:r>
    </w:p>
    <w:p w14:paraId="58B725D3" w14:textId="77777777" w:rsidR="00570A9F" w:rsidRPr="00782902" w:rsidRDefault="00570A9F" w:rsidP="00894CA3">
      <w:pPr>
        <w:pStyle w:val="NormalHanging12a"/>
        <w:widowControl/>
      </w:pPr>
      <w:r w:rsidRPr="00782902">
        <w:t>C.</w:t>
      </w:r>
      <w:r w:rsidRPr="00782902">
        <w:tab/>
        <w:t xml:space="preserve">Considerando que el 6 de noviembre de 2025 la Comisión de Asuntos Económicos y Monetarios celebró una audiencia con </w:t>
      </w:r>
      <w:proofErr w:type="spellStart"/>
      <w:r w:rsidRPr="00782902">
        <w:t>Damian</w:t>
      </w:r>
      <w:proofErr w:type="spellEnd"/>
      <w:r w:rsidRPr="00782902">
        <w:t xml:space="preserve"> </w:t>
      </w:r>
      <w:proofErr w:type="spellStart"/>
      <w:r w:rsidRPr="00782902">
        <w:t>Jaworski</w:t>
      </w:r>
      <w:proofErr w:type="spellEnd"/>
      <w:r w:rsidRPr="00782902">
        <w:t xml:space="preserve"> en la que este realizó una declaración preliminar y a continuación respondió a las preguntas formuladas por los miembros de la comisión;</w:t>
      </w:r>
    </w:p>
    <w:p w14:paraId="0532F69C" w14:textId="77777777" w:rsidR="00570A9F" w:rsidRPr="00782902" w:rsidRDefault="00570A9F" w:rsidP="00894CA3">
      <w:pPr>
        <w:pStyle w:val="NormalHanging12a"/>
      </w:pPr>
      <w:r w:rsidRPr="00782902">
        <w:t>1.</w:t>
      </w:r>
      <w:r w:rsidRPr="00782902">
        <w:tab/>
        <w:t xml:space="preserve">Concede su aprobación al nombramiento de </w:t>
      </w:r>
      <w:proofErr w:type="spellStart"/>
      <w:r w:rsidRPr="00782902">
        <w:t>Damian</w:t>
      </w:r>
      <w:proofErr w:type="spellEnd"/>
      <w:r w:rsidRPr="00782902">
        <w:t xml:space="preserve"> </w:t>
      </w:r>
      <w:proofErr w:type="spellStart"/>
      <w:r w:rsidRPr="00782902">
        <w:t>Jaworski</w:t>
      </w:r>
      <w:proofErr w:type="spellEnd"/>
      <w:r w:rsidRPr="00782902">
        <w:t xml:space="preserve"> como director ejecutivo de la Autoridad Europea de Seguros y Pensiones de Jubilación;</w:t>
      </w:r>
    </w:p>
    <w:p w14:paraId="0F2B61D1" w14:textId="568B5123" w:rsidR="00B65AEB" w:rsidRPr="00782902" w:rsidRDefault="00570A9F" w:rsidP="00894CA3">
      <w:pPr>
        <w:pStyle w:val="NormalHanging12a"/>
      </w:pPr>
      <w:r w:rsidRPr="00782902">
        <w:t>2.</w:t>
      </w:r>
      <w:r w:rsidRPr="00782902">
        <w:tab/>
        <w:t>Encarga a su presidenta que transmita la presente Decisión al Consejo, a la Comisión, a la Autoridad Europea de Seguros y Pensiones de Jubilación y a los Gobiernos de los Estados miembros.</w:t>
      </w:r>
    </w:p>
    <w:p w14:paraId="11CF9AD5" w14:textId="79BAAD9C" w:rsidR="00E365E1" w:rsidRPr="00782902" w:rsidRDefault="00E365E1" w:rsidP="00570A9F"/>
    <w:sectPr w:rsidR="00E365E1" w:rsidRPr="00782902" w:rsidSect="00B65A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FFEDA" w14:textId="77777777" w:rsidR="008E0D9C" w:rsidRPr="00B65AEB" w:rsidRDefault="008E0D9C">
      <w:r w:rsidRPr="00B65AEB">
        <w:separator/>
      </w:r>
    </w:p>
  </w:endnote>
  <w:endnote w:type="continuationSeparator" w:id="0">
    <w:p w14:paraId="44384F72" w14:textId="77777777" w:rsidR="008E0D9C" w:rsidRPr="00B65AEB" w:rsidRDefault="008E0D9C">
      <w:r w:rsidRPr="00B65A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0234" w14:textId="77777777" w:rsidR="00064002" w:rsidRPr="00B65A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1613C" w14:textId="77777777" w:rsidR="00064002" w:rsidRPr="00B65A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532C4" w14:textId="77777777" w:rsidR="00064002" w:rsidRPr="00B65A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1C563" w14:textId="77777777" w:rsidR="008E0D9C" w:rsidRPr="00B65AEB" w:rsidRDefault="008E0D9C">
      <w:r w:rsidRPr="00B65AEB">
        <w:separator/>
      </w:r>
    </w:p>
  </w:footnote>
  <w:footnote w:type="continuationSeparator" w:id="0">
    <w:p w14:paraId="311FBDD0" w14:textId="77777777" w:rsidR="008E0D9C" w:rsidRPr="00B65AEB" w:rsidRDefault="008E0D9C">
      <w:r w:rsidRPr="00B65AEB">
        <w:continuationSeparator/>
      </w:r>
    </w:p>
  </w:footnote>
  <w:footnote w:id="1">
    <w:p w14:paraId="2189DA24" w14:textId="0B29FFE7" w:rsidR="00570A9F" w:rsidRPr="00ED3B79" w:rsidRDefault="00570A9F" w:rsidP="00ED3B79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B65AEB">
        <w:rPr>
          <w:rStyle w:val="FootnoteReference"/>
          <w:sz w:val="24"/>
          <w:lang w:val="es-ES_tradnl"/>
        </w:rPr>
        <w:footnoteRef/>
      </w:r>
      <w:r w:rsidR="00B65AEB" w:rsidRPr="00ED3B79">
        <w:rPr>
          <w:sz w:val="24"/>
          <w:lang w:val="pt-PT"/>
        </w:rPr>
        <w:t xml:space="preserve"> </w:t>
      </w:r>
      <w:r w:rsidR="00B65AEB" w:rsidRPr="00ED3B79">
        <w:rPr>
          <w:sz w:val="24"/>
          <w:lang w:val="pt-PT"/>
        </w:rPr>
        <w:tab/>
      </w:r>
      <w:r w:rsidRPr="00ED3B79">
        <w:rPr>
          <w:sz w:val="24"/>
          <w:lang w:val="pt-PT"/>
        </w:rPr>
        <w:t xml:space="preserve">DO L 331 de 15.12.2010, p. 48, ELI: </w:t>
      </w:r>
      <w:hyperlink r:id="rId1" w:history="1">
        <w:r w:rsidRPr="00ED3B79">
          <w:rPr>
            <w:rStyle w:val="Hyperlink"/>
            <w:sz w:val="24"/>
            <w:lang w:val="pt-PT"/>
          </w:rPr>
          <w:t>http://data.europa.eu/eli/reg/2010/1094/oj</w:t>
        </w:r>
      </w:hyperlink>
      <w:r w:rsidRPr="00ED3B79">
        <w:rPr>
          <w:sz w:val="24"/>
          <w:lang w:val="pt-PT"/>
        </w:rPr>
        <w:t>.</w:t>
      </w:r>
    </w:p>
  </w:footnote>
  <w:footnote w:id="2">
    <w:p w14:paraId="40826348" w14:textId="06F07F7B" w:rsidR="00570A9F" w:rsidRPr="00B65AEB" w:rsidRDefault="00570A9F" w:rsidP="00ED3B79">
      <w:pPr>
        <w:pStyle w:val="FootnoteText"/>
        <w:spacing w:line="240" w:lineRule="auto"/>
        <w:ind w:left="567" w:hanging="567"/>
        <w:rPr>
          <w:sz w:val="24"/>
          <w:lang w:val="es-ES_tradnl"/>
        </w:rPr>
      </w:pPr>
      <w:r w:rsidRPr="00B65AEB">
        <w:rPr>
          <w:rStyle w:val="FootnoteReference"/>
          <w:sz w:val="24"/>
          <w:lang w:val="es-ES_tradnl"/>
        </w:rPr>
        <w:footnoteRef/>
      </w:r>
      <w:r w:rsidR="00B65AEB" w:rsidRPr="00B65AEB">
        <w:rPr>
          <w:sz w:val="24"/>
          <w:lang w:val="es-ES_tradnl"/>
        </w:rPr>
        <w:t xml:space="preserve"> </w:t>
      </w:r>
      <w:r w:rsidR="00B65AEB" w:rsidRPr="00B65AEB">
        <w:rPr>
          <w:sz w:val="24"/>
          <w:lang w:val="es-ES_tradnl"/>
        </w:rPr>
        <w:tab/>
      </w:r>
      <w:r w:rsidRPr="00B65AEB">
        <w:rPr>
          <w:sz w:val="24"/>
          <w:lang w:val="es-ES_tradnl"/>
        </w:rPr>
        <w:t>DO C 23 de 21.1.2021, p. 105.</w:t>
      </w:r>
    </w:p>
  </w:footnote>
  <w:footnote w:id="3">
    <w:p w14:paraId="65279094" w14:textId="556CAE6B" w:rsidR="00570A9F" w:rsidRPr="00B65AEB" w:rsidRDefault="00570A9F" w:rsidP="00ED3B79">
      <w:pPr>
        <w:pStyle w:val="FootnoteText"/>
        <w:spacing w:line="240" w:lineRule="auto"/>
        <w:ind w:left="567" w:hanging="567"/>
        <w:rPr>
          <w:sz w:val="24"/>
          <w:lang w:val="es-ES_tradnl"/>
        </w:rPr>
      </w:pPr>
      <w:r w:rsidRPr="00B65AEB">
        <w:rPr>
          <w:rStyle w:val="FootnoteReference"/>
          <w:sz w:val="24"/>
          <w:lang w:val="es-ES_tradnl"/>
        </w:rPr>
        <w:footnoteRef/>
      </w:r>
      <w:r w:rsidR="00B65AEB" w:rsidRPr="00B65AEB">
        <w:rPr>
          <w:sz w:val="24"/>
          <w:lang w:val="es-ES_tradnl"/>
        </w:rPr>
        <w:t xml:space="preserve"> </w:t>
      </w:r>
      <w:r w:rsidR="00B65AEB" w:rsidRPr="00B65AEB">
        <w:rPr>
          <w:sz w:val="24"/>
          <w:lang w:val="es-ES_tradnl"/>
        </w:rPr>
        <w:tab/>
      </w:r>
      <w:r w:rsidRPr="00B65AEB">
        <w:rPr>
          <w:sz w:val="24"/>
          <w:lang w:val="es-ES_tradnl"/>
        </w:rPr>
        <w:t>Textos Aprobados, P9_</w:t>
      </w:r>
      <w:proofErr w:type="gramStart"/>
      <w:r w:rsidRPr="00B65AEB">
        <w:rPr>
          <w:sz w:val="24"/>
          <w:lang w:val="es-ES_tradnl"/>
        </w:rPr>
        <w:t>TA(</w:t>
      </w:r>
      <w:proofErr w:type="gramEnd"/>
      <w:r w:rsidRPr="00B65AEB">
        <w:rPr>
          <w:sz w:val="24"/>
          <w:lang w:val="es-ES_tradnl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85FF8" w14:textId="77777777" w:rsidR="00064002" w:rsidRPr="00B65A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D8C" w14:textId="77777777" w:rsidR="00064002" w:rsidRPr="00B65A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F4F9" w14:textId="77777777" w:rsidR="00064002" w:rsidRPr="00B65A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442555">
    <w:abstractNumId w:val="9"/>
  </w:num>
  <w:num w:numId="2" w16cid:durableId="36784958">
    <w:abstractNumId w:val="9"/>
  </w:num>
  <w:num w:numId="3" w16cid:durableId="1133526239">
    <w:abstractNumId w:val="7"/>
  </w:num>
  <w:num w:numId="4" w16cid:durableId="773868642">
    <w:abstractNumId w:val="7"/>
  </w:num>
  <w:num w:numId="5" w16cid:durableId="406418645">
    <w:abstractNumId w:val="6"/>
  </w:num>
  <w:num w:numId="6" w16cid:durableId="91320796">
    <w:abstractNumId w:val="6"/>
  </w:num>
  <w:num w:numId="7" w16cid:durableId="151987034">
    <w:abstractNumId w:val="5"/>
  </w:num>
  <w:num w:numId="8" w16cid:durableId="1305501771">
    <w:abstractNumId w:val="5"/>
  </w:num>
  <w:num w:numId="9" w16cid:durableId="424375960">
    <w:abstractNumId w:val="4"/>
  </w:num>
  <w:num w:numId="10" w16cid:durableId="1650331285">
    <w:abstractNumId w:val="4"/>
  </w:num>
  <w:num w:numId="11" w16cid:durableId="85154655">
    <w:abstractNumId w:val="8"/>
  </w:num>
  <w:num w:numId="12" w16cid:durableId="2127236195">
    <w:abstractNumId w:val="8"/>
  </w:num>
  <w:num w:numId="13" w16cid:durableId="303703550">
    <w:abstractNumId w:val="3"/>
  </w:num>
  <w:num w:numId="14" w16cid:durableId="943536786">
    <w:abstractNumId w:val="3"/>
  </w:num>
  <w:num w:numId="15" w16cid:durableId="391470410">
    <w:abstractNumId w:val="2"/>
  </w:num>
  <w:num w:numId="16" w16cid:durableId="365909635">
    <w:abstractNumId w:val="2"/>
  </w:num>
  <w:num w:numId="17" w16cid:durableId="1166167546">
    <w:abstractNumId w:val="1"/>
  </w:num>
  <w:num w:numId="18" w16cid:durableId="2048752082">
    <w:abstractNumId w:val="1"/>
  </w:num>
  <w:num w:numId="19" w16cid:durableId="1344357241">
    <w:abstractNumId w:val="0"/>
  </w:num>
  <w:num w:numId="20" w16cid:durableId="2043362063">
    <w:abstractNumId w:val="0"/>
  </w:num>
  <w:num w:numId="21" w16cid:durableId="659582463">
    <w:abstractNumId w:val="9"/>
  </w:num>
  <w:num w:numId="22" w16cid:durableId="1159807748">
    <w:abstractNumId w:val="7"/>
  </w:num>
  <w:num w:numId="23" w16cid:durableId="1862157447">
    <w:abstractNumId w:val="6"/>
  </w:num>
  <w:num w:numId="24" w16cid:durableId="26377825">
    <w:abstractNumId w:val="5"/>
  </w:num>
  <w:num w:numId="25" w16cid:durableId="1118915345">
    <w:abstractNumId w:val="4"/>
  </w:num>
  <w:num w:numId="26" w16cid:durableId="1161702631">
    <w:abstractNumId w:val="8"/>
  </w:num>
  <w:num w:numId="27" w16cid:durableId="1669401533">
    <w:abstractNumId w:val="3"/>
  </w:num>
  <w:num w:numId="28" w16cid:durableId="1339884801">
    <w:abstractNumId w:val="2"/>
  </w:num>
  <w:num w:numId="29" w16cid:durableId="1562063014">
    <w:abstractNumId w:val="1"/>
  </w:num>
  <w:num w:numId="30" w16cid:durableId="1855604704">
    <w:abstractNumId w:val="0"/>
  </w:num>
  <w:num w:numId="31" w16cid:durableId="342903125">
    <w:abstractNumId w:val="9"/>
  </w:num>
  <w:num w:numId="32" w16cid:durableId="553126639">
    <w:abstractNumId w:val="7"/>
  </w:num>
  <w:num w:numId="33" w16cid:durableId="1143622585">
    <w:abstractNumId w:val="6"/>
  </w:num>
  <w:num w:numId="34" w16cid:durableId="425613722">
    <w:abstractNumId w:val="5"/>
  </w:num>
  <w:num w:numId="35" w16cid:durableId="730734008">
    <w:abstractNumId w:val="4"/>
  </w:num>
  <w:num w:numId="36" w16cid:durableId="763919045">
    <w:abstractNumId w:val="8"/>
  </w:num>
  <w:num w:numId="37" w16cid:durableId="1584677563">
    <w:abstractNumId w:val="3"/>
  </w:num>
  <w:num w:numId="38" w16cid:durableId="1862546145">
    <w:abstractNumId w:val="2"/>
  </w:num>
  <w:num w:numId="39" w16cid:durableId="862863493">
    <w:abstractNumId w:val="1"/>
  </w:num>
  <w:num w:numId="40" w16cid:durableId="609896148">
    <w:abstractNumId w:val="0"/>
  </w:num>
  <w:num w:numId="41" w16cid:durableId="1167017208">
    <w:abstractNumId w:val="10"/>
  </w:num>
  <w:num w:numId="42" w16cid:durableId="1111315181">
    <w:abstractNumId w:val="10"/>
  </w:num>
  <w:num w:numId="43" w16cid:durableId="2068262798">
    <w:abstractNumId w:val="10"/>
  </w:num>
  <w:num w:numId="44" w16cid:durableId="10587462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ES"/>
    <w:docVar w:name="dvnumam" w:val="0"/>
    <w:docVar w:name="dvpe" w:val="779.515"/>
    <w:docVar w:name="dvrapporteur" w:val="Ponente: "/>
    <w:docVar w:name="dvtitre" w:val="Decisión del Parlamento Europeo, de 17 de diciembre de 2025, sobre la propuesta de nombramiento del director ejecutivo de la Autoridad Europea de Seguros y Pensiones de Jubilación(N10-0060/2025 – C10-0268/2025 – 2025/0904(NLE))"/>
  </w:docVars>
  <w:rsids>
    <w:rsidRoot w:val="008E0D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4C1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A9F"/>
    <w:rsid w:val="005C2568"/>
    <w:rsid w:val="005F1B17"/>
    <w:rsid w:val="006037C0"/>
    <w:rsid w:val="006631B6"/>
    <w:rsid w:val="00680577"/>
    <w:rsid w:val="006B0BF0"/>
    <w:rsid w:val="006F74FA"/>
    <w:rsid w:val="00731ADD"/>
    <w:rsid w:val="00734777"/>
    <w:rsid w:val="00747932"/>
    <w:rsid w:val="00751A4A"/>
    <w:rsid w:val="00756632"/>
    <w:rsid w:val="00762C74"/>
    <w:rsid w:val="0078290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CA3"/>
    <w:rsid w:val="008C2AC6"/>
    <w:rsid w:val="008E0D9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0C3"/>
    <w:rsid w:val="00A960E2"/>
    <w:rsid w:val="00AB441E"/>
    <w:rsid w:val="00AB6293"/>
    <w:rsid w:val="00AE0928"/>
    <w:rsid w:val="00AF3B82"/>
    <w:rsid w:val="00B12E95"/>
    <w:rsid w:val="00B22876"/>
    <w:rsid w:val="00B558F0"/>
    <w:rsid w:val="00B65AEB"/>
    <w:rsid w:val="00BC477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B79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AF13E"/>
  <w15:chartTrackingRefBased/>
  <w15:docId w15:val="{3C7C5477-6E88-4FAA-8A21-70EC3002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0A9F"/>
    <w:pPr>
      <w:spacing w:before="480" w:after="240"/>
    </w:pPr>
  </w:style>
  <w:style w:type="paragraph" w:customStyle="1" w:styleId="NormalHanging12a">
    <w:name w:val="NormalHanging12a"/>
    <w:basedOn w:val="Normal"/>
    <w:rsid w:val="00570A9F"/>
    <w:pPr>
      <w:spacing w:after="240"/>
      <w:ind w:left="567" w:hanging="567"/>
    </w:pPr>
  </w:style>
  <w:style w:type="character" w:styleId="Hyperlink">
    <w:name w:val="Hyperlink"/>
    <w:uiPriority w:val="99"/>
    <w:rsid w:val="00570A9F"/>
    <w:rPr>
      <w:color w:val="0000FF"/>
      <w:u w:val="single"/>
    </w:rPr>
  </w:style>
  <w:style w:type="paragraph" w:customStyle="1" w:styleId="Normal12Hanging">
    <w:name w:val="Normal12Hanging"/>
    <w:basedOn w:val="Normal"/>
    <w:rsid w:val="00570A9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94CA3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Manel_RELFINALE_STO</dc:creator>
  <cp:keywords/>
  <cp:lastModifiedBy>CASTELLO MORENO Cesar Augusto</cp:lastModifiedBy>
  <cp:revision>2</cp:revision>
  <cp:lastPrinted>2004-11-19T15:42:00Z</cp:lastPrinted>
  <dcterms:created xsi:type="dcterms:W3CDTF">2025-12-17T12:59:00Z</dcterms:created>
  <dcterms:modified xsi:type="dcterms:W3CDTF">2025-12-17T12:59:00Z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