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5183" w14:paraId="552CB8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415AD6" w14:textId="77777777" w:rsidR="00751A4A" w:rsidRPr="00855183" w:rsidRDefault="00A33F8D" w:rsidP="0010095E">
            <w:pPr>
              <w:pStyle w:val="EPName"/>
            </w:pPr>
            <w:r w:rsidRPr="00855183">
              <w:t>Parlement européen</w:t>
            </w:r>
          </w:p>
          <w:p w14:paraId="71466FA6" w14:textId="77777777" w:rsidR="00751A4A" w:rsidRPr="008551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5183">
              <w:t>2024</w:t>
            </w:r>
            <w:r w:rsidR="00817416" w:rsidRPr="00855183">
              <w:t>-202</w:t>
            </w:r>
            <w:r w:rsidRPr="00855183">
              <w:t>9</w:t>
            </w:r>
          </w:p>
        </w:tc>
        <w:tc>
          <w:tcPr>
            <w:tcW w:w="2268" w:type="dxa"/>
            <w:shd w:val="clear" w:color="auto" w:fill="auto"/>
          </w:tcPr>
          <w:p w14:paraId="36361E14" w14:textId="77777777" w:rsidR="00751A4A" w:rsidRPr="00855183" w:rsidRDefault="00187494" w:rsidP="0010095E">
            <w:pPr>
              <w:pStyle w:val="EPLogo"/>
            </w:pPr>
            <w:r w:rsidRPr="00855183">
              <w:rPr>
                <w:noProof/>
                <w:lang w:eastAsia="ja-JP"/>
              </w:rPr>
              <w:drawing>
                <wp:inline distT="0" distB="0" distL="0" distR="0" wp14:anchorId="76CF4391" wp14:editId="085FF7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C08B16" w14:textId="77777777" w:rsidR="00D058B8" w:rsidRPr="00855183" w:rsidRDefault="00D058B8" w:rsidP="004C5D52">
      <w:pPr>
        <w:pStyle w:val="LineTop"/>
      </w:pPr>
    </w:p>
    <w:p w14:paraId="08A49D0B" w14:textId="77777777" w:rsidR="00680577" w:rsidRPr="00855183" w:rsidRDefault="00A33F8D" w:rsidP="00680577">
      <w:pPr>
        <w:pStyle w:val="EPBodyTA1"/>
      </w:pPr>
      <w:r w:rsidRPr="00855183">
        <w:t>TEXTES ADOPTÉS</w:t>
      </w:r>
    </w:p>
    <w:p w14:paraId="2E295E81" w14:textId="77777777" w:rsidR="00D058B8" w:rsidRPr="00855183" w:rsidRDefault="00D058B8" w:rsidP="00D058B8">
      <w:pPr>
        <w:pStyle w:val="LineBottom"/>
      </w:pPr>
    </w:p>
    <w:p w14:paraId="041B347D" w14:textId="385FC671" w:rsidR="00A33F8D" w:rsidRPr="00855183" w:rsidRDefault="00A33F8D" w:rsidP="00A33F8D">
      <w:pPr>
        <w:pStyle w:val="ATHeading1"/>
      </w:pPr>
      <w:bookmarkStart w:id="0" w:name="TANumber"/>
      <w:r w:rsidRPr="00855183">
        <w:t>P10_TA(2025)0</w:t>
      </w:r>
      <w:r w:rsidR="00B47EBE">
        <w:t>334</w:t>
      </w:r>
      <w:bookmarkEnd w:id="0"/>
    </w:p>
    <w:p w14:paraId="22B946AD" w14:textId="3FEE25C6" w:rsidR="00A33F8D" w:rsidRPr="00855183" w:rsidRDefault="009A44C5" w:rsidP="00A33F8D">
      <w:pPr>
        <w:pStyle w:val="ATHeading2"/>
      </w:pPr>
      <w:bookmarkStart w:id="1" w:name="title"/>
      <w:r w:rsidRPr="009A44C5">
        <w:t>Nomination du directeur exécutif de l’Autorité européenne des assurances et des pensions professionnelles (AEAPP)</w:t>
      </w:r>
      <w:bookmarkEnd w:id="1"/>
    </w:p>
    <w:p w14:paraId="38D91538" w14:textId="77777777" w:rsidR="00A33F8D" w:rsidRPr="00855183" w:rsidRDefault="00A33F8D" w:rsidP="00A33F8D">
      <w:pPr>
        <w:rPr>
          <w:i/>
          <w:vanish/>
        </w:rPr>
      </w:pPr>
      <w:r w:rsidRPr="00855183">
        <w:rPr>
          <w:i/>
        </w:rPr>
        <w:fldChar w:fldCharType="begin"/>
      </w:r>
      <w:r w:rsidRPr="00855183">
        <w:rPr>
          <w:i/>
        </w:rPr>
        <w:instrText xml:space="preserve"> TC"(</w:instrText>
      </w:r>
      <w:bookmarkStart w:id="2" w:name="DocNumber"/>
      <w:r w:rsidRPr="00855183">
        <w:rPr>
          <w:i/>
        </w:rPr>
        <w:instrText>A10-0247/2025</w:instrText>
      </w:r>
      <w:bookmarkEnd w:id="2"/>
      <w:r w:rsidRPr="00855183">
        <w:rPr>
          <w:i/>
        </w:rPr>
        <w:instrText xml:space="preserve"> - Rapporteure: Aurore Lalucq)"\l3 \n&gt; \* MERGEFORMAT </w:instrText>
      </w:r>
      <w:r w:rsidRPr="00855183">
        <w:rPr>
          <w:i/>
        </w:rPr>
        <w:fldChar w:fldCharType="end"/>
      </w:r>
    </w:p>
    <w:p w14:paraId="7B0FCBEC" w14:textId="77777777" w:rsidR="00A33F8D" w:rsidRPr="00855183" w:rsidRDefault="00A33F8D" w:rsidP="00A33F8D">
      <w:pPr>
        <w:rPr>
          <w:vanish/>
        </w:rPr>
      </w:pPr>
      <w:bookmarkStart w:id="3" w:name="Commission"/>
      <w:r w:rsidRPr="00855183">
        <w:rPr>
          <w:vanish/>
        </w:rPr>
        <w:t>Commission des affaires économiques et monétaires</w:t>
      </w:r>
      <w:bookmarkEnd w:id="3"/>
    </w:p>
    <w:p w14:paraId="280F20FC" w14:textId="77777777" w:rsidR="00A33F8D" w:rsidRPr="00855183" w:rsidRDefault="00A33F8D" w:rsidP="00A33F8D">
      <w:pPr>
        <w:rPr>
          <w:vanish/>
        </w:rPr>
      </w:pPr>
      <w:bookmarkStart w:id="4" w:name="PE"/>
      <w:r w:rsidRPr="00855183">
        <w:rPr>
          <w:vanish/>
        </w:rPr>
        <w:t>PE779.515</w:t>
      </w:r>
      <w:bookmarkEnd w:id="4"/>
    </w:p>
    <w:p w14:paraId="67712DF3" w14:textId="795B2232" w:rsidR="00A33F8D" w:rsidRPr="00855183" w:rsidRDefault="00A33F8D" w:rsidP="00A33F8D">
      <w:pPr>
        <w:pStyle w:val="ATHeading3"/>
      </w:pPr>
      <w:bookmarkStart w:id="5" w:name="Sujet"/>
      <w:r w:rsidRPr="00855183">
        <w:t xml:space="preserve">Décision du Parlement européen du </w:t>
      </w:r>
      <w:r w:rsidR="009A44C5">
        <w:t>17</w:t>
      </w:r>
      <w:r w:rsidR="00EF3BD2">
        <w:t xml:space="preserve"> décembre</w:t>
      </w:r>
      <w:r w:rsidRPr="00855183">
        <w:t xml:space="preserve"> 2025 sur la proposition de nomination du directeur exécutif de l’Autorité européenne des assurances et des pensions professionnelles</w:t>
      </w:r>
      <w:bookmarkEnd w:id="5"/>
      <w:r w:rsidRPr="00855183">
        <w:t xml:space="preserve"> </w:t>
      </w:r>
      <w:bookmarkStart w:id="6" w:name="References"/>
      <w:r w:rsidRPr="00855183">
        <w:t>(N10-0060/2025 – C10-0268/2025 – 2025/0904(NLE))</w:t>
      </w:r>
      <w:bookmarkEnd w:id="6"/>
    </w:p>
    <w:p w14:paraId="0B04D098" w14:textId="77777777" w:rsidR="001E71E5" w:rsidRPr="00855183" w:rsidRDefault="001E71E5" w:rsidP="001E71E5">
      <w:pPr>
        <w:pStyle w:val="NormalBold"/>
      </w:pPr>
      <w:r w:rsidRPr="00855183">
        <w:t>(Approbation)</w:t>
      </w:r>
    </w:p>
    <w:p w14:paraId="52C31DBA" w14:textId="77777777" w:rsidR="001E71E5" w:rsidRPr="00855183" w:rsidRDefault="001E71E5" w:rsidP="001E71E5">
      <w:pPr>
        <w:pStyle w:val="EPComma"/>
      </w:pPr>
      <w:r w:rsidRPr="00855183">
        <w:rPr>
          <w:i/>
        </w:rPr>
        <w:t>Le Parlement européen</w:t>
      </w:r>
      <w:r w:rsidRPr="00855183">
        <w:t>,</w:t>
      </w:r>
    </w:p>
    <w:p w14:paraId="22583F7D" w14:textId="77777777" w:rsidR="001E71E5" w:rsidRPr="00855183" w:rsidRDefault="001E71E5" w:rsidP="001E71E5">
      <w:pPr>
        <w:pStyle w:val="NormalHanging12a"/>
      </w:pPr>
      <w:r w:rsidRPr="00855183">
        <w:t>–</w:t>
      </w:r>
      <w:r w:rsidRPr="00855183">
        <w:tab/>
        <w:t>vu la proposition du conseil des autorités de surveillance de l’Autorité européenne des assurances et des pensions professionnelles du 23 octobre 2025 (C10</w:t>
      </w:r>
      <w:r w:rsidRPr="00855183">
        <w:noBreakHyphen/>
        <w:t>0268/2025),</w:t>
      </w:r>
    </w:p>
    <w:p w14:paraId="2E886CDD" w14:textId="17B1EAD9" w:rsidR="001E71E5" w:rsidRPr="00855183" w:rsidRDefault="001E71E5" w:rsidP="001E71E5">
      <w:pPr>
        <w:pStyle w:val="NormalHanging12a"/>
      </w:pPr>
      <w:r w:rsidRPr="00855183">
        <w:t>–</w:t>
      </w:r>
      <w:r w:rsidRPr="00855183">
        <w:tab/>
        <w:t>vu l’article 51, paragraphes 2 et 3, du règlement (UE) n</w:t>
      </w:r>
      <w:r w:rsidRPr="00855183">
        <w:rPr>
          <w:vertAlign w:val="superscript"/>
        </w:rPr>
        <w:t>o</w:t>
      </w:r>
      <w:r w:rsidRPr="00855183">
        <w:t xml:space="preserve"> 1094/2010 du Parlement européen et du Conseil du 24 novembre 2010 instituant une Autorité européenne de surveillance (Autorité européenne des assurances et des pensions professionnelles), modifiant </w:t>
      </w:r>
      <w:r w:rsidRPr="00311C94">
        <w:t>la décision n</w:t>
      </w:r>
      <w:r w:rsidRPr="00311C94">
        <w:rPr>
          <w:vertAlign w:val="superscript"/>
        </w:rPr>
        <w:t>o</w:t>
      </w:r>
      <w:r w:rsidRPr="00311C94">
        <w:t> 716/2009/CE et abrogeant la décision 2009/79/CE de la Commission</w:t>
      </w:r>
      <w:r w:rsidR="00311C94" w:rsidRPr="00311C94">
        <w:rPr>
          <w:rStyle w:val="FootnoteReference"/>
        </w:rPr>
        <w:footnoteReference w:id="1"/>
      </w:r>
      <w:r w:rsidRPr="00311C94">
        <w:t>,</w:t>
      </w:r>
    </w:p>
    <w:p w14:paraId="42C51494" w14:textId="77777777" w:rsidR="001E71E5" w:rsidRPr="00855183" w:rsidRDefault="001E71E5" w:rsidP="001E71E5">
      <w:pPr>
        <w:pStyle w:val="Normal12Hanging"/>
      </w:pPr>
      <w:r w:rsidRPr="00855183">
        <w:t>–</w:t>
      </w:r>
      <w:r w:rsidRPr="00855183">
        <w:tab/>
        <w:t>vu sa résolution du 14 mars 2019 sur l’équilibre hommes-femmes dans les nominations dans le domaine des affaires économiques et monétaires de l’UE</w:t>
      </w:r>
      <w:r w:rsidRPr="00855183">
        <w:rPr>
          <w:rStyle w:val="FootnoteReference"/>
        </w:rPr>
        <w:footnoteReference w:id="2"/>
      </w:r>
      <w:r w:rsidRPr="00855183">
        <w:t>,</w:t>
      </w:r>
    </w:p>
    <w:p w14:paraId="1DB357BF" w14:textId="77777777" w:rsidR="001E71E5" w:rsidRPr="00855183" w:rsidRDefault="001E71E5" w:rsidP="001E71E5">
      <w:pPr>
        <w:pStyle w:val="Normal12Hanging"/>
      </w:pPr>
      <w:r w:rsidRPr="00855183">
        <w:t>–</w:t>
      </w:r>
      <w:r w:rsidRPr="00855183">
        <w:tab/>
        <w:t>vu sa résolution du 16 janvier 2020 sur les institutions et organes de l’Union économique et monétaire: éviter les conflits d’intérêts dans l’après-mandat</w:t>
      </w:r>
      <w:r w:rsidRPr="00855183">
        <w:rPr>
          <w:rStyle w:val="FootnoteReference"/>
        </w:rPr>
        <w:footnoteReference w:id="3"/>
      </w:r>
      <w:r w:rsidRPr="00855183">
        <w:t>,</w:t>
      </w:r>
    </w:p>
    <w:p w14:paraId="0439F609" w14:textId="77777777" w:rsidR="001E71E5" w:rsidRPr="00855183" w:rsidRDefault="001E71E5" w:rsidP="001E71E5">
      <w:pPr>
        <w:pStyle w:val="NormalHanging12a"/>
      </w:pPr>
      <w:r w:rsidRPr="00855183">
        <w:t>–</w:t>
      </w:r>
      <w:r w:rsidRPr="00855183">
        <w:tab/>
        <w:t>vu l’article 135 de son règlement intérieur,</w:t>
      </w:r>
    </w:p>
    <w:p w14:paraId="3EA05ADC" w14:textId="77777777" w:rsidR="001E71E5" w:rsidRPr="00855183" w:rsidRDefault="001E71E5" w:rsidP="001E71E5">
      <w:pPr>
        <w:pStyle w:val="NormalHanging12a"/>
      </w:pPr>
      <w:r w:rsidRPr="00855183">
        <w:t>–</w:t>
      </w:r>
      <w:r w:rsidRPr="00855183">
        <w:tab/>
        <w:t>vu le rapport de la commission des affaires économiques et monétaires (A10</w:t>
      </w:r>
      <w:r w:rsidRPr="00855183">
        <w:noBreakHyphen/>
        <w:t>0247/2025),</w:t>
      </w:r>
    </w:p>
    <w:p w14:paraId="28CA8E7A" w14:textId="77777777" w:rsidR="001E71E5" w:rsidRPr="00855183" w:rsidRDefault="001E71E5" w:rsidP="001E71E5">
      <w:pPr>
        <w:pStyle w:val="NormalHanging12a"/>
      </w:pPr>
      <w:r w:rsidRPr="00855183">
        <w:t>A.</w:t>
      </w:r>
      <w:r w:rsidRPr="00855183">
        <w:tab/>
        <w:t xml:space="preserve">considérant que le mandat de l’actuel directeur exécutif de l’Autorité européenne des </w:t>
      </w:r>
      <w:r w:rsidRPr="00855183">
        <w:lastRenderedPageBreak/>
        <w:t>assurances et des pensions professionnelles prend fin le 31 mars 2026;</w:t>
      </w:r>
    </w:p>
    <w:p w14:paraId="7DC8AF04" w14:textId="77777777" w:rsidR="001E71E5" w:rsidRPr="00855183" w:rsidRDefault="001E71E5" w:rsidP="001E71E5">
      <w:pPr>
        <w:pStyle w:val="NormalHanging12a"/>
      </w:pPr>
      <w:r w:rsidRPr="00855183">
        <w:t>B.</w:t>
      </w:r>
      <w:r w:rsidRPr="00855183">
        <w:tab/>
        <w:t xml:space="preserve">considérant que, le 23 octobre 2025, le conseil des autorités de surveillance de l’Autorité européenne des assurances et des pensions professionnelles a proposé, dans le cadre d’une procédure de sélection ouverte, de nommer Damian </w:t>
      </w:r>
      <w:proofErr w:type="spellStart"/>
      <w:r w:rsidRPr="00855183">
        <w:t>Jaworski</w:t>
      </w:r>
      <w:proofErr w:type="spellEnd"/>
      <w:r w:rsidRPr="00855183">
        <w:t xml:space="preserve"> en tant que directeur exécutif pour un mandat de cinq ans, conformément à l’article 51, paragraphes 2 et 3, du règlement (UE) nº 1094/2010;</w:t>
      </w:r>
    </w:p>
    <w:p w14:paraId="16EF1E59" w14:textId="77777777" w:rsidR="001E71E5" w:rsidRPr="00855183" w:rsidRDefault="001E71E5" w:rsidP="001E71E5">
      <w:pPr>
        <w:pStyle w:val="NormalHanging12a"/>
      </w:pPr>
      <w:r w:rsidRPr="00855183">
        <w:t>C.</w:t>
      </w:r>
      <w:r w:rsidRPr="00855183">
        <w:tab/>
        <w:t xml:space="preserve">considérant que, le 6 novembre 2025, la commission des affaires économiques et monétaires a procédé à une audition de Damian </w:t>
      </w:r>
      <w:proofErr w:type="spellStart"/>
      <w:r w:rsidRPr="00855183">
        <w:t>Jaworski</w:t>
      </w:r>
      <w:proofErr w:type="spellEnd"/>
      <w:r w:rsidRPr="00855183">
        <w:t>, au cours de laquelle celui-ci a fait une déclaration liminaire, puis a répondu aux questions posées par les membres de la commission;</w:t>
      </w:r>
    </w:p>
    <w:p w14:paraId="6E6BF367" w14:textId="77777777" w:rsidR="001E71E5" w:rsidRPr="00855183" w:rsidRDefault="001E71E5" w:rsidP="001E71E5">
      <w:pPr>
        <w:pStyle w:val="NormalHanging12a"/>
      </w:pPr>
      <w:r w:rsidRPr="00855183">
        <w:t>1.</w:t>
      </w:r>
      <w:r w:rsidRPr="00855183">
        <w:tab/>
        <w:t xml:space="preserve">approuve la nomination de Damian </w:t>
      </w:r>
      <w:proofErr w:type="spellStart"/>
      <w:r w:rsidRPr="00855183">
        <w:t>Jaworski</w:t>
      </w:r>
      <w:proofErr w:type="spellEnd"/>
      <w:r w:rsidRPr="00855183">
        <w:t xml:space="preserve"> en tant que directeur exécutif de l’Autorité européenne des assurances et des pensions professionnelles</w:t>
      </w:r>
    </w:p>
    <w:p w14:paraId="3E65A3AA" w14:textId="59CC4079" w:rsidR="00855183" w:rsidRPr="00855183" w:rsidRDefault="001E71E5" w:rsidP="00855183">
      <w:pPr>
        <w:pStyle w:val="NormalHanging12a"/>
      </w:pPr>
      <w:r w:rsidRPr="00855183">
        <w:t>2.</w:t>
      </w:r>
      <w:r w:rsidRPr="00855183">
        <w:tab/>
        <w:t>charge sa Présidente de transmettre la présente décision au Conseil, à la Commission, à l’Autorité européenne des assurances et des pensions professionnelles ainsi qu’aux gouvernements des États membres.</w:t>
      </w:r>
    </w:p>
    <w:p w14:paraId="68893CD6" w14:textId="3711DF62" w:rsidR="00E365E1" w:rsidRPr="00855183" w:rsidRDefault="00E365E1" w:rsidP="00A33F8D"/>
    <w:sectPr w:rsidR="00E365E1" w:rsidRPr="00855183" w:rsidSect="008551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0219F" w14:textId="77777777" w:rsidR="00A33F8D" w:rsidRPr="00855183" w:rsidRDefault="00A33F8D">
      <w:r w:rsidRPr="00855183">
        <w:separator/>
      </w:r>
    </w:p>
  </w:endnote>
  <w:endnote w:type="continuationSeparator" w:id="0">
    <w:p w14:paraId="31D95F15" w14:textId="77777777" w:rsidR="00A33F8D" w:rsidRPr="00855183" w:rsidRDefault="00A33F8D">
      <w:r w:rsidRPr="008551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E75E" w14:textId="77777777" w:rsidR="00064002" w:rsidRPr="008551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4F24" w14:textId="77777777" w:rsidR="00064002" w:rsidRPr="008551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10285" w14:textId="77777777" w:rsidR="00064002" w:rsidRPr="008551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32B7A" w14:textId="77777777" w:rsidR="00A33F8D" w:rsidRPr="00855183" w:rsidRDefault="00A33F8D">
      <w:r w:rsidRPr="00855183">
        <w:separator/>
      </w:r>
    </w:p>
  </w:footnote>
  <w:footnote w:type="continuationSeparator" w:id="0">
    <w:p w14:paraId="66908158" w14:textId="77777777" w:rsidR="00A33F8D" w:rsidRPr="00855183" w:rsidRDefault="00A33F8D">
      <w:r w:rsidRPr="00855183">
        <w:continuationSeparator/>
      </w:r>
    </w:p>
  </w:footnote>
  <w:footnote w:id="1">
    <w:p w14:paraId="1F8B518A" w14:textId="77777777" w:rsidR="00311C94" w:rsidRPr="009A44C5" w:rsidRDefault="00311C94" w:rsidP="00311C94">
      <w:pPr>
        <w:pStyle w:val="FootnoteText"/>
        <w:ind w:left="567" w:hanging="567"/>
        <w:rPr>
          <w:sz w:val="24"/>
          <w:lang w:val="fi-FI"/>
        </w:rPr>
      </w:pPr>
      <w:r w:rsidRPr="00855183">
        <w:rPr>
          <w:rStyle w:val="FootnoteReference"/>
          <w:sz w:val="24"/>
        </w:rPr>
        <w:footnoteRef/>
      </w:r>
      <w:r w:rsidRPr="009A44C5">
        <w:rPr>
          <w:sz w:val="24"/>
          <w:lang w:val="fi-FI"/>
        </w:rPr>
        <w:t xml:space="preserve"> </w:t>
      </w:r>
      <w:r w:rsidRPr="009A44C5">
        <w:rPr>
          <w:sz w:val="24"/>
          <w:lang w:val="fi-FI"/>
        </w:rPr>
        <w:tab/>
        <w:t xml:space="preserve">JO L 331 du 15.12.2010, p. 48 (ELI: </w:t>
      </w:r>
      <w:hyperlink r:id="rId1" w:history="1">
        <w:r w:rsidRPr="009A44C5">
          <w:rPr>
            <w:rStyle w:val="Hyperlink"/>
            <w:sz w:val="24"/>
            <w:lang w:val="fi-FI"/>
          </w:rPr>
          <w:t>http://data.europa.eu/eli/reg/2010/1094/oj</w:t>
        </w:r>
      </w:hyperlink>
      <w:r w:rsidRPr="009A44C5">
        <w:rPr>
          <w:sz w:val="24"/>
          <w:lang w:val="fi-FI"/>
        </w:rPr>
        <w:t>).</w:t>
      </w:r>
    </w:p>
  </w:footnote>
  <w:footnote w:id="2">
    <w:p w14:paraId="02DC278F" w14:textId="5B8D3D0D" w:rsidR="001E71E5" w:rsidRPr="00855183" w:rsidRDefault="001E71E5" w:rsidP="00855183">
      <w:pPr>
        <w:pStyle w:val="FootnoteText"/>
        <w:ind w:left="567" w:hanging="567"/>
        <w:rPr>
          <w:sz w:val="24"/>
        </w:rPr>
      </w:pPr>
      <w:r w:rsidRPr="00855183">
        <w:rPr>
          <w:rStyle w:val="FootnoteReference"/>
          <w:sz w:val="24"/>
        </w:rPr>
        <w:footnoteRef/>
      </w:r>
      <w:r w:rsidR="00855183" w:rsidRPr="00855183">
        <w:rPr>
          <w:sz w:val="24"/>
        </w:rPr>
        <w:t xml:space="preserve"> </w:t>
      </w:r>
      <w:r w:rsidR="00855183" w:rsidRPr="00855183">
        <w:rPr>
          <w:sz w:val="24"/>
        </w:rPr>
        <w:tab/>
      </w:r>
      <w:r w:rsidRPr="00855183">
        <w:rPr>
          <w:sz w:val="24"/>
        </w:rPr>
        <w:t>JO C 23 du 21.1.2021, p. 105.</w:t>
      </w:r>
    </w:p>
  </w:footnote>
  <w:footnote w:id="3">
    <w:p w14:paraId="52E6599D" w14:textId="512AB3C5" w:rsidR="001E71E5" w:rsidRPr="00855183" w:rsidRDefault="001E71E5" w:rsidP="00855183">
      <w:pPr>
        <w:pStyle w:val="FootnoteText"/>
        <w:ind w:left="567" w:hanging="567"/>
        <w:rPr>
          <w:sz w:val="24"/>
        </w:rPr>
      </w:pPr>
      <w:r w:rsidRPr="00855183">
        <w:rPr>
          <w:rStyle w:val="FootnoteReference"/>
          <w:sz w:val="24"/>
        </w:rPr>
        <w:footnoteRef/>
      </w:r>
      <w:r w:rsidR="00855183" w:rsidRPr="00855183">
        <w:rPr>
          <w:sz w:val="24"/>
        </w:rPr>
        <w:t xml:space="preserve"> </w:t>
      </w:r>
      <w:r w:rsidR="00855183" w:rsidRPr="00855183">
        <w:rPr>
          <w:sz w:val="24"/>
        </w:rPr>
        <w:tab/>
      </w:r>
      <w:r w:rsidRPr="00855183">
        <w:rPr>
          <w:sz w:val="24"/>
        </w:rPr>
        <w:t>Textes adoptés de cette date,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8DFD" w14:textId="77777777" w:rsidR="00064002" w:rsidRPr="008551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FD24" w14:textId="77777777" w:rsidR="00064002" w:rsidRPr="008551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844A" w14:textId="77777777" w:rsidR="00064002" w:rsidRPr="008551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8567933">
    <w:abstractNumId w:val="9"/>
  </w:num>
  <w:num w:numId="2" w16cid:durableId="983461118">
    <w:abstractNumId w:val="9"/>
  </w:num>
  <w:num w:numId="3" w16cid:durableId="1193688113">
    <w:abstractNumId w:val="7"/>
  </w:num>
  <w:num w:numId="4" w16cid:durableId="800227324">
    <w:abstractNumId w:val="7"/>
  </w:num>
  <w:num w:numId="5" w16cid:durableId="1138842229">
    <w:abstractNumId w:val="6"/>
  </w:num>
  <w:num w:numId="6" w16cid:durableId="1734425317">
    <w:abstractNumId w:val="6"/>
  </w:num>
  <w:num w:numId="7" w16cid:durableId="223806070">
    <w:abstractNumId w:val="5"/>
  </w:num>
  <w:num w:numId="8" w16cid:durableId="9456575">
    <w:abstractNumId w:val="5"/>
  </w:num>
  <w:num w:numId="9" w16cid:durableId="305008817">
    <w:abstractNumId w:val="4"/>
  </w:num>
  <w:num w:numId="10" w16cid:durableId="482234809">
    <w:abstractNumId w:val="4"/>
  </w:num>
  <w:num w:numId="11" w16cid:durableId="1058626077">
    <w:abstractNumId w:val="8"/>
  </w:num>
  <w:num w:numId="12" w16cid:durableId="1688750616">
    <w:abstractNumId w:val="8"/>
  </w:num>
  <w:num w:numId="13" w16cid:durableId="1744833255">
    <w:abstractNumId w:val="3"/>
  </w:num>
  <w:num w:numId="14" w16cid:durableId="644895745">
    <w:abstractNumId w:val="3"/>
  </w:num>
  <w:num w:numId="15" w16cid:durableId="737290446">
    <w:abstractNumId w:val="2"/>
  </w:num>
  <w:num w:numId="16" w16cid:durableId="1886140069">
    <w:abstractNumId w:val="2"/>
  </w:num>
  <w:num w:numId="17" w16cid:durableId="221722808">
    <w:abstractNumId w:val="1"/>
  </w:num>
  <w:num w:numId="18" w16cid:durableId="1420565193">
    <w:abstractNumId w:val="1"/>
  </w:num>
  <w:num w:numId="19" w16cid:durableId="2053528354">
    <w:abstractNumId w:val="0"/>
  </w:num>
  <w:num w:numId="20" w16cid:durableId="1769807017">
    <w:abstractNumId w:val="0"/>
  </w:num>
  <w:num w:numId="21" w16cid:durableId="765420768">
    <w:abstractNumId w:val="9"/>
  </w:num>
  <w:num w:numId="22" w16cid:durableId="654651225">
    <w:abstractNumId w:val="7"/>
  </w:num>
  <w:num w:numId="23" w16cid:durableId="79102725">
    <w:abstractNumId w:val="6"/>
  </w:num>
  <w:num w:numId="24" w16cid:durableId="2090153934">
    <w:abstractNumId w:val="5"/>
  </w:num>
  <w:num w:numId="25" w16cid:durableId="1214536154">
    <w:abstractNumId w:val="4"/>
  </w:num>
  <w:num w:numId="26" w16cid:durableId="2033140173">
    <w:abstractNumId w:val="8"/>
  </w:num>
  <w:num w:numId="27" w16cid:durableId="370500852">
    <w:abstractNumId w:val="3"/>
  </w:num>
  <w:num w:numId="28" w16cid:durableId="101457460">
    <w:abstractNumId w:val="2"/>
  </w:num>
  <w:num w:numId="29" w16cid:durableId="422190657">
    <w:abstractNumId w:val="1"/>
  </w:num>
  <w:num w:numId="30" w16cid:durableId="483474067">
    <w:abstractNumId w:val="0"/>
  </w:num>
  <w:num w:numId="31" w16cid:durableId="1145776732">
    <w:abstractNumId w:val="9"/>
  </w:num>
  <w:num w:numId="32" w16cid:durableId="1029142173">
    <w:abstractNumId w:val="7"/>
  </w:num>
  <w:num w:numId="33" w16cid:durableId="1599480265">
    <w:abstractNumId w:val="6"/>
  </w:num>
  <w:num w:numId="34" w16cid:durableId="755056064">
    <w:abstractNumId w:val="5"/>
  </w:num>
  <w:num w:numId="35" w16cid:durableId="911310502">
    <w:abstractNumId w:val="4"/>
  </w:num>
  <w:num w:numId="36" w16cid:durableId="355815754">
    <w:abstractNumId w:val="8"/>
  </w:num>
  <w:num w:numId="37" w16cid:durableId="849565115">
    <w:abstractNumId w:val="3"/>
  </w:num>
  <w:num w:numId="38" w16cid:durableId="963925048">
    <w:abstractNumId w:val="2"/>
  </w:num>
  <w:num w:numId="39" w16cid:durableId="1250040032">
    <w:abstractNumId w:val="1"/>
  </w:num>
  <w:num w:numId="40" w16cid:durableId="2082210920">
    <w:abstractNumId w:val="0"/>
  </w:num>
  <w:num w:numId="41" w16cid:durableId="486215713">
    <w:abstractNumId w:val="10"/>
  </w:num>
  <w:num w:numId="42" w16cid:durableId="120195153">
    <w:abstractNumId w:val="10"/>
  </w:num>
  <w:num w:numId="43" w16cid:durableId="234511432">
    <w:abstractNumId w:val="10"/>
  </w:num>
  <w:num w:numId="44" w16cid:durableId="1349602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FR"/>
    <w:docVar w:name="dvnumam" w:val="0"/>
    <w:docVar w:name="dvpe" w:val="779.515"/>
    <w:docVar w:name="dvrapporteur" w:val="Rapporteure: "/>
    <w:docVar w:name="dvtitre" w:val="Décision du Parlement européen du ... 2025 sur la proposition de nomination du directeur exécutif de l’Autorité européenne des assurances et des pensions professionnelles(N10-0060/2025 – C10-0268/2025 – 2025/0904(NLE))"/>
  </w:docVars>
  <w:rsids>
    <w:rsidRoot w:val="00A33F8D"/>
    <w:rsid w:val="00002272"/>
    <w:rsid w:val="00064002"/>
    <w:rsid w:val="000677B9"/>
    <w:rsid w:val="000831BA"/>
    <w:rsid w:val="000A42CC"/>
    <w:rsid w:val="000E7DD9"/>
    <w:rsid w:val="0010095E"/>
    <w:rsid w:val="0012432B"/>
    <w:rsid w:val="00125B37"/>
    <w:rsid w:val="00187494"/>
    <w:rsid w:val="001E71E5"/>
    <w:rsid w:val="001F32AE"/>
    <w:rsid w:val="002767FF"/>
    <w:rsid w:val="002B18FE"/>
    <w:rsid w:val="002B5493"/>
    <w:rsid w:val="00311C94"/>
    <w:rsid w:val="00343214"/>
    <w:rsid w:val="00361C00"/>
    <w:rsid w:val="00365FA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05A3"/>
    <w:rsid w:val="00731ADD"/>
    <w:rsid w:val="00733DA6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6B6"/>
    <w:rsid w:val="00842779"/>
    <w:rsid w:val="0085518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4C5"/>
    <w:rsid w:val="00A1687D"/>
    <w:rsid w:val="00A33F8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69C"/>
    <w:rsid w:val="00B47EB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BD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11D89"/>
  <w15:chartTrackingRefBased/>
  <w15:docId w15:val="{7DECD93A-1CA7-4A70-81F0-D47690EC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71E5"/>
    <w:pPr>
      <w:spacing w:before="480" w:after="240"/>
    </w:pPr>
  </w:style>
  <w:style w:type="paragraph" w:customStyle="1" w:styleId="NormalBold">
    <w:name w:val="NormalBold"/>
    <w:basedOn w:val="Normal"/>
    <w:rsid w:val="001E71E5"/>
    <w:rPr>
      <w:b/>
    </w:rPr>
  </w:style>
  <w:style w:type="paragraph" w:customStyle="1" w:styleId="NormalHanging12a">
    <w:name w:val="NormalHanging12a"/>
    <w:basedOn w:val="Normal"/>
    <w:rsid w:val="001E71E5"/>
    <w:pPr>
      <w:spacing w:after="240"/>
      <w:ind w:left="567" w:hanging="567"/>
    </w:pPr>
  </w:style>
  <w:style w:type="character" w:styleId="Hyperlink">
    <w:name w:val="Hyperlink"/>
    <w:uiPriority w:val="99"/>
    <w:rsid w:val="001E71E5"/>
    <w:rPr>
      <w:color w:val="0000FF"/>
      <w:u w:val="single"/>
    </w:rPr>
  </w:style>
  <w:style w:type="paragraph" w:customStyle="1" w:styleId="Normal12Hanging">
    <w:name w:val="Normal12Hanging"/>
    <w:basedOn w:val="Normal"/>
    <w:rsid w:val="001E71E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466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66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4669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46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669C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DELECROIX Dorothee</cp:lastModifiedBy>
  <cp:revision>2</cp:revision>
  <cp:lastPrinted>2004-11-19T15:42:00Z</cp:lastPrinted>
  <dcterms:created xsi:type="dcterms:W3CDTF">2025-12-17T14:46:00Z</dcterms:created>
  <dcterms:modified xsi:type="dcterms:W3CDTF">2025-12-17T14:46:00Z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