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542E" w14:paraId="5C8E7B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406B26" w14:textId="77777777" w:rsidR="00751A4A" w:rsidRPr="006C542E" w:rsidRDefault="00B4555D" w:rsidP="0010095E">
            <w:pPr>
              <w:pStyle w:val="EPName"/>
            </w:pPr>
            <w:r w:rsidRPr="006C542E">
              <w:t>Európai Parlament</w:t>
            </w:r>
          </w:p>
          <w:p w14:paraId="5F5B79ED" w14:textId="77777777" w:rsidR="00751A4A" w:rsidRPr="006C54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542E">
              <w:t>2024</w:t>
            </w:r>
            <w:r w:rsidR="00817416" w:rsidRPr="006C542E">
              <w:t>-202</w:t>
            </w:r>
            <w:r w:rsidRPr="006C542E">
              <w:t>9</w:t>
            </w:r>
          </w:p>
        </w:tc>
        <w:tc>
          <w:tcPr>
            <w:tcW w:w="2268" w:type="dxa"/>
            <w:shd w:val="clear" w:color="auto" w:fill="auto"/>
          </w:tcPr>
          <w:p w14:paraId="5361733B" w14:textId="77777777" w:rsidR="00751A4A" w:rsidRPr="006C542E" w:rsidRDefault="00187494" w:rsidP="0010095E">
            <w:pPr>
              <w:pStyle w:val="EPLogo"/>
            </w:pPr>
            <w:r w:rsidRPr="006C542E">
              <w:rPr>
                <w:noProof/>
                <w:lang w:eastAsia="ja-JP"/>
              </w:rPr>
              <w:drawing>
                <wp:inline distT="0" distB="0" distL="0" distR="0" wp14:anchorId="4D9E119C" wp14:editId="441663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16222F" w14:textId="77777777" w:rsidR="00D058B8" w:rsidRPr="006C542E" w:rsidRDefault="00D058B8" w:rsidP="004C5D52">
      <w:pPr>
        <w:pStyle w:val="LineTop"/>
      </w:pPr>
    </w:p>
    <w:p w14:paraId="292A61AF" w14:textId="77777777" w:rsidR="00680577" w:rsidRPr="006C542E" w:rsidRDefault="00B4555D" w:rsidP="00680577">
      <w:pPr>
        <w:pStyle w:val="EPBodyTA1"/>
      </w:pPr>
      <w:r w:rsidRPr="006C542E">
        <w:t>ELFOGADOTT SZÖVEGEK</w:t>
      </w:r>
    </w:p>
    <w:p w14:paraId="59F22CAC" w14:textId="77777777" w:rsidR="00D058B8" w:rsidRPr="006C542E" w:rsidRDefault="00D058B8" w:rsidP="00D058B8">
      <w:pPr>
        <w:pStyle w:val="LineBottom"/>
      </w:pPr>
    </w:p>
    <w:p w14:paraId="3AA8A1DE" w14:textId="499342C6" w:rsidR="00B4555D" w:rsidRPr="006C542E" w:rsidRDefault="00B4555D" w:rsidP="00B4555D">
      <w:pPr>
        <w:pStyle w:val="ATHeading1"/>
      </w:pPr>
      <w:bookmarkStart w:id="0" w:name="TANumber"/>
      <w:r w:rsidRPr="006C542E">
        <w:t>P10_TA(2025)0</w:t>
      </w:r>
      <w:r w:rsidR="009347B0">
        <w:t>334</w:t>
      </w:r>
      <w:bookmarkEnd w:id="0"/>
    </w:p>
    <w:p w14:paraId="7256A440" w14:textId="77777777" w:rsidR="00B4555D" w:rsidRPr="006C542E" w:rsidRDefault="00B4555D" w:rsidP="00B4555D">
      <w:pPr>
        <w:pStyle w:val="ATHeading2"/>
      </w:pPr>
      <w:bookmarkStart w:id="1" w:name="title"/>
      <w:r w:rsidRPr="006C542E">
        <w:t xml:space="preserve">Az Európai Biztosítás- és </w:t>
      </w:r>
      <w:proofErr w:type="spellStart"/>
      <w:r w:rsidRPr="006C542E">
        <w:t>Foglalkoztatóinyugdíj</w:t>
      </w:r>
      <w:proofErr w:type="spellEnd"/>
      <w:r w:rsidRPr="006C542E">
        <w:t>-hatóság (EIOPA) ügyvezető igazgatójának kinevezése</w:t>
      </w:r>
      <w:bookmarkEnd w:id="1"/>
    </w:p>
    <w:p w14:paraId="00E82CF4" w14:textId="77777777" w:rsidR="00B4555D" w:rsidRPr="006C542E" w:rsidRDefault="00B4555D" w:rsidP="00B4555D">
      <w:pPr>
        <w:rPr>
          <w:i/>
          <w:vanish/>
        </w:rPr>
      </w:pPr>
      <w:r w:rsidRPr="006C542E">
        <w:rPr>
          <w:i/>
        </w:rPr>
        <w:fldChar w:fldCharType="begin"/>
      </w:r>
      <w:r w:rsidRPr="006C542E">
        <w:rPr>
          <w:i/>
        </w:rPr>
        <w:instrText xml:space="preserve"> TC"(</w:instrText>
      </w:r>
      <w:bookmarkStart w:id="2" w:name="DocNumber"/>
      <w:r w:rsidRPr="006C542E">
        <w:rPr>
          <w:i/>
        </w:rPr>
        <w:instrText>A10-0247/2025</w:instrText>
      </w:r>
      <w:bookmarkEnd w:id="2"/>
      <w:r w:rsidRPr="006C542E">
        <w:rPr>
          <w:i/>
        </w:rPr>
        <w:instrText xml:space="preserve"> - Előadó: </w:instrText>
      </w:r>
      <w:proofErr w:type="spellStart"/>
      <w:r w:rsidRPr="006C542E">
        <w:rPr>
          <w:i/>
        </w:rPr>
        <w:instrText>Aurore</w:instrText>
      </w:r>
      <w:proofErr w:type="spellEnd"/>
      <w:r w:rsidRPr="006C542E">
        <w:rPr>
          <w:i/>
        </w:rPr>
        <w:instrText xml:space="preserve"> </w:instrText>
      </w:r>
      <w:proofErr w:type="spellStart"/>
      <w:r w:rsidRPr="006C542E">
        <w:rPr>
          <w:i/>
        </w:rPr>
        <w:instrText>Lalucq</w:instrText>
      </w:r>
      <w:proofErr w:type="spellEnd"/>
      <w:r w:rsidRPr="006C542E">
        <w:rPr>
          <w:i/>
        </w:rPr>
        <w:instrText xml:space="preserve">)"\l3 \n&gt; \* MERGEFORMAT </w:instrText>
      </w:r>
      <w:r w:rsidRPr="006C542E">
        <w:rPr>
          <w:i/>
        </w:rPr>
        <w:fldChar w:fldCharType="end"/>
      </w:r>
    </w:p>
    <w:p w14:paraId="6611504D" w14:textId="77777777" w:rsidR="00B4555D" w:rsidRPr="006C542E" w:rsidRDefault="00B4555D" w:rsidP="00B4555D">
      <w:pPr>
        <w:rPr>
          <w:vanish/>
        </w:rPr>
      </w:pPr>
      <w:bookmarkStart w:id="3" w:name="Commission"/>
      <w:r w:rsidRPr="006C542E">
        <w:rPr>
          <w:vanish/>
        </w:rPr>
        <w:t>Gazdasági és Monetáris Bizottság</w:t>
      </w:r>
      <w:bookmarkEnd w:id="3"/>
    </w:p>
    <w:p w14:paraId="414274A3" w14:textId="77777777" w:rsidR="00B4555D" w:rsidRPr="006C542E" w:rsidRDefault="00B4555D" w:rsidP="00B4555D">
      <w:pPr>
        <w:rPr>
          <w:vanish/>
        </w:rPr>
      </w:pPr>
      <w:bookmarkStart w:id="4" w:name="PE"/>
      <w:r w:rsidRPr="006C542E">
        <w:rPr>
          <w:vanish/>
        </w:rPr>
        <w:t>PE779.515</w:t>
      </w:r>
      <w:bookmarkEnd w:id="4"/>
    </w:p>
    <w:p w14:paraId="2D816E47" w14:textId="5EF6CA4F" w:rsidR="00B4555D" w:rsidRPr="006C542E" w:rsidRDefault="00B4555D" w:rsidP="00B4555D">
      <w:pPr>
        <w:pStyle w:val="ATHeading3"/>
      </w:pPr>
      <w:bookmarkStart w:id="5" w:name="Sujet"/>
      <w:r w:rsidRPr="006C542E">
        <w:t xml:space="preserve">Az Európai Parlament 2025. </w:t>
      </w:r>
      <w:r w:rsidR="00110914" w:rsidRPr="006C542E">
        <w:t>december</w:t>
      </w:r>
      <w:r w:rsidRPr="006C542E">
        <w:t xml:space="preserve"> </w:t>
      </w:r>
      <w:r w:rsidR="00C5620D" w:rsidRPr="006C542E">
        <w:t>17-</w:t>
      </w:r>
      <w:r w:rsidRPr="006C542E">
        <w:t xml:space="preserve">i határozata az Európai Biztosítás- és </w:t>
      </w:r>
      <w:proofErr w:type="spellStart"/>
      <w:r w:rsidRPr="006C542E">
        <w:t>Foglalkoztatóinyugdíj</w:t>
      </w:r>
      <w:proofErr w:type="spellEnd"/>
      <w:r w:rsidRPr="006C542E">
        <w:t>-hatóság ügyvezető igazgatójának kinevezésére irányuló javaslatról</w:t>
      </w:r>
      <w:bookmarkEnd w:id="5"/>
      <w:r w:rsidRPr="006C542E">
        <w:t xml:space="preserve"> </w:t>
      </w:r>
      <w:bookmarkStart w:id="6" w:name="References"/>
      <w:r w:rsidRPr="006C542E">
        <w:t>(N10-0060/2025 – C10-0268/2025 – 2025/0904(NLE))</w:t>
      </w:r>
      <w:bookmarkEnd w:id="6"/>
    </w:p>
    <w:p w14:paraId="6D244C58" w14:textId="77777777" w:rsidR="00C24781" w:rsidRPr="006C542E" w:rsidRDefault="00C24781" w:rsidP="00C24781">
      <w:pPr>
        <w:pStyle w:val="NormalBold"/>
      </w:pPr>
      <w:r w:rsidRPr="006C542E">
        <w:t>(Egyetértés)</w:t>
      </w:r>
    </w:p>
    <w:p w14:paraId="2491BDDD" w14:textId="77777777" w:rsidR="00C24781" w:rsidRPr="006C542E" w:rsidRDefault="00C24781" w:rsidP="00C24781">
      <w:pPr>
        <w:pStyle w:val="EPComma"/>
      </w:pPr>
      <w:r w:rsidRPr="006C542E">
        <w:rPr>
          <w:i/>
        </w:rPr>
        <w:t>Az Európai Parlament,</w:t>
      </w:r>
    </w:p>
    <w:p w14:paraId="062D7E5C" w14:textId="77777777" w:rsidR="00C24781" w:rsidRPr="006C542E" w:rsidRDefault="00C24781" w:rsidP="00110914">
      <w:pPr>
        <w:pStyle w:val="NormalHanging12a"/>
        <w:widowControl/>
      </w:pPr>
      <w:r w:rsidRPr="006C542E">
        <w:t>–</w:t>
      </w:r>
      <w:r w:rsidRPr="006C542E">
        <w:tab/>
        <w:t xml:space="preserve">tekintettel az Európai Biztosítás- és </w:t>
      </w:r>
      <w:proofErr w:type="spellStart"/>
      <w:r w:rsidRPr="006C542E">
        <w:t>Foglalkoztatóinyugdíj</w:t>
      </w:r>
      <w:proofErr w:type="spellEnd"/>
      <w:r w:rsidRPr="006C542E">
        <w:t>-hatóság felügyelőtanácsának 2025. október 23-i javaslatára (C10</w:t>
      </w:r>
      <w:r w:rsidRPr="006C542E">
        <w:noBreakHyphen/>
        <w:t>0268/2025),</w:t>
      </w:r>
    </w:p>
    <w:p w14:paraId="1A55564F" w14:textId="5697F4E9" w:rsidR="00C24781" w:rsidRPr="006C542E" w:rsidRDefault="00C24781" w:rsidP="00110914">
      <w:pPr>
        <w:pStyle w:val="NormalHanging12a"/>
        <w:widowControl/>
      </w:pPr>
      <w:r w:rsidRPr="006C542E">
        <w:t>–</w:t>
      </w:r>
      <w:r w:rsidRPr="006C542E">
        <w:tab/>
        <w:t xml:space="preserve">tekintettel az európai felügyeleti hatóság (az Európai Biztosítás- és </w:t>
      </w:r>
      <w:proofErr w:type="spellStart"/>
      <w:r w:rsidRPr="006C542E">
        <w:t>Foglalkoztatóinyugdíj</w:t>
      </w:r>
      <w:proofErr w:type="spellEnd"/>
      <w:r w:rsidRPr="006C542E">
        <w:t>-hatóság) létrehozásáról, valamint a 716/2009/EK határozat módosításáról és a 2009/79/EK bizottsági határozat hatályon kívül helyezéséről szóló, 2010. november 24-i 1094/2010/EU európai parlamenti és tanácsi rendelet</w:t>
      </w:r>
      <w:r w:rsidR="00C5620D" w:rsidRPr="006C542E">
        <w:rPr>
          <w:rStyle w:val="FootnoteReference"/>
        </w:rPr>
        <w:footnoteReference w:id="1"/>
      </w:r>
      <w:r w:rsidRPr="006C542E">
        <w:t xml:space="preserve"> 51. cikkének (2) és (3) bekezdésére,</w:t>
      </w:r>
    </w:p>
    <w:p w14:paraId="56DCC1BB" w14:textId="77777777" w:rsidR="00C24781" w:rsidRPr="006C542E" w:rsidRDefault="00C24781" w:rsidP="00110914">
      <w:pPr>
        <w:pStyle w:val="Normal12Hanging"/>
        <w:widowControl/>
      </w:pPr>
      <w:r w:rsidRPr="006C542E">
        <w:t>–</w:t>
      </w:r>
      <w:r w:rsidRPr="006C542E">
        <w:tab/>
        <w:t>tekintettel az uniós gazdasági és monetáris ügyekkel kapcsolatos pozíciók jelöltjei közötti nemi egyensúlyról szóló, 2019. március 14-i állásfoglalására</w:t>
      </w:r>
      <w:r w:rsidRPr="006C542E">
        <w:rPr>
          <w:rStyle w:val="FootnoteReference"/>
        </w:rPr>
        <w:footnoteReference w:id="2"/>
      </w:r>
      <w:r w:rsidRPr="006C542E">
        <w:t>,</w:t>
      </w:r>
    </w:p>
    <w:p w14:paraId="6E010324" w14:textId="77777777" w:rsidR="00C24781" w:rsidRPr="006C542E" w:rsidRDefault="00C24781" w:rsidP="00110914">
      <w:pPr>
        <w:pStyle w:val="Normal12Hanging"/>
        <w:widowControl/>
      </w:pPr>
      <w:r w:rsidRPr="006C542E">
        <w:t>–</w:t>
      </w:r>
      <w:r w:rsidRPr="006C542E">
        <w:tab/>
        <w:t>tekintettel „A gazdasági és monetáris unió intézményeiről és szerveiről: a közszolgálati jogviszony megszűnése utáni összeférhetetlenség megelőzése” című, 2020. január 16-i állásfoglalására</w:t>
      </w:r>
      <w:r w:rsidRPr="006C542E">
        <w:rPr>
          <w:rStyle w:val="FootnoteReference"/>
        </w:rPr>
        <w:footnoteReference w:id="3"/>
      </w:r>
      <w:r w:rsidRPr="006C542E">
        <w:t>,</w:t>
      </w:r>
    </w:p>
    <w:p w14:paraId="37E25E9C" w14:textId="77777777" w:rsidR="00C24781" w:rsidRPr="006C542E" w:rsidRDefault="00C24781" w:rsidP="00110914">
      <w:pPr>
        <w:pStyle w:val="NormalHanging12a"/>
        <w:widowControl/>
      </w:pPr>
      <w:r w:rsidRPr="006C542E">
        <w:t>–</w:t>
      </w:r>
      <w:r w:rsidRPr="006C542E">
        <w:tab/>
        <w:t>tekintettel eljárási szabályzata 135. cikkére,</w:t>
      </w:r>
    </w:p>
    <w:p w14:paraId="02545B1F" w14:textId="77777777" w:rsidR="00C24781" w:rsidRPr="006C542E" w:rsidRDefault="00C24781" w:rsidP="00110914">
      <w:pPr>
        <w:pStyle w:val="NormalHanging12a"/>
        <w:widowControl/>
      </w:pPr>
      <w:r w:rsidRPr="006C542E">
        <w:t>–</w:t>
      </w:r>
      <w:r w:rsidRPr="006C542E">
        <w:tab/>
        <w:t>tekintettel a Gazdasági és Monetáris Bizottság jelentésére (A10-0247/2025),</w:t>
      </w:r>
    </w:p>
    <w:p w14:paraId="79385C92" w14:textId="77777777" w:rsidR="00C24781" w:rsidRPr="006C542E" w:rsidRDefault="00C24781" w:rsidP="00110914">
      <w:pPr>
        <w:pStyle w:val="NormalHanging12a"/>
        <w:widowControl/>
      </w:pPr>
      <w:r w:rsidRPr="006C542E">
        <w:lastRenderedPageBreak/>
        <w:t>A.</w:t>
      </w:r>
      <w:r w:rsidRPr="006C542E">
        <w:tab/>
        <w:t xml:space="preserve">mivel az Európai Biztosítás- és </w:t>
      </w:r>
      <w:proofErr w:type="spellStart"/>
      <w:r w:rsidRPr="006C542E">
        <w:t>Foglalkoztatóinyugdíj</w:t>
      </w:r>
      <w:proofErr w:type="spellEnd"/>
      <w:r w:rsidRPr="006C542E">
        <w:t>-hatóság jelenlegi ügyvezető igazgatójának hivatali ideje 2026. március 31-én lejár;</w:t>
      </w:r>
    </w:p>
    <w:p w14:paraId="0244429C" w14:textId="77777777" w:rsidR="00C24781" w:rsidRPr="006C542E" w:rsidRDefault="00C24781" w:rsidP="00110914">
      <w:pPr>
        <w:pStyle w:val="NormalHanging12a"/>
        <w:widowControl/>
      </w:pPr>
      <w:r w:rsidRPr="006C542E">
        <w:t>B.</w:t>
      </w:r>
      <w:r w:rsidRPr="006C542E">
        <w:tab/>
        <w:t xml:space="preserve">mivel az Európai Biztosítás- és </w:t>
      </w:r>
      <w:proofErr w:type="spellStart"/>
      <w:r w:rsidRPr="006C542E">
        <w:t>Foglalkoztatóinyugdíj</w:t>
      </w:r>
      <w:proofErr w:type="spellEnd"/>
      <w:r w:rsidRPr="006C542E">
        <w:t xml:space="preserve">-hatóság felügyelőtanácsa 2025. október 23-án nyílt pályázati eljárást követően javasolta </w:t>
      </w:r>
      <w:proofErr w:type="spellStart"/>
      <w:r w:rsidRPr="006C542E">
        <w:t>Damian</w:t>
      </w:r>
      <w:proofErr w:type="spellEnd"/>
      <w:r w:rsidRPr="006C542E">
        <w:t xml:space="preserve"> </w:t>
      </w:r>
      <w:proofErr w:type="spellStart"/>
      <w:r w:rsidRPr="006C542E">
        <w:t>Jaworski</w:t>
      </w:r>
      <w:proofErr w:type="spellEnd"/>
      <w:r w:rsidRPr="006C542E">
        <w:t xml:space="preserve"> kinevezését ügyvezető igazgatónak ötéves hivatali időre, az 1094/2010/EU rendelet 51. cikkének (2) és (3) bekezdésével összhangban;</w:t>
      </w:r>
    </w:p>
    <w:p w14:paraId="0FBBFE91" w14:textId="77777777" w:rsidR="00C24781" w:rsidRPr="006C542E" w:rsidRDefault="00C24781" w:rsidP="00110914">
      <w:pPr>
        <w:pStyle w:val="NormalHanging12a"/>
        <w:widowControl/>
      </w:pPr>
      <w:r w:rsidRPr="006C542E">
        <w:t>C.</w:t>
      </w:r>
      <w:r w:rsidRPr="006C542E">
        <w:tab/>
        <w:t xml:space="preserve">mivel 2025. november 6-án a Gazdasági és Monetáris Bizottság meghallgatta </w:t>
      </w:r>
      <w:proofErr w:type="spellStart"/>
      <w:r w:rsidRPr="006C542E">
        <w:t>Damian</w:t>
      </w:r>
      <w:proofErr w:type="spellEnd"/>
      <w:r w:rsidRPr="006C542E">
        <w:t xml:space="preserve"> </w:t>
      </w:r>
      <w:proofErr w:type="spellStart"/>
      <w:r w:rsidRPr="006C542E">
        <w:t>Jaworskit</w:t>
      </w:r>
      <w:proofErr w:type="spellEnd"/>
      <w:r w:rsidRPr="006C542E">
        <w:t>, aki nyitóbeszédet mondott, majd válaszolt a bizottság tagjai által feltett kérdésekre;</w:t>
      </w:r>
    </w:p>
    <w:p w14:paraId="3A21B461" w14:textId="77777777" w:rsidR="00C24781" w:rsidRPr="006C542E" w:rsidRDefault="00C24781" w:rsidP="00110914">
      <w:pPr>
        <w:pStyle w:val="NormalHanging12a"/>
        <w:widowControl/>
      </w:pPr>
      <w:r w:rsidRPr="006C542E">
        <w:t>1.</w:t>
      </w:r>
      <w:r w:rsidRPr="006C542E">
        <w:tab/>
        <w:t xml:space="preserve">egyetért </w:t>
      </w:r>
      <w:proofErr w:type="spellStart"/>
      <w:r w:rsidRPr="006C542E">
        <w:t>Damian</w:t>
      </w:r>
      <w:proofErr w:type="spellEnd"/>
      <w:r w:rsidRPr="006C542E">
        <w:t xml:space="preserve"> </w:t>
      </w:r>
      <w:proofErr w:type="spellStart"/>
      <w:r w:rsidRPr="006C542E">
        <w:t>Jaworskinak</w:t>
      </w:r>
      <w:proofErr w:type="spellEnd"/>
      <w:r w:rsidRPr="006C542E">
        <w:t xml:space="preserve"> az Európai Biztosítás- és </w:t>
      </w:r>
      <w:proofErr w:type="spellStart"/>
      <w:r w:rsidRPr="006C542E">
        <w:t>Foglalkoztatóinyugdíj</w:t>
      </w:r>
      <w:proofErr w:type="spellEnd"/>
      <w:r w:rsidRPr="006C542E">
        <w:t>-hatóság ügyvezető igazgatójává történő kinevezésével;</w:t>
      </w:r>
    </w:p>
    <w:p w14:paraId="3A11C475" w14:textId="7C1779F8" w:rsidR="00E94EB4" w:rsidRPr="00E94EB4" w:rsidRDefault="00C24781" w:rsidP="00110914">
      <w:pPr>
        <w:pStyle w:val="NormalHanging12a"/>
        <w:widowControl/>
      </w:pPr>
      <w:r w:rsidRPr="006C542E">
        <w:t>2.</w:t>
      </w:r>
      <w:r w:rsidRPr="006C542E">
        <w:tab/>
        <w:t xml:space="preserve">utasítja elnökét, hogy továbbítsa ezt a határozatot a Tanácsnak, a Bizottságnak, az Európai Biztosítás- és </w:t>
      </w:r>
      <w:proofErr w:type="spellStart"/>
      <w:r w:rsidRPr="006C542E">
        <w:t>Foglalkoztatóinyugdíj</w:t>
      </w:r>
      <w:proofErr w:type="spellEnd"/>
      <w:r w:rsidRPr="006C542E">
        <w:t>-hatóságnak, valamint a tagállamok kormányainak.</w:t>
      </w:r>
    </w:p>
    <w:p w14:paraId="47B2BB98" w14:textId="64CD1512" w:rsidR="00E365E1" w:rsidRPr="00E94EB4" w:rsidRDefault="00E365E1" w:rsidP="00110914">
      <w:pPr>
        <w:widowControl/>
        <w:spacing w:after="240"/>
        <w:ind w:left="567" w:hanging="567"/>
      </w:pPr>
    </w:p>
    <w:sectPr w:rsidR="00E365E1" w:rsidRPr="00E94EB4" w:rsidSect="00E94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A728F" w14:textId="77777777" w:rsidR="00B4555D" w:rsidRPr="00E94EB4" w:rsidRDefault="00B4555D">
      <w:r w:rsidRPr="00E94EB4">
        <w:separator/>
      </w:r>
    </w:p>
  </w:endnote>
  <w:endnote w:type="continuationSeparator" w:id="0">
    <w:p w14:paraId="25ED4811" w14:textId="77777777" w:rsidR="00B4555D" w:rsidRPr="00E94EB4" w:rsidRDefault="00B4555D">
      <w:r w:rsidRPr="00E94E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3285C" w14:textId="77777777" w:rsidR="00064002" w:rsidRPr="00E94EB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A5192" w14:textId="77777777" w:rsidR="00064002" w:rsidRPr="00E94EB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C4A33" w14:textId="77777777" w:rsidR="00064002" w:rsidRPr="00E94EB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D5FDB" w14:textId="77777777" w:rsidR="00B4555D" w:rsidRPr="00E94EB4" w:rsidRDefault="00B4555D">
      <w:r w:rsidRPr="00E94EB4">
        <w:separator/>
      </w:r>
    </w:p>
  </w:footnote>
  <w:footnote w:type="continuationSeparator" w:id="0">
    <w:p w14:paraId="40F568FC" w14:textId="77777777" w:rsidR="00B4555D" w:rsidRPr="00E94EB4" w:rsidRDefault="00B4555D">
      <w:r w:rsidRPr="00E94EB4">
        <w:continuationSeparator/>
      </w:r>
    </w:p>
  </w:footnote>
  <w:footnote w:id="1">
    <w:p w14:paraId="09659806" w14:textId="662C7450" w:rsidR="00C5620D" w:rsidRPr="00E94EB4" w:rsidRDefault="00C5620D" w:rsidP="00C5620D">
      <w:pPr>
        <w:pStyle w:val="FootnoteText"/>
        <w:ind w:left="567" w:hanging="567"/>
        <w:rPr>
          <w:sz w:val="24"/>
          <w:lang w:val="hu-HU"/>
        </w:rPr>
      </w:pPr>
      <w:r w:rsidRPr="00E94EB4">
        <w:rPr>
          <w:rStyle w:val="FootnoteReference"/>
          <w:sz w:val="24"/>
          <w:lang w:val="hu-HU"/>
        </w:rPr>
        <w:footnoteRef/>
      </w:r>
      <w:r w:rsidRPr="00E94EB4">
        <w:rPr>
          <w:sz w:val="24"/>
          <w:lang w:val="hu-HU"/>
        </w:rPr>
        <w:t xml:space="preserve"> </w:t>
      </w:r>
      <w:r w:rsidRPr="00E94EB4">
        <w:rPr>
          <w:sz w:val="24"/>
          <w:lang w:val="hu-HU"/>
        </w:rPr>
        <w:tab/>
        <w:t>HL L 331., 2010.1</w:t>
      </w:r>
      <w:r w:rsidR="0077050E">
        <w:rPr>
          <w:sz w:val="24"/>
          <w:lang w:val="hu-HU"/>
        </w:rPr>
        <w:t>2</w:t>
      </w:r>
      <w:r w:rsidRPr="00E94EB4">
        <w:rPr>
          <w:sz w:val="24"/>
          <w:lang w:val="hu-HU"/>
        </w:rPr>
        <w:t xml:space="preserve">.15., 48. o., ELI: </w:t>
      </w:r>
      <w:hyperlink r:id="rId1" w:history="1">
        <w:r w:rsidRPr="00E94EB4">
          <w:rPr>
            <w:rStyle w:val="Hyperlink"/>
            <w:sz w:val="24"/>
            <w:lang w:val="hu-HU"/>
          </w:rPr>
          <w:t>http://data.europa.eu/eli/reg/2010/1094/oj</w:t>
        </w:r>
      </w:hyperlink>
      <w:r w:rsidRPr="00E94EB4">
        <w:rPr>
          <w:sz w:val="24"/>
          <w:lang w:val="hu-HU"/>
        </w:rPr>
        <w:t>.</w:t>
      </w:r>
    </w:p>
  </w:footnote>
  <w:footnote w:id="2">
    <w:p w14:paraId="1473701D" w14:textId="10E574D4" w:rsidR="00C24781" w:rsidRPr="00E94EB4" w:rsidRDefault="00C24781" w:rsidP="00E94EB4">
      <w:pPr>
        <w:pStyle w:val="FootnoteText"/>
        <w:ind w:left="567" w:hanging="567"/>
        <w:rPr>
          <w:sz w:val="24"/>
          <w:lang w:val="hu-HU"/>
        </w:rPr>
      </w:pPr>
      <w:r w:rsidRPr="00E94EB4">
        <w:rPr>
          <w:rStyle w:val="FootnoteReference"/>
          <w:sz w:val="24"/>
          <w:lang w:val="hu-HU"/>
        </w:rPr>
        <w:footnoteRef/>
      </w:r>
      <w:r w:rsidR="00E94EB4" w:rsidRPr="00E94EB4">
        <w:rPr>
          <w:sz w:val="24"/>
          <w:lang w:val="hu-HU"/>
        </w:rPr>
        <w:t xml:space="preserve"> </w:t>
      </w:r>
      <w:r w:rsidR="00E94EB4" w:rsidRPr="00E94EB4">
        <w:rPr>
          <w:sz w:val="24"/>
          <w:lang w:val="hu-HU"/>
        </w:rPr>
        <w:tab/>
      </w:r>
      <w:r w:rsidRPr="00E94EB4">
        <w:rPr>
          <w:sz w:val="24"/>
          <w:lang w:val="hu-HU"/>
        </w:rPr>
        <w:t>HL C 23., 2021.1.21., 105. o.</w:t>
      </w:r>
    </w:p>
  </w:footnote>
  <w:footnote w:id="3">
    <w:p w14:paraId="2BA0CCCC" w14:textId="4B92B78E" w:rsidR="00C24781" w:rsidRPr="00E94EB4" w:rsidRDefault="00C24781" w:rsidP="00E94EB4">
      <w:pPr>
        <w:pStyle w:val="FootnoteText"/>
        <w:ind w:left="567" w:hanging="567"/>
        <w:rPr>
          <w:sz w:val="24"/>
          <w:lang w:val="hu-HU"/>
        </w:rPr>
      </w:pPr>
      <w:r w:rsidRPr="00E94EB4">
        <w:rPr>
          <w:rStyle w:val="FootnoteReference"/>
          <w:sz w:val="24"/>
          <w:lang w:val="hu-HU"/>
        </w:rPr>
        <w:footnoteRef/>
      </w:r>
      <w:r w:rsidR="00E94EB4" w:rsidRPr="00E94EB4">
        <w:rPr>
          <w:sz w:val="24"/>
          <w:lang w:val="hu-HU"/>
        </w:rPr>
        <w:t xml:space="preserve"> </w:t>
      </w:r>
      <w:r w:rsidR="00E94EB4" w:rsidRPr="00E94EB4">
        <w:rPr>
          <w:sz w:val="24"/>
          <w:lang w:val="hu-HU"/>
        </w:rPr>
        <w:tab/>
      </w:r>
      <w:r w:rsidRPr="00E94EB4">
        <w:rPr>
          <w:sz w:val="24"/>
          <w:lang w:val="hu-HU"/>
        </w:rPr>
        <w:t>Elfogadott szövegek, P9_</w:t>
      </w:r>
      <w:proofErr w:type="gramStart"/>
      <w:r w:rsidRPr="00E94EB4">
        <w:rPr>
          <w:sz w:val="24"/>
          <w:lang w:val="hu-HU"/>
        </w:rPr>
        <w:t>TA(</w:t>
      </w:r>
      <w:proofErr w:type="gramEnd"/>
      <w:r w:rsidRPr="00E94EB4">
        <w:rPr>
          <w:sz w:val="24"/>
          <w:lang w:val="hu-HU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3CE42" w14:textId="77777777" w:rsidR="00064002" w:rsidRPr="00E94EB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FCAEA" w14:textId="77777777" w:rsidR="00064002" w:rsidRPr="00E94EB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64AB5" w14:textId="77777777" w:rsidR="00064002" w:rsidRPr="00E94EB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2791178">
    <w:abstractNumId w:val="9"/>
  </w:num>
  <w:num w:numId="2" w16cid:durableId="1150251054">
    <w:abstractNumId w:val="9"/>
  </w:num>
  <w:num w:numId="3" w16cid:durableId="118763640">
    <w:abstractNumId w:val="7"/>
  </w:num>
  <w:num w:numId="4" w16cid:durableId="460535580">
    <w:abstractNumId w:val="7"/>
  </w:num>
  <w:num w:numId="5" w16cid:durableId="2033067894">
    <w:abstractNumId w:val="6"/>
  </w:num>
  <w:num w:numId="6" w16cid:durableId="1063673407">
    <w:abstractNumId w:val="6"/>
  </w:num>
  <w:num w:numId="7" w16cid:durableId="233005318">
    <w:abstractNumId w:val="5"/>
  </w:num>
  <w:num w:numId="8" w16cid:durableId="209877940">
    <w:abstractNumId w:val="5"/>
  </w:num>
  <w:num w:numId="9" w16cid:durableId="238949085">
    <w:abstractNumId w:val="4"/>
  </w:num>
  <w:num w:numId="10" w16cid:durableId="1801417152">
    <w:abstractNumId w:val="4"/>
  </w:num>
  <w:num w:numId="11" w16cid:durableId="1008559089">
    <w:abstractNumId w:val="8"/>
  </w:num>
  <w:num w:numId="12" w16cid:durableId="877939463">
    <w:abstractNumId w:val="8"/>
  </w:num>
  <w:num w:numId="13" w16cid:durableId="494347399">
    <w:abstractNumId w:val="3"/>
  </w:num>
  <w:num w:numId="14" w16cid:durableId="1981423350">
    <w:abstractNumId w:val="3"/>
  </w:num>
  <w:num w:numId="15" w16cid:durableId="1771588664">
    <w:abstractNumId w:val="2"/>
  </w:num>
  <w:num w:numId="16" w16cid:durableId="1607688303">
    <w:abstractNumId w:val="2"/>
  </w:num>
  <w:num w:numId="17" w16cid:durableId="944920527">
    <w:abstractNumId w:val="1"/>
  </w:num>
  <w:num w:numId="18" w16cid:durableId="1338464586">
    <w:abstractNumId w:val="1"/>
  </w:num>
  <w:num w:numId="19" w16cid:durableId="1533956032">
    <w:abstractNumId w:val="0"/>
  </w:num>
  <w:num w:numId="20" w16cid:durableId="962805479">
    <w:abstractNumId w:val="0"/>
  </w:num>
  <w:num w:numId="21" w16cid:durableId="1133985371">
    <w:abstractNumId w:val="9"/>
  </w:num>
  <w:num w:numId="22" w16cid:durableId="2084063651">
    <w:abstractNumId w:val="7"/>
  </w:num>
  <w:num w:numId="23" w16cid:durableId="1497382600">
    <w:abstractNumId w:val="6"/>
  </w:num>
  <w:num w:numId="24" w16cid:durableId="1843661439">
    <w:abstractNumId w:val="5"/>
  </w:num>
  <w:num w:numId="25" w16cid:durableId="571819098">
    <w:abstractNumId w:val="4"/>
  </w:num>
  <w:num w:numId="26" w16cid:durableId="1683051234">
    <w:abstractNumId w:val="8"/>
  </w:num>
  <w:num w:numId="27" w16cid:durableId="1067924061">
    <w:abstractNumId w:val="3"/>
  </w:num>
  <w:num w:numId="28" w16cid:durableId="1738625297">
    <w:abstractNumId w:val="2"/>
  </w:num>
  <w:num w:numId="29" w16cid:durableId="414016757">
    <w:abstractNumId w:val="1"/>
  </w:num>
  <w:num w:numId="30" w16cid:durableId="1042706877">
    <w:abstractNumId w:val="0"/>
  </w:num>
  <w:num w:numId="31" w16cid:durableId="1730883051">
    <w:abstractNumId w:val="9"/>
  </w:num>
  <w:num w:numId="32" w16cid:durableId="1796218215">
    <w:abstractNumId w:val="7"/>
  </w:num>
  <w:num w:numId="33" w16cid:durableId="102111904">
    <w:abstractNumId w:val="6"/>
  </w:num>
  <w:num w:numId="34" w16cid:durableId="1087847507">
    <w:abstractNumId w:val="5"/>
  </w:num>
  <w:num w:numId="35" w16cid:durableId="877470358">
    <w:abstractNumId w:val="4"/>
  </w:num>
  <w:num w:numId="36" w16cid:durableId="116720192">
    <w:abstractNumId w:val="8"/>
  </w:num>
  <w:num w:numId="37" w16cid:durableId="1747653030">
    <w:abstractNumId w:val="3"/>
  </w:num>
  <w:num w:numId="38" w16cid:durableId="392241413">
    <w:abstractNumId w:val="2"/>
  </w:num>
  <w:num w:numId="39" w16cid:durableId="360277443">
    <w:abstractNumId w:val="1"/>
  </w:num>
  <w:num w:numId="40" w16cid:durableId="1647661936">
    <w:abstractNumId w:val="0"/>
  </w:num>
  <w:num w:numId="41" w16cid:durableId="1597782703">
    <w:abstractNumId w:val="10"/>
  </w:num>
  <w:num w:numId="42" w16cid:durableId="1910186671">
    <w:abstractNumId w:val="10"/>
  </w:num>
  <w:num w:numId="43" w16cid:durableId="972557674">
    <w:abstractNumId w:val="10"/>
  </w:num>
  <w:num w:numId="44" w16cid:durableId="19765222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HU"/>
    <w:docVar w:name="dvnumam" w:val="0"/>
    <w:docVar w:name="dvpe" w:val="779.515"/>
    <w:docVar w:name="dvrapporteur" w:val="Előadó: "/>
    <w:docVar w:name="dvtitre" w:val="Az Európai Parlament 2025.  ...-i határozata az Európai Biztosítás- és Foglalkoztatóinyugdíj-hatóság ügyvezető igazgatójának kinevezésére irányuló javaslatról(N10-0060/2025 – C10-0268/2025 – 2025/0904(NLE))"/>
  </w:docVars>
  <w:rsids>
    <w:rsidRoot w:val="00B4555D"/>
    <w:rsid w:val="00002272"/>
    <w:rsid w:val="00064002"/>
    <w:rsid w:val="000677B9"/>
    <w:rsid w:val="000831BA"/>
    <w:rsid w:val="000A42CC"/>
    <w:rsid w:val="000E7DD9"/>
    <w:rsid w:val="0010095E"/>
    <w:rsid w:val="00110914"/>
    <w:rsid w:val="00125B37"/>
    <w:rsid w:val="001722B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401"/>
    <w:rsid w:val="005F1B17"/>
    <w:rsid w:val="006037C0"/>
    <w:rsid w:val="006631B6"/>
    <w:rsid w:val="00680577"/>
    <w:rsid w:val="006C542E"/>
    <w:rsid w:val="006F74FA"/>
    <w:rsid w:val="00731ADD"/>
    <w:rsid w:val="00734777"/>
    <w:rsid w:val="00747932"/>
    <w:rsid w:val="00751A4A"/>
    <w:rsid w:val="00756632"/>
    <w:rsid w:val="00762C74"/>
    <w:rsid w:val="0077050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7B0"/>
    <w:rsid w:val="009509D8"/>
    <w:rsid w:val="00950B64"/>
    <w:rsid w:val="00981893"/>
    <w:rsid w:val="00A1687D"/>
    <w:rsid w:val="00A2021F"/>
    <w:rsid w:val="00A43E52"/>
    <w:rsid w:val="00A4678D"/>
    <w:rsid w:val="00A778C7"/>
    <w:rsid w:val="00AB08A1"/>
    <w:rsid w:val="00AB441E"/>
    <w:rsid w:val="00AB6293"/>
    <w:rsid w:val="00AE0928"/>
    <w:rsid w:val="00AF3B82"/>
    <w:rsid w:val="00B12E95"/>
    <w:rsid w:val="00B22876"/>
    <w:rsid w:val="00B4555D"/>
    <w:rsid w:val="00B558F0"/>
    <w:rsid w:val="00BD48FE"/>
    <w:rsid w:val="00BD7BD8"/>
    <w:rsid w:val="00BE6ADC"/>
    <w:rsid w:val="00C05BFE"/>
    <w:rsid w:val="00C23CD4"/>
    <w:rsid w:val="00C24781"/>
    <w:rsid w:val="00C5620D"/>
    <w:rsid w:val="00C61C0C"/>
    <w:rsid w:val="00C941CB"/>
    <w:rsid w:val="00CC2357"/>
    <w:rsid w:val="00CF071A"/>
    <w:rsid w:val="00D058B8"/>
    <w:rsid w:val="00D53FFF"/>
    <w:rsid w:val="00D56C11"/>
    <w:rsid w:val="00D834A0"/>
    <w:rsid w:val="00D872DF"/>
    <w:rsid w:val="00D91E21"/>
    <w:rsid w:val="00DA7FCD"/>
    <w:rsid w:val="00E365E1"/>
    <w:rsid w:val="00E820A4"/>
    <w:rsid w:val="00E94EB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AA42B"/>
  <w15:chartTrackingRefBased/>
  <w15:docId w15:val="{B90C4790-7BDF-4F39-8BED-2DAAE0AA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4781"/>
    <w:pPr>
      <w:spacing w:before="480" w:after="240"/>
    </w:pPr>
  </w:style>
  <w:style w:type="paragraph" w:customStyle="1" w:styleId="NormalBold">
    <w:name w:val="NormalBold"/>
    <w:basedOn w:val="Normal"/>
    <w:rsid w:val="00C24781"/>
    <w:rPr>
      <w:b/>
    </w:rPr>
  </w:style>
  <w:style w:type="paragraph" w:customStyle="1" w:styleId="NormalHanging12a">
    <w:name w:val="NormalHanging12a"/>
    <w:basedOn w:val="Normal"/>
    <w:rsid w:val="00C24781"/>
    <w:pPr>
      <w:spacing w:after="240"/>
      <w:ind w:left="567" w:hanging="567"/>
    </w:pPr>
  </w:style>
  <w:style w:type="character" w:styleId="Hyperlink">
    <w:name w:val="Hyperlink"/>
    <w:rsid w:val="00C24781"/>
    <w:rPr>
      <w:color w:val="0000FF"/>
      <w:u w:val="single"/>
    </w:rPr>
  </w:style>
  <w:style w:type="paragraph" w:customStyle="1" w:styleId="Normal12Hanging">
    <w:name w:val="Normal12Hanging"/>
    <w:basedOn w:val="Normal"/>
    <w:rsid w:val="00C2478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10914"/>
    <w:rPr>
      <w:sz w:val="24"/>
      <w:lang w:val="hu-HU"/>
    </w:rPr>
  </w:style>
  <w:style w:type="character" w:styleId="FollowedHyperlink">
    <w:name w:val="FollowedHyperlink"/>
    <w:basedOn w:val="DefaultParagraphFont"/>
    <w:rsid w:val="00C5620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2026-02-13T13:34:00Z</dcterms:created>
  <dcterms:modified xsi:type="dcterms:W3CDTF">2026-02-13T13:34:00Z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P10_TA(2025)0334_</vt:lpwstr>
  </property>
  <property fmtid="{D5CDD505-2E9C-101B-9397-08002B2CF9AE}" pid="4" name="&lt;Type&gt;">
    <vt:lpwstr>RR</vt:lpwstr>
  </property>
</Properties>
</file>