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1E59" w14:paraId="2263F8EB" w14:textId="77777777" w:rsidTr="0010095E">
        <w:trPr>
          <w:trHeight w:hRule="exact" w:val="1418"/>
        </w:trPr>
        <w:tc>
          <w:tcPr>
            <w:tcW w:w="6804" w:type="dxa"/>
            <w:shd w:val="clear" w:color="auto" w:fill="auto"/>
            <w:vAlign w:val="center"/>
          </w:tcPr>
          <w:p w14:paraId="05FA470F" w14:textId="77777777" w:rsidR="00751A4A" w:rsidRPr="00411E59" w:rsidRDefault="001E7782" w:rsidP="0010095E">
            <w:pPr>
              <w:pStyle w:val="EPName"/>
            </w:pPr>
            <w:r w:rsidRPr="00411E59">
              <w:t>Europos Parlamentas</w:t>
            </w:r>
          </w:p>
          <w:p w14:paraId="6D84B5D5" w14:textId="77777777" w:rsidR="00751A4A" w:rsidRPr="00411E59" w:rsidRDefault="005F1B17" w:rsidP="005F1B17">
            <w:pPr>
              <w:pStyle w:val="EPTerm"/>
              <w:rPr>
                <w:rStyle w:val="HideTWBExt"/>
                <w:noProof w:val="0"/>
                <w:vanish w:val="0"/>
                <w:color w:val="auto"/>
              </w:rPr>
            </w:pPr>
            <w:r w:rsidRPr="00411E59">
              <w:t>2024</w:t>
            </w:r>
            <w:r w:rsidR="00817416" w:rsidRPr="00411E59">
              <w:t>-202</w:t>
            </w:r>
            <w:r w:rsidRPr="00411E59">
              <w:t>9</w:t>
            </w:r>
          </w:p>
        </w:tc>
        <w:tc>
          <w:tcPr>
            <w:tcW w:w="2268" w:type="dxa"/>
            <w:shd w:val="clear" w:color="auto" w:fill="auto"/>
          </w:tcPr>
          <w:p w14:paraId="17408CBD" w14:textId="77777777" w:rsidR="00751A4A" w:rsidRPr="00411E59" w:rsidRDefault="00187494" w:rsidP="0010095E">
            <w:pPr>
              <w:pStyle w:val="EPLogo"/>
            </w:pPr>
            <w:r w:rsidRPr="00411E59">
              <w:rPr>
                <w:noProof/>
                <w:lang w:eastAsia="ja-JP"/>
              </w:rPr>
              <w:drawing>
                <wp:inline distT="0" distB="0" distL="0" distR="0" wp14:anchorId="716B885C" wp14:editId="455B35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510312" w14:textId="77777777" w:rsidR="00D058B8" w:rsidRPr="00411E59" w:rsidRDefault="00D058B8" w:rsidP="004C5D52">
      <w:pPr>
        <w:pStyle w:val="LineTop"/>
      </w:pPr>
    </w:p>
    <w:p w14:paraId="6EEFB01D" w14:textId="77777777" w:rsidR="00680577" w:rsidRPr="00411E59" w:rsidRDefault="001E7782" w:rsidP="00680577">
      <w:pPr>
        <w:pStyle w:val="EPBodyTA1"/>
      </w:pPr>
      <w:r w:rsidRPr="00411E59">
        <w:t>PRIIMTI TEKSTAI</w:t>
      </w:r>
    </w:p>
    <w:p w14:paraId="7C443BFF" w14:textId="77777777" w:rsidR="00D058B8" w:rsidRPr="00411E59" w:rsidRDefault="00D058B8" w:rsidP="00D058B8">
      <w:pPr>
        <w:pStyle w:val="LineBottom"/>
      </w:pPr>
    </w:p>
    <w:p w14:paraId="60BEA264" w14:textId="1072A8D9" w:rsidR="001E7782" w:rsidRPr="00411E59" w:rsidRDefault="001E7782" w:rsidP="001E7782">
      <w:pPr>
        <w:pStyle w:val="ATHeading1"/>
      </w:pPr>
      <w:bookmarkStart w:id="0" w:name="TANumber"/>
      <w:r w:rsidRPr="00411E59">
        <w:t>P10_TA(2025)0</w:t>
      </w:r>
      <w:r w:rsidR="00A26ED6">
        <w:t>334</w:t>
      </w:r>
      <w:bookmarkEnd w:id="0"/>
    </w:p>
    <w:p w14:paraId="0C68C0CE" w14:textId="77777777" w:rsidR="001E7782" w:rsidRPr="00411E59" w:rsidRDefault="001E7782" w:rsidP="001E7782">
      <w:pPr>
        <w:pStyle w:val="ATHeading2"/>
      </w:pPr>
      <w:bookmarkStart w:id="1" w:name="title"/>
      <w:r w:rsidRPr="00411E59">
        <w:t>Europos draudimo ir profesinių pensijų institucijos (EIOPA) vykdomojo direktoriaus skyrimas</w:t>
      </w:r>
      <w:bookmarkEnd w:id="1"/>
    </w:p>
    <w:p w14:paraId="29B95696" w14:textId="77777777" w:rsidR="001E7782" w:rsidRPr="00411E59" w:rsidRDefault="001E7782" w:rsidP="001E7782">
      <w:pPr>
        <w:rPr>
          <w:i/>
          <w:vanish/>
        </w:rPr>
      </w:pPr>
      <w:r w:rsidRPr="00411E59">
        <w:rPr>
          <w:i/>
        </w:rPr>
        <w:fldChar w:fldCharType="begin"/>
      </w:r>
      <w:r w:rsidRPr="00411E59">
        <w:rPr>
          <w:i/>
        </w:rPr>
        <w:instrText xml:space="preserve"> TC"(</w:instrText>
      </w:r>
      <w:bookmarkStart w:id="2" w:name="DocNumber"/>
      <w:r w:rsidRPr="00411E59">
        <w:rPr>
          <w:i/>
        </w:rPr>
        <w:instrText>A10-0247/2025</w:instrText>
      </w:r>
      <w:bookmarkEnd w:id="2"/>
      <w:r w:rsidRPr="00411E59">
        <w:rPr>
          <w:i/>
        </w:rPr>
        <w:instrText xml:space="preserve"> - Pranešėja: Aurore Lalucq)"\l3 \n&gt; \* MERGEFORMAT </w:instrText>
      </w:r>
      <w:r w:rsidRPr="00411E59">
        <w:rPr>
          <w:i/>
        </w:rPr>
        <w:fldChar w:fldCharType="end"/>
      </w:r>
    </w:p>
    <w:p w14:paraId="463B715D" w14:textId="77777777" w:rsidR="001E7782" w:rsidRPr="00411E59" w:rsidRDefault="001E7782" w:rsidP="001E7782">
      <w:pPr>
        <w:rPr>
          <w:vanish/>
        </w:rPr>
      </w:pPr>
      <w:bookmarkStart w:id="3" w:name="Commission"/>
      <w:r w:rsidRPr="00411E59">
        <w:rPr>
          <w:vanish/>
        </w:rPr>
        <w:t>Ekonomikos ir pinigų politikos komitetas</w:t>
      </w:r>
      <w:bookmarkEnd w:id="3"/>
    </w:p>
    <w:p w14:paraId="7178D174" w14:textId="77777777" w:rsidR="001E7782" w:rsidRPr="00411E59" w:rsidRDefault="001E7782" w:rsidP="001E7782">
      <w:pPr>
        <w:rPr>
          <w:vanish/>
        </w:rPr>
      </w:pPr>
      <w:bookmarkStart w:id="4" w:name="PE"/>
      <w:r w:rsidRPr="00411E59">
        <w:rPr>
          <w:vanish/>
        </w:rPr>
        <w:t>PE779.515</w:t>
      </w:r>
      <w:bookmarkEnd w:id="4"/>
    </w:p>
    <w:p w14:paraId="430832B8" w14:textId="16EA9D48" w:rsidR="001E7782" w:rsidRPr="00411E59" w:rsidRDefault="001E7782" w:rsidP="001E7782">
      <w:pPr>
        <w:pStyle w:val="ATHeading3"/>
      </w:pPr>
      <w:bookmarkStart w:id="5" w:name="Sujet"/>
      <w:r w:rsidRPr="00411E59">
        <w:t xml:space="preserve">2025 m. </w:t>
      </w:r>
      <w:r w:rsidR="00BF34B0" w:rsidRPr="00411E59">
        <w:t>gruodžio</w:t>
      </w:r>
      <w:r w:rsidRPr="00411E59">
        <w:t xml:space="preserve"> 17 d. Europos Parlamento </w:t>
      </w:r>
      <w:r w:rsidR="00BF34B0">
        <w:t>sprendimas</w:t>
      </w:r>
      <w:r w:rsidRPr="00411E59">
        <w:t xml:space="preserve"> dėl pasiūlymo dėl Europos draudimo ir profesinių pensijų institucijos vykdomojo direktoriaus skyrimo</w:t>
      </w:r>
      <w:bookmarkEnd w:id="5"/>
      <w:r w:rsidRPr="00411E59">
        <w:t xml:space="preserve"> </w:t>
      </w:r>
      <w:bookmarkStart w:id="6" w:name="References"/>
      <w:r w:rsidRPr="00411E59">
        <w:t>(N10-0060/2025 – C10-0268/2025 – 2025/0904(NLE))</w:t>
      </w:r>
      <w:bookmarkEnd w:id="6"/>
    </w:p>
    <w:p w14:paraId="2DB53350" w14:textId="77777777" w:rsidR="00B87A26" w:rsidRPr="00411E59" w:rsidRDefault="00B87A26" w:rsidP="00B87A26">
      <w:pPr>
        <w:pStyle w:val="NormalBold"/>
      </w:pPr>
      <w:r w:rsidRPr="00411E59">
        <w:t>(Pritarimo procedūra)</w:t>
      </w:r>
    </w:p>
    <w:p w14:paraId="1B7E48ED" w14:textId="77777777" w:rsidR="00B87A26" w:rsidRPr="00411E59" w:rsidRDefault="00B87A26" w:rsidP="00B87A26">
      <w:pPr>
        <w:pStyle w:val="EPComma"/>
      </w:pPr>
      <w:r w:rsidRPr="00411E59">
        <w:rPr>
          <w:i/>
        </w:rPr>
        <w:t>Europos Parlamentas</w:t>
      </w:r>
      <w:r w:rsidRPr="00411E59">
        <w:t>,</w:t>
      </w:r>
    </w:p>
    <w:p w14:paraId="56C05CCD" w14:textId="77777777" w:rsidR="00B87A26" w:rsidRPr="00411E59" w:rsidRDefault="00B87A26" w:rsidP="00B87A26">
      <w:pPr>
        <w:pStyle w:val="NormalHanging12a"/>
      </w:pPr>
      <w:r w:rsidRPr="00411E59">
        <w:t>–</w:t>
      </w:r>
      <w:r w:rsidRPr="00411E59">
        <w:tab/>
        <w:t>atsižvelgdamas į Europos draudimo ir profesinių pensijų institucijos Priežiūros tarybos 2025 m. spalio 23 d. pasiūlymą (C10</w:t>
      </w:r>
      <w:r w:rsidRPr="00411E59">
        <w:noBreakHyphen/>
        <w:t>0268/2025),</w:t>
      </w:r>
    </w:p>
    <w:p w14:paraId="2CB500DC" w14:textId="77777777" w:rsidR="00B87A26" w:rsidRPr="00411E59" w:rsidRDefault="00B87A26" w:rsidP="00B87A26">
      <w:pPr>
        <w:pStyle w:val="NormalHanging12a"/>
      </w:pPr>
      <w:r w:rsidRPr="00411E59">
        <w:t>–</w:t>
      </w:r>
      <w:r w:rsidRPr="00411E59">
        <w:tab/>
        <w:t>atsižvelgdamas į 2010 m. lapkričio 24 d. Europos Parlamento ir Tarybos reglamento (ES) Nr. 1094/2010, kuriuo įsteigiama Europos priežiūros institucija (Europos draudimo ir profesinių pensijų institucija), iš dalies keičiamas Sprendimas Nr. 716/2009/EB ir panaikinamas Komisijos sprendimas 2009/79/EB</w:t>
      </w:r>
      <w:r w:rsidRPr="00411E59">
        <w:rPr>
          <w:rStyle w:val="FootnoteReference"/>
        </w:rPr>
        <w:footnoteReference w:id="1"/>
      </w:r>
      <w:r w:rsidRPr="00411E59">
        <w:t>, 51 straipsnio 2 ir 3 dalis,</w:t>
      </w:r>
    </w:p>
    <w:p w14:paraId="36EED057" w14:textId="77777777" w:rsidR="00B87A26" w:rsidRPr="00411E59" w:rsidRDefault="00B87A26" w:rsidP="00B87A26">
      <w:pPr>
        <w:pStyle w:val="Normal12Hanging"/>
      </w:pPr>
      <w:r w:rsidRPr="00411E59">
        <w:t>–</w:t>
      </w:r>
      <w:r w:rsidRPr="00411E59">
        <w:tab/>
        <w:t>atsižvelgdamas į savo 2019 m. kovo 14 d. rezoliuciją dėl lyčių pusiausvyros skiriant į ES ekonomikos ir pinigų politikos srities pareigybes</w:t>
      </w:r>
      <w:r w:rsidRPr="00411E59">
        <w:rPr>
          <w:rStyle w:val="FootnoteReference"/>
        </w:rPr>
        <w:footnoteReference w:id="2"/>
      </w:r>
      <w:r w:rsidRPr="00411E59">
        <w:t>,</w:t>
      </w:r>
    </w:p>
    <w:p w14:paraId="02BB59F9" w14:textId="77777777" w:rsidR="00B87A26" w:rsidRPr="00411E59" w:rsidRDefault="00B87A26" w:rsidP="00B87A26">
      <w:pPr>
        <w:pStyle w:val="Normal12Hanging"/>
      </w:pPr>
      <w:r w:rsidRPr="00411E59">
        <w:t>–</w:t>
      </w:r>
      <w:r w:rsidRPr="00411E59">
        <w:tab/>
        <w:t>atsižvelgdamas į savo 2020 m. sausio 16 d. rezoliuciją „Ekonominės ir pinigų sąjungos institucijos ir įstaigos: interesų konfliktų, pasibaigus darbiniams santykiams viešajame sektoriuje, prevencija“</w:t>
      </w:r>
      <w:r w:rsidRPr="00411E59">
        <w:rPr>
          <w:rStyle w:val="FootnoteReference"/>
        </w:rPr>
        <w:footnoteReference w:id="3"/>
      </w:r>
      <w:r w:rsidRPr="00411E59">
        <w:t>,</w:t>
      </w:r>
    </w:p>
    <w:p w14:paraId="68775A0E" w14:textId="77777777" w:rsidR="00B87A26" w:rsidRPr="00411E59" w:rsidRDefault="00B87A26" w:rsidP="00B87A26">
      <w:pPr>
        <w:pStyle w:val="NormalHanging12a"/>
      </w:pPr>
      <w:r w:rsidRPr="00411E59">
        <w:t>–</w:t>
      </w:r>
      <w:r w:rsidRPr="00411E59">
        <w:tab/>
        <w:t>atsižvelgdamas į Darbo tvarkos taisyklių 135 straipsnį,</w:t>
      </w:r>
    </w:p>
    <w:p w14:paraId="45C6B88F" w14:textId="77777777" w:rsidR="00B87A26" w:rsidRPr="00411E59" w:rsidRDefault="00B87A26" w:rsidP="00B87A26">
      <w:pPr>
        <w:pStyle w:val="NormalHanging12a"/>
      </w:pPr>
      <w:r w:rsidRPr="00411E59">
        <w:t>–</w:t>
      </w:r>
      <w:r w:rsidRPr="00411E59">
        <w:tab/>
        <w:t>atsižvelgdamas į Ekonomikos ir pinigų politikos komiteto pranešimą (A10-0247/2025),</w:t>
      </w:r>
    </w:p>
    <w:p w14:paraId="73A31EE3" w14:textId="77777777" w:rsidR="00B87A26" w:rsidRPr="00411E59" w:rsidRDefault="00B87A26" w:rsidP="00B87A26">
      <w:pPr>
        <w:pStyle w:val="NormalHanging12a"/>
      </w:pPr>
      <w:r w:rsidRPr="00411E59">
        <w:t>A.</w:t>
      </w:r>
      <w:r w:rsidRPr="00411E59">
        <w:tab/>
        <w:t>kadangi dabartinio Europos draudimo ir profesinių pensijų institucijos vykdomojo direktoriaus kadencija baigiasi 2026 m. kovo 31 d.;</w:t>
      </w:r>
    </w:p>
    <w:p w14:paraId="53E4DB9B" w14:textId="77777777" w:rsidR="00B87A26" w:rsidRPr="00411E59" w:rsidRDefault="00B87A26" w:rsidP="00B87A26">
      <w:pPr>
        <w:pStyle w:val="NormalHanging12a"/>
      </w:pPr>
      <w:r w:rsidRPr="00411E59">
        <w:lastRenderedPageBreak/>
        <w:t>B.</w:t>
      </w:r>
      <w:r w:rsidRPr="00411E59">
        <w:tab/>
        <w:t>kadangi 2025 m. spalio 23 d. Europos draudimo ir profesinių pensijų institucijos Priežiūros taryba, surengusi atvirą atrankos procedūrą, pasiūlė vykdomuoju direktoriumi penkerių metų kadencijai skirti Damianą Jaworski, vadovaujantis Reglamento (ES) Nr. 1094/2010 51 straipsnio 2 ir 3 dalimis;</w:t>
      </w:r>
    </w:p>
    <w:p w14:paraId="0DC9ADF1" w14:textId="77777777" w:rsidR="00B87A26" w:rsidRPr="00411E59" w:rsidRDefault="00B87A26" w:rsidP="00B87A26">
      <w:pPr>
        <w:pStyle w:val="NormalHanging12a"/>
      </w:pPr>
      <w:r w:rsidRPr="00411E59">
        <w:t>C.</w:t>
      </w:r>
      <w:r w:rsidRPr="00411E59">
        <w:tab/>
        <w:t>kadangi 2025 m. lapkričio 6 d. Ekonomikos ir pinigų politikos komitetas surengė klausymą su Damianu Jaworski, per kurį jis pasakė įžanginę kalbą ir po to atsakė į komiteto narių pateiktus klausimus;</w:t>
      </w:r>
    </w:p>
    <w:p w14:paraId="0D22A7DB" w14:textId="77777777" w:rsidR="00B87A26" w:rsidRPr="00411E59" w:rsidRDefault="00B87A26" w:rsidP="00B87A26">
      <w:pPr>
        <w:pStyle w:val="NormalHanging12a"/>
      </w:pPr>
      <w:r w:rsidRPr="00411E59">
        <w:t>1.</w:t>
      </w:r>
      <w:r w:rsidRPr="00411E59">
        <w:tab/>
        <w:t>pritaria Damiano Jaworski skyrimui Europos draudimo ir profesinių pensijų institucijos vykdomuoju direktoriumi;</w:t>
      </w:r>
    </w:p>
    <w:p w14:paraId="058E43F8" w14:textId="6A9481CB" w:rsidR="00411E59" w:rsidRPr="00411E59" w:rsidRDefault="00B87A26" w:rsidP="00411E59">
      <w:pPr>
        <w:pStyle w:val="NormalHanging12a"/>
      </w:pPr>
      <w:r w:rsidRPr="00411E59">
        <w:t>2.</w:t>
      </w:r>
      <w:r w:rsidRPr="00411E59">
        <w:tab/>
        <w:t>paveda Pirmininkei perduoti šį sprendimą Tarybai, Komisijai, Europos draudimo ir profesinių pensijų institucijai ir valstybių narių vyriausybėms.</w:t>
      </w:r>
    </w:p>
    <w:p w14:paraId="2B4244C1" w14:textId="3499A7EA" w:rsidR="00E365E1" w:rsidRPr="00411E59" w:rsidRDefault="00E365E1" w:rsidP="001E7782"/>
    <w:sectPr w:rsidR="00E365E1" w:rsidRPr="00411E59" w:rsidSect="00411E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6ACCF" w14:textId="77777777" w:rsidR="001E7782" w:rsidRPr="00411E59" w:rsidRDefault="001E7782">
      <w:r w:rsidRPr="00411E59">
        <w:separator/>
      </w:r>
    </w:p>
  </w:endnote>
  <w:endnote w:type="continuationSeparator" w:id="0">
    <w:p w14:paraId="5D462123" w14:textId="77777777" w:rsidR="001E7782" w:rsidRPr="00411E59" w:rsidRDefault="001E7782">
      <w:r w:rsidRPr="00411E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185B2" w14:textId="77777777" w:rsidR="00064002" w:rsidRPr="00411E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23721" w14:textId="77777777" w:rsidR="00064002" w:rsidRPr="00411E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561D7" w14:textId="77777777" w:rsidR="00064002" w:rsidRPr="00411E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88107" w14:textId="77777777" w:rsidR="001E7782" w:rsidRPr="00411E59" w:rsidRDefault="001E7782">
      <w:r w:rsidRPr="00411E59">
        <w:separator/>
      </w:r>
    </w:p>
  </w:footnote>
  <w:footnote w:type="continuationSeparator" w:id="0">
    <w:p w14:paraId="787C4DED" w14:textId="77777777" w:rsidR="001E7782" w:rsidRPr="00411E59" w:rsidRDefault="001E7782">
      <w:r w:rsidRPr="00411E59">
        <w:continuationSeparator/>
      </w:r>
    </w:p>
  </w:footnote>
  <w:footnote w:id="1">
    <w:p w14:paraId="783189B5" w14:textId="3559D798" w:rsidR="00B87A26" w:rsidRPr="00411E59" w:rsidRDefault="00B87A26" w:rsidP="00411E59">
      <w:pPr>
        <w:pStyle w:val="FootnoteText"/>
        <w:ind w:left="567" w:hanging="567"/>
        <w:rPr>
          <w:sz w:val="24"/>
          <w:lang w:val="lt-LT"/>
        </w:rPr>
      </w:pPr>
      <w:r w:rsidRPr="00411E59">
        <w:rPr>
          <w:rStyle w:val="FootnoteReference"/>
          <w:sz w:val="24"/>
          <w:lang w:val="lt-LT"/>
        </w:rPr>
        <w:footnoteRef/>
      </w:r>
      <w:r w:rsidR="00411E59" w:rsidRPr="00411E59">
        <w:rPr>
          <w:sz w:val="24"/>
          <w:lang w:val="lt-LT"/>
        </w:rPr>
        <w:t xml:space="preserve"> </w:t>
      </w:r>
      <w:r w:rsidR="00411E59" w:rsidRPr="00411E59">
        <w:rPr>
          <w:sz w:val="24"/>
          <w:lang w:val="lt-LT"/>
        </w:rPr>
        <w:tab/>
      </w:r>
      <w:r w:rsidRPr="00411E59">
        <w:rPr>
          <w:sz w:val="24"/>
          <w:lang w:val="lt-LT"/>
        </w:rPr>
        <w:t xml:space="preserve">OL L 331, 2010 12 15, p. 48, ELI: </w:t>
      </w:r>
      <w:hyperlink r:id="rId1" w:history="1">
        <w:r w:rsidRPr="00411E59">
          <w:rPr>
            <w:rStyle w:val="Hyperlink"/>
            <w:sz w:val="24"/>
            <w:lang w:val="lt-LT"/>
          </w:rPr>
          <w:t>http://data.europa.eu/eli/reg/2010/1094/oj</w:t>
        </w:r>
      </w:hyperlink>
      <w:r w:rsidRPr="00411E59">
        <w:rPr>
          <w:sz w:val="24"/>
          <w:lang w:val="lt-LT"/>
        </w:rPr>
        <w:t>.</w:t>
      </w:r>
    </w:p>
  </w:footnote>
  <w:footnote w:id="2">
    <w:p w14:paraId="1F7CED33" w14:textId="5DD5A388" w:rsidR="00B87A26" w:rsidRPr="00411E59" w:rsidRDefault="00B87A26" w:rsidP="00411E59">
      <w:pPr>
        <w:pStyle w:val="FootnoteText"/>
        <w:ind w:left="567" w:hanging="567"/>
        <w:rPr>
          <w:sz w:val="24"/>
          <w:lang w:val="lt-LT"/>
        </w:rPr>
      </w:pPr>
      <w:r w:rsidRPr="00411E59">
        <w:rPr>
          <w:rStyle w:val="FootnoteReference"/>
          <w:sz w:val="24"/>
          <w:lang w:val="lt-LT"/>
        </w:rPr>
        <w:footnoteRef/>
      </w:r>
      <w:r w:rsidR="00411E59" w:rsidRPr="00411E59">
        <w:rPr>
          <w:sz w:val="24"/>
          <w:lang w:val="lt-LT"/>
        </w:rPr>
        <w:t xml:space="preserve"> </w:t>
      </w:r>
      <w:r w:rsidR="00411E59" w:rsidRPr="00411E59">
        <w:rPr>
          <w:sz w:val="24"/>
          <w:lang w:val="lt-LT"/>
        </w:rPr>
        <w:tab/>
      </w:r>
      <w:r w:rsidRPr="00411E59">
        <w:rPr>
          <w:sz w:val="24"/>
          <w:lang w:val="lt-LT"/>
        </w:rPr>
        <w:t>OL C 23, 2021 1 21, p. 105.</w:t>
      </w:r>
    </w:p>
  </w:footnote>
  <w:footnote w:id="3">
    <w:p w14:paraId="16A48E87" w14:textId="676093AB" w:rsidR="00B87A26" w:rsidRPr="00411E59" w:rsidRDefault="00B87A26" w:rsidP="00411E59">
      <w:pPr>
        <w:pStyle w:val="FootnoteText"/>
        <w:ind w:left="567" w:hanging="567"/>
        <w:rPr>
          <w:sz w:val="24"/>
          <w:lang w:val="lt-LT"/>
        </w:rPr>
      </w:pPr>
      <w:r w:rsidRPr="00411E59">
        <w:rPr>
          <w:rStyle w:val="FootnoteReference"/>
          <w:sz w:val="24"/>
          <w:lang w:val="lt-LT"/>
        </w:rPr>
        <w:footnoteRef/>
      </w:r>
      <w:r w:rsidR="00411E59" w:rsidRPr="00411E59">
        <w:rPr>
          <w:sz w:val="24"/>
          <w:lang w:val="lt-LT"/>
        </w:rPr>
        <w:t xml:space="preserve"> </w:t>
      </w:r>
      <w:r w:rsidR="00411E59" w:rsidRPr="00411E59">
        <w:rPr>
          <w:sz w:val="24"/>
          <w:lang w:val="lt-LT"/>
        </w:rPr>
        <w:tab/>
      </w:r>
      <w:r w:rsidRPr="00411E59">
        <w:rPr>
          <w:sz w:val="24"/>
          <w:lang w:val="lt-LT"/>
        </w:rPr>
        <w:t>Priimti tekstai,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453AA" w14:textId="77777777" w:rsidR="00064002" w:rsidRPr="00411E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C91B8" w14:textId="77777777" w:rsidR="00064002" w:rsidRPr="00411E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2E768" w14:textId="77777777" w:rsidR="00064002" w:rsidRPr="00411E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7730562">
    <w:abstractNumId w:val="9"/>
  </w:num>
  <w:num w:numId="2" w16cid:durableId="128717890">
    <w:abstractNumId w:val="9"/>
  </w:num>
  <w:num w:numId="3" w16cid:durableId="1652326091">
    <w:abstractNumId w:val="7"/>
  </w:num>
  <w:num w:numId="4" w16cid:durableId="1562985514">
    <w:abstractNumId w:val="7"/>
  </w:num>
  <w:num w:numId="5" w16cid:durableId="593126963">
    <w:abstractNumId w:val="6"/>
  </w:num>
  <w:num w:numId="6" w16cid:durableId="1349453385">
    <w:abstractNumId w:val="6"/>
  </w:num>
  <w:num w:numId="7" w16cid:durableId="1574583519">
    <w:abstractNumId w:val="5"/>
  </w:num>
  <w:num w:numId="8" w16cid:durableId="278024570">
    <w:abstractNumId w:val="5"/>
  </w:num>
  <w:num w:numId="9" w16cid:durableId="992680784">
    <w:abstractNumId w:val="4"/>
  </w:num>
  <w:num w:numId="10" w16cid:durableId="446898018">
    <w:abstractNumId w:val="4"/>
  </w:num>
  <w:num w:numId="11" w16cid:durableId="1711877945">
    <w:abstractNumId w:val="8"/>
  </w:num>
  <w:num w:numId="12" w16cid:durableId="1727876858">
    <w:abstractNumId w:val="8"/>
  </w:num>
  <w:num w:numId="13" w16cid:durableId="1083061943">
    <w:abstractNumId w:val="3"/>
  </w:num>
  <w:num w:numId="14" w16cid:durableId="609508394">
    <w:abstractNumId w:val="3"/>
  </w:num>
  <w:num w:numId="15" w16cid:durableId="512303167">
    <w:abstractNumId w:val="2"/>
  </w:num>
  <w:num w:numId="16" w16cid:durableId="317154122">
    <w:abstractNumId w:val="2"/>
  </w:num>
  <w:num w:numId="17" w16cid:durableId="680083149">
    <w:abstractNumId w:val="1"/>
  </w:num>
  <w:num w:numId="18" w16cid:durableId="1373268430">
    <w:abstractNumId w:val="1"/>
  </w:num>
  <w:num w:numId="19" w16cid:durableId="994916190">
    <w:abstractNumId w:val="0"/>
  </w:num>
  <w:num w:numId="20" w16cid:durableId="1926960946">
    <w:abstractNumId w:val="0"/>
  </w:num>
  <w:num w:numId="21" w16cid:durableId="778255160">
    <w:abstractNumId w:val="9"/>
  </w:num>
  <w:num w:numId="22" w16cid:durableId="105392640">
    <w:abstractNumId w:val="7"/>
  </w:num>
  <w:num w:numId="23" w16cid:durableId="221215203">
    <w:abstractNumId w:val="6"/>
  </w:num>
  <w:num w:numId="24" w16cid:durableId="341250354">
    <w:abstractNumId w:val="5"/>
  </w:num>
  <w:num w:numId="25" w16cid:durableId="585649863">
    <w:abstractNumId w:val="4"/>
  </w:num>
  <w:num w:numId="26" w16cid:durableId="1983073249">
    <w:abstractNumId w:val="8"/>
  </w:num>
  <w:num w:numId="27" w16cid:durableId="786703177">
    <w:abstractNumId w:val="3"/>
  </w:num>
  <w:num w:numId="28" w16cid:durableId="1202789588">
    <w:abstractNumId w:val="2"/>
  </w:num>
  <w:num w:numId="29" w16cid:durableId="797526400">
    <w:abstractNumId w:val="1"/>
  </w:num>
  <w:num w:numId="30" w16cid:durableId="1795711081">
    <w:abstractNumId w:val="0"/>
  </w:num>
  <w:num w:numId="31" w16cid:durableId="407965570">
    <w:abstractNumId w:val="9"/>
  </w:num>
  <w:num w:numId="32" w16cid:durableId="809246306">
    <w:abstractNumId w:val="7"/>
  </w:num>
  <w:num w:numId="33" w16cid:durableId="984772469">
    <w:abstractNumId w:val="6"/>
  </w:num>
  <w:num w:numId="34" w16cid:durableId="1047947240">
    <w:abstractNumId w:val="5"/>
  </w:num>
  <w:num w:numId="35" w16cid:durableId="1213611166">
    <w:abstractNumId w:val="4"/>
  </w:num>
  <w:num w:numId="36" w16cid:durableId="2002612401">
    <w:abstractNumId w:val="8"/>
  </w:num>
  <w:num w:numId="37" w16cid:durableId="1865708941">
    <w:abstractNumId w:val="3"/>
  </w:num>
  <w:num w:numId="38" w16cid:durableId="208302216">
    <w:abstractNumId w:val="2"/>
  </w:num>
  <w:num w:numId="39" w16cid:durableId="400980562">
    <w:abstractNumId w:val="1"/>
  </w:num>
  <w:num w:numId="40" w16cid:durableId="741296348">
    <w:abstractNumId w:val="0"/>
  </w:num>
  <w:num w:numId="41" w16cid:durableId="2030525713">
    <w:abstractNumId w:val="10"/>
  </w:num>
  <w:num w:numId="42" w16cid:durableId="1664973036">
    <w:abstractNumId w:val="10"/>
  </w:num>
  <w:num w:numId="43" w16cid:durableId="670986457">
    <w:abstractNumId w:val="10"/>
  </w:num>
  <w:num w:numId="44" w16cid:durableId="15755538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7/2025"/>
    <w:docVar w:name="dvlangue" w:val="LT"/>
    <w:docVar w:name="dvnumam" w:val="0"/>
    <w:docVar w:name="dvpe" w:val="779.515"/>
    <w:docVar w:name="dvrapporteur" w:val="Pranešėja: "/>
    <w:docVar w:name="dvtitre" w:val="2025 m. gruodzio 17 d. Europos Parlamento teisėkūros rezoliucija dėl pasiūlymo dėl Europos draudimo ir profesinių pensijų institucijos vykdomojo direktoriaus skyrimo(N10-0060/2025 – C10-0268/2025 – 2025/0904(NLE))"/>
  </w:docVars>
  <w:rsids>
    <w:rsidRoot w:val="001E7782"/>
    <w:rsid w:val="00002272"/>
    <w:rsid w:val="00064002"/>
    <w:rsid w:val="000677B9"/>
    <w:rsid w:val="000831BA"/>
    <w:rsid w:val="000A42CC"/>
    <w:rsid w:val="000E7DD9"/>
    <w:rsid w:val="0010095E"/>
    <w:rsid w:val="00125B37"/>
    <w:rsid w:val="00187494"/>
    <w:rsid w:val="001E7782"/>
    <w:rsid w:val="001F32AE"/>
    <w:rsid w:val="002767FF"/>
    <w:rsid w:val="002B18FE"/>
    <w:rsid w:val="002B5493"/>
    <w:rsid w:val="00343214"/>
    <w:rsid w:val="00361C00"/>
    <w:rsid w:val="00395FA1"/>
    <w:rsid w:val="003E15D4"/>
    <w:rsid w:val="00411CCE"/>
    <w:rsid w:val="00411E59"/>
    <w:rsid w:val="0041666E"/>
    <w:rsid w:val="00421060"/>
    <w:rsid w:val="00454496"/>
    <w:rsid w:val="00471C19"/>
    <w:rsid w:val="004867E3"/>
    <w:rsid w:val="00494A28"/>
    <w:rsid w:val="004C0004"/>
    <w:rsid w:val="004C5D52"/>
    <w:rsid w:val="0050519A"/>
    <w:rsid w:val="005072A1"/>
    <w:rsid w:val="00514517"/>
    <w:rsid w:val="00545827"/>
    <w:rsid w:val="00560270"/>
    <w:rsid w:val="005C2568"/>
    <w:rsid w:val="005C6E6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ED6"/>
    <w:rsid w:val="00A43E52"/>
    <w:rsid w:val="00A4678D"/>
    <w:rsid w:val="00A778C7"/>
    <w:rsid w:val="00AB441E"/>
    <w:rsid w:val="00AB6293"/>
    <w:rsid w:val="00AE0928"/>
    <w:rsid w:val="00AF3B82"/>
    <w:rsid w:val="00B12E95"/>
    <w:rsid w:val="00B22876"/>
    <w:rsid w:val="00B558F0"/>
    <w:rsid w:val="00B87A26"/>
    <w:rsid w:val="00BD48FE"/>
    <w:rsid w:val="00BD7BD8"/>
    <w:rsid w:val="00BE6ADC"/>
    <w:rsid w:val="00BF34B0"/>
    <w:rsid w:val="00C05BFE"/>
    <w:rsid w:val="00C23CD4"/>
    <w:rsid w:val="00C61C0C"/>
    <w:rsid w:val="00C941CB"/>
    <w:rsid w:val="00CC2357"/>
    <w:rsid w:val="00CF071A"/>
    <w:rsid w:val="00D058B8"/>
    <w:rsid w:val="00D56C11"/>
    <w:rsid w:val="00D834A0"/>
    <w:rsid w:val="00D872DF"/>
    <w:rsid w:val="00D91E21"/>
    <w:rsid w:val="00DA7FCD"/>
    <w:rsid w:val="00E365E1"/>
    <w:rsid w:val="00E4371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B2B4E"/>
  <w15:chartTrackingRefBased/>
  <w15:docId w15:val="{FA638C6F-515B-48C9-973D-680ABDBDE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87A26"/>
    <w:pPr>
      <w:spacing w:before="480" w:after="240"/>
    </w:pPr>
  </w:style>
  <w:style w:type="paragraph" w:customStyle="1" w:styleId="NormalBold">
    <w:name w:val="NormalBold"/>
    <w:basedOn w:val="Normal"/>
    <w:rsid w:val="00B87A26"/>
    <w:rPr>
      <w:b/>
    </w:rPr>
  </w:style>
  <w:style w:type="paragraph" w:customStyle="1" w:styleId="NormalHanging12a">
    <w:name w:val="NormalHanging12a"/>
    <w:basedOn w:val="Normal"/>
    <w:rsid w:val="00B87A26"/>
    <w:pPr>
      <w:spacing w:after="240"/>
      <w:ind w:left="567" w:hanging="567"/>
    </w:pPr>
  </w:style>
  <w:style w:type="character" w:styleId="Hyperlink">
    <w:name w:val="Hyperlink"/>
    <w:uiPriority w:val="99"/>
    <w:rsid w:val="00B87A26"/>
    <w:rPr>
      <w:color w:val="0000FF"/>
      <w:u w:val="single"/>
    </w:rPr>
  </w:style>
  <w:style w:type="paragraph" w:customStyle="1" w:styleId="Normal12Hanging">
    <w:name w:val="Normal12Hanging"/>
    <w:basedOn w:val="Normal"/>
    <w:rsid w:val="00B87A26"/>
    <w:pPr>
      <w:spacing w:after="240"/>
      <w:ind w:left="567" w:hanging="567"/>
    </w:pPr>
  </w:style>
  <w:style w:type="paragraph" w:styleId="Revision">
    <w:name w:val="Revision"/>
    <w:hidden/>
    <w:uiPriority w:val="99"/>
    <w:semiHidden/>
    <w:rsid w:val="00BF34B0"/>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0/10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287</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4</cp:revision>
  <cp:lastPrinted>2004-11-19T15:42:00Z</cp:lastPrinted>
  <dcterms:created xsi:type="dcterms:W3CDTF">2025-12-15T14:59:00Z</dcterms:created>
  <dcterms:modified xsi:type="dcterms:W3CDTF">2025-12-17T12:45:00Z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A10-0247/2025</vt:lpwstr>
  </property>
  <property fmtid="{D5CDD505-2E9C-101B-9397-08002B2CF9AE}" pid="4" name="&lt;Type&gt;">
    <vt:lpwstr>RR</vt:lpwstr>
  </property>
</Properties>
</file>