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545A" w14:paraId="7A760B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89DC4E" w14:textId="77777777" w:rsidR="00751A4A" w:rsidRPr="00C2545A" w:rsidRDefault="00EF146C" w:rsidP="0010095E">
            <w:pPr>
              <w:pStyle w:val="EPName"/>
            </w:pPr>
            <w:r w:rsidRPr="00C2545A">
              <w:t>Eiropas Parlaments</w:t>
            </w:r>
          </w:p>
          <w:p w14:paraId="5BD5A5E7" w14:textId="77777777" w:rsidR="00751A4A" w:rsidRPr="00C254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45A">
              <w:t>2024</w:t>
            </w:r>
            <w:r w:rsidR="00817416" w:rsidRPr="00C2545A">
              <w:t>-202</w:t>
            </w:r>
            <w:r w:rsidRPr="00C2545A">
              <w:t>9</w:t>
            </w:r>
          </w:p>
        </w:tc>
        <w:tc>
          <w:tcPr>
            <w:tcW w:w="2268" w:type="dxa"/>
            <w:shd w:val="clear" w:color="auto" w:fill="auto"/>
          </w:tcPr>
          <w:p w14:paraId="2E4A7BA4" w14:textId="77777777" w:rsidR="00751A4A" w:rsidRPr="00C2545A" w:rsidRDefault="00187494" w:rsidP="0010095E">
            <w:pPr>
              <w:pStyle w:val="EPLogo"/>
            </w:pPr>
            <w:r w:rsidRPr="00C2545A">
              <w:rPr>
                <w:noProof/>
                <w:lang w:eastAsia="ja-JP"/>
              </w:rPr>
              <w:drawing>
                <wp:inline distT="0" distB="0" distL="0" distR="0" wp14:anchorId="080EFCC0" wp14:editId="42030E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643A5" w14:textId="77777777" w:rsidR="00D058B8" w:rsidRPr="00C2545A" w:rsidRDefault="00D058B8" w:rsidP="004C5D52">
      <w:pPr>
        <w:pStyle w:val="LineTop"/>
      </w:pPr>
    </w:p>
    <w:p w14:paraId="0E7DCA91" w14:textId="77777777" w:rsidR="00680577" w:rsidRPr="00C2545A" w:rsidRDefault="00EF146C" w:rsidP="00680577">
      <w:pPr>
        <w:pStyle w:val="EPBodyTA1"/>
      </w:pPr>
      <w:r w:rsidRPr="00C2545A">
        <w:t>PIEŅEMTIE TEKSTI</w:t>
      </w:r>
    </w:p>
    <w:p w14:paraId="0AD0C3F1" w14:textId="77777777" w:rsidR="00D058B8" w:rsidRPr="00C2545A" w:rsidRDefault="00D058B8" w:rsidP="00D058B8">
      <w:pPr>
        <w:pStyle w:val="LineBottom"/>
      </w:pPr>
    </w:p>
    <w:p w14:paraId="05F9AEEC" w14:textId="208CB84C" w:rsidR="00EF146C" w:rsidRPr="00C2545A" w:rsidRDefault="00EF146C" w:rsidP="00EF146C">
      <w:pPr>
        <w:pStyle w:val="ATHeading1"/>
      </w:pPr>
      <w:bookmarkStart w:id="0" w:name="TANumber"/>
      <w:r w:rsidRPr="00C2545A">
        <w:t>P10_TA(2025)0</w:t>
      </w:r>
      <w:bookmarkEnd w:id="0"/>
      <w:r w:rsidR="00AF265D">
        <w:t>334</w:t>
      </w:r>
    </w:p>
    <w:p w14:paraId="56B85A51" w14:textId="77777777" w:rsidR="00EF146C" w:rsidRPr="00C2545A" w:rsidRDefault="00EF146C" w:rsidP="00EF146C">
      <w:pPr>
        <w:pStyle w:val="ATHeading2"/>
      </w:pPr>
      <w:bookmarkStart w:id="1" w:name="title"/>
      <w:r w:rsidRPr="00C2545A">
        <w:t>Eiropas Apdrošināšanas un aroda pensiju iestādes (</w:t>
      </w:r>
      <w:r w:rsidRPr="00B63FD5">
        <w:rPr>
          <w:i/>
          <w:iCs/>
        </w:rPr>
        <w:t>EIOPA</w:t>
      </w:r>
      <w:r w:rsidRPr="00C2545A">
        <w:t>) izpilddirektora iecelšana</w:t>
      </w:r>
      <w:bookmarkEnd w:id="1"/>
    </w:p>
    <w:p w14:paraId="796DB34F" w14:textId="77777777" w:rsidR="00EF146C" w:rsidRPr="00C2545A" w:rsidRDefault="00EF146C" w:rsidP="00EF146C">
      <w:pPr>
        <w:rPr>
          <w:i/>
          <w:vanish/>
        </w:rPr>
      </w:pPr>
      <w:r w:rsidRPr="00C2545A">
        <w:rPr>
          <w:i/>
        </w:rPr>
        <w:fldChar w:fldCharType="begin"/>
      </w:r>
      <w:r w:rsidRPr="00C2545A">
        <w:rPr>
          <w:i/>
        </w:rPr>
        <w:instrText xml:space="preserve"> TC"(</w:instrText>
      </w:r>
      <w:bookmarkStart w:id="2" w:name="DocNumber"/>
      <w:r w:rsidRPr="00C2545A">
        <w:rPr>
          <w:i/>
        </w:rPr>
        <w:instrText>A10-0247/2025</w:instrText>
      </w:r>
      <w:bookmarkEnd w:id="2"/>
      <w:r w:rsidRPr="00C2545A">
        <w:rPr>
          <w:i/>
        </w:rPr>
        <w:instrText xml:space="preserve"> - Referente: </w:instrText>
      </w:r>
      <w:proofErr w:type="spellStart"/>
      <w:r w:rsidRPr="00C2545A">
        <w:rPr>
          <w:i/>
        </w:rPr>
        <w:instrText>Aurore</w:instrText>
      </w:r>
      <w:proofErr w:type="spellEnd"/>
      <w:r w:rsidRPr="00C2545A">
        <w:rPr>
          <w:i/>
        </w:rPr>
        <w:instrText xml:space="preserve"> </w:instrText>
      </w:r>
      <w:proofErr w:type="spellStart"/>
      <w:r w:rsidRPr="00C2545A">
        <w:rPr>
          <w:i/>
        </w:rPr>
        <w:instrText>Lalucq</w:instrText>
      </w:r>
      <w:proofErr w:type="spellEnd"/>
      <w:r w:rsidRPr="00C2545A">
        <w:rPr>
          <w:i/>
        </w:rPr>
        <w:instrText xml:space="preserve">)"\l3 \n&gt; \* MERGEFORMAT </w:instrText>
      </w:r>
      <w:r w:rsidRPr="00C2545A">
        <w:rPr>
          <w:i/>
        </w:rPr>
        <w:fldChar w:fldCharType="end"/>
      </w:r>
    </w:p>
    <w:p w14:paraId="0084CE65" w14:textId="77777777" w:rsidR="00EF146C" w:rsidRPr="00C2545A" w:rsidRDefault="00EF146C" w:rsidP="00EF146C">
      <w:pPr>
        <w:rPr>
          <w:vanish/>
        </w:rPr>
      </w:pPr>
      <w:bookmarkStart w:id="3" w:name="Commission"/>
      <w:r w:rsidRPr="00C2545A">
        <w:rPr>
          <w:vanish/>
        </w:rPr>
        <w:t>Ekonomikas un monetārā komiteja</w:t>
      </w:r>
      <w:bookmarkEnd w:id="3"/>
    </w:p>
    <w:p w14:paraId="01EEB35D" w14:textId="77777777" w:rsidR="00EF146C" w:rsidRPr="00C2545A" w:rsidRDefault="00EF146C" w:rsidP="00EF146C">
      <w:pPr>
        <w:rPr>
          <w:vanish/>
        </w:rPr>
      </w:pPr>
      <w:bookmarkStart w:id="4" w:name="PE"/>
      <w:r w:rsidRPr="00C2545A">
        <w:rPr>
          <w:vanish/>
        </w:rPr>
        <w:t>PE779.515</w:t>
      </w:r>
      <w:bookmarkEnd w:id="4"/>
    </w:p>
    <w:p w14:paraId="3D63B2E1" w14:textId="52E898F2" w:rsidR="00EF146C" w:rsidRPr="00C2545A" w:rsidRDefault="00EF146C" w:rsidP="00EF146C">
      <w:pPr>
        <w:pStyle w:val="ATHeading3"/>
      </w:pPr>
      <w:bookmarkStart w:id="5" w:name="Sujet"/>
      <w:r w:rsidRPr="00C2545A">
        <w:t xml:space="preserve">Eiropas Parlamenta 2025. gada </w:t>
      </w:r>
      <w:r w:rsidR="00B63FD5">
        <w:t>17</w:t>
      </w:r>
      <w:r w:rsidRPr="00C2545A">
        <w:t xml:space="preserve">. </w:t>
      </w:r>
      <w:r w:rsidR="00B63FD5">
        <w:t>decembra</w:t>
      </w:r>
      <w:r w:rsidRPr="00C2545A">
        <w:t xml:space="preserve"> lēmums par priekšlikumu iecelt amatā Eiropas Apdrošināšanas un aroda pensiju iestādes izpilddirektoru</w:t>
      </w:r>
      <w:bookmarkEnd w:id="5"/>
      <w:r w:rsidRPr="00C2545A">
        <w:t xml:space="preserve"> </w:t>
      </w:r>
      <w:bookmarkStart w:id="6" w:name="References"/>
      <w:r w:rsidRPr="00C2545A">
        <w:t>(N10-0060/2025 – C10-0268/2025 – 2025/0904(NLE))</w:t>
      </w:r>
      <w:bookmarkEnd w:id="6"/>
    </w:p>
    <w:p w14:paraId="65266973" w14:textId="77777777" w:rsidR="00B72781" w:rsidRPr="00C2545A" w:rsidRDefault="00B72781" w:rsidP="00B72781">
      <w:pPr>
        <w:pStyle w:val="NormalBold"/>
      </w:pPr>
      <w:r w:rsidRPr="00C2545A">
        <w:t>(Apstiprināšana)</w:t>
      </w:r>
    </w:p>
    <w:p w14:paraId="0DA85811" w14:textId="77777777" w:rsidR="00B72781" w:rsidRPr="00C2545A" w:rsidRDefault="00B72781" w:rsidP="00B72781">
      <w:pPr>
        <w:pStyle w:val="EPComma"/>
      </w:pPr>
      <w:r w:rsidRPr="00C2545A">
        <w:rPr>
          <w:i/>
          <w:iCs/>
        </w:rPr>
        <w:t>Eiropas Parlaments</w:t>
      </w:r>
      <w:r w:rsidRPr="00C2545A">
        <w:t>,</w:t>
      </w:r>
    </w:p>
    <w:p w14:paraId="0E473E40" w14:textId="77777777" w:rsidR="00B72781" w:rsidRPr="00C2545A" w:rsidRDefault="00B72781" w:rsidP="00B72781">
      <w:pPr>
        <w:pStyle w:val="NormalHanging12a"/>
      </w:pPr>
      <w:r w:rsidRPr="00C2545A">
        <w:t>–</w:t>
      </w:r>
      <w:r w:rsidRPr="00C2545A">
        <w:tab/>
        <w:t>ņemot vērā Eiropas Apdrošināšanas un aroda pensiju iestādes Uzraudzības padomes 2025. gada 23. oktobra priekšlikumu (C10</w:t>
      </w:r>
      <w:r w:rsidRPr="00C2545A">
        <w:noBreakHyphen/>
        <w:t>0268/2025),</w:t>
      </w:r>
    </w:p>
    <w:p w14:paraId="5E2BC7F5" w14:textId="77777777" w:rsidR="00B72781" w:rsidRPr="00C2545A" w:rsidRDefault="00B72781" w:rsidP="00B72781">
      <w:pPr>
        <w:pStyle w:val="NormalHanging12a"/>
      </w:pPr>
      <w:r w:rsidRPr="00C2545A">
        <w:t>–</w:t>
      </w:r>
      <w:r w:rsidRPr="00C2545A">
        <w:tab/>
        <w:t>ņemot vērā 51. panta 2. un 3. punktu Eiropas Parlamenta un Padomes Regulā (ES) Nr. 1094/2010 (2010. gada 24. novembris), ar ko izveido Eiropas Uzraudzības iestādi (Eiropas Apdrošināšanas un aroda pensiju iestādi), groza Lēmumu Nr. 716/2009/EK un atceļ Komisijas Lēmumu 2009/79/EK</w:t>
      </w:r>
      <w:r w:rsidRPr="00C2545A">
        <w:rPr>
          <w:rStyle w:val="FootnoteReference"/>
        </w:rPr>
        <w:footnoteReference w:id="1"/>
      </w:r>
      <w:r w:rsidRPr="00C2545A">
        <w:t>,</w:t>
      </w:r>
    </w:p>
    <w:p w14:paraId="50A2F05F" w14:textId="77777777" w:rsidR="00B72781" w:rsidRPr="00C2545A" w:rsidRDefault="00B72781" w:rsidP="00B72781">
      <w:pPr>
        <w:pStyle w:val="Normal12Hanging"/>
      </w:pPr>
      <w:r w:rsidRPr="00C2545A">
        <w:t>–</w:t>
      </w:r>
      <w:r w:rsidRPr="00C2545A">
        <w:tab/>
        <w:t>ņemot vērā 2019. gada 14. marta rezolūcija par dzimumu līdzsvaru, izvirzot kandidātus amatiem ES ekonomikas un monetāro lietu jomā</w:t>
      </w:r>
      <w:r w:rsidRPr="00C2545A">
        <w:rPr>
          <w:rStyle w:val="FootnoteReference"/>
        </w:rPr>
        <w:footnoteReference w:id="2"/>
      </w:r>
      <w:r w:rsidRPr="00C2545A">
        <w:t>,</w:t>
      </w:r>
    </w:p>
    <w:p w14:paraId="15EC5BB5" w14:textId="77777777" w:rsidR="00B72781" w:rsidRPr="00C2545A" w:rsidRDefault="00B72781" w:rsidP="00B72781">
      <w:pPr>
        <w:pStyle w:val="Normal12Hanging"/>
      </w:pPr>
      <w:r w:rsidRPr="00C2545A">
        <w:t>–</w:t>
      </w:r>
      <w:r w:rsidRPr="00C2545A">
        <w:tab/>
        <w:t>ņemot vērā 2020. gada 16. janvāra rezolūciju par ekonomiskās un monetārās savienības institūcijām un struktūrām: iespējamā interešu konflikta novēršana pēc nodarbinātības publiskajā sektorā</w:t>
      </w:r>
      <w:r w:rsidRPr="00C2545A">
        <w:rPr>
          <w:rStyle w:val="FootnoteReference"/>
        </w:rPr>
        <w:footnoteReference w:id="3"/>
      </w:r>
      <w:r w:rsidRPr="00C2545A">
        <w:t>,</w:t>
      </w:r>
    </w:p>
    <w:p w14:paraId="2786F783" w14:textId="77777777" w:rsidR="00B72781" w:rsidRPr="00C2545A" w:rsidRDefault="00B72781" w:rsidP="00B72781">
      <w:pPr>
        <w:pStyle w:val="NormalHanging12a"/>
      </w:pPr>
      <w:r w:rsidRPr="00C2545A">
        <w:t>–</w:t>
      </w:r>
      <w:r w:rsidRPr="00C2545A">
        <w:tab/>
        <w:t>ņemot vērā Reglamenta 135. pantu,</w:t>
      </w:r>
    </w:p>
    <w:p w14:paraId="7FD21E60" w14:textId="77777777" w:rsidR="00B72781" w:rsidRPr="00C2545A" w:rsidRDefault="00B72781" w:rsidP="00B72781">
      <w:pPr>
        <w:pStyle w:val="NormalHanging12a"/>
      </w:pPr>
      <w:r w:rsidRPr="00C2545A">
        <w:t>–</w:t>
      </w:r>
      <w:r w:rsidRPr="00C2545A">
        <w:tab/>
        <w:t>ņemot vērā Ekonomikas un monetārās komitejas ziņojumu (A10</w:t>
      </w:r>
      <w:r w:rsidRPr="00C2545A">
        <w:noBreakHyphen/>
        <w:t>0247/2025),</w:t>
      </w:r>
    </w:p>
    <w:p w14:paraId="3AE43526" w14:textId="77777777" w:rsidR="00B72781" w:rsidRPr="00C2545A" w:rsidRDefault="00B72781" w:rsidP="00B72781">
      <w:pPr>
        <w:pStyle w:val="NormalHanging12a"/>
      </w:pPr>
      <w:r w:rsidRPr="00C2545A">
        <w:t>A.</w:t>
      </w:r>
      <w:r w:rsidRPr="00C2545A">
        <w:tab/>
        <w:t>tā kā 2026. gada 31. martā beidzas pašreizējā Eiropas Apdrošināšanas un aroda pensiju iestādes izpilddirektora pilnvaru termiņš;</w:t>
      </w:r>
    </w:p>
    <w:p w14:paraId="5FD7B869" w14:textId="77777777" w:rsidR="00B72781" w:rsidRPr="00C2545A" w:rsidRDefault="00B72781" w:rsidP="00B72781">
      <w:pPr>
        <w:pStyle w:val="NormalHanging12a"/>
      </w:pPr>
      <w:r w:rsidRPr="00C2545A">
        <w:lastRenderedPageBreak/>
        <w:t>B.</w:t>
      </w:r>
      <w:r w:rsidRPr="00C2545A">
        <w:tab/>
        <w:t xml:space="preserve">tā kā 2025. gada 23. oktobrī Eiropas Apdrošināšanas un aroda pensiju iestādes Uzraudzības padome, īstenojot atklātu atlases procedūru, ierosināja iecelt </w:t>
      </w:r>
      <w:proofErr w:type="spellStart"/>
      <w:r w:rsidRPr="00C2545A">
        <w:rPr>
          <w:i/>
          <w:iCs/>
        </w:rPr>
        <w:t>Damian</w:t>
      </w:r>
      <w:proofErr w:type="spellEnd"/>
      <w:r w:rsidRPr="00C2545A">
        <w:rPr>
          <w:i/>
          <w:iCs/>
        </w:rPr>
        <w:t xml:space="preserve"> </w:t>
      </w:r>
      <w:proofErr w:type="spellStart"/>
      <w:r w:rsidRPr="00C2545A">
        <w:rPr>
          <w:i/>
          <w:iCs/>
        </w:rPr>
        <w:t>Jaworski</w:t>
      </w:r>
      <w:proofErr w:type="spellEnd"/>
      <w:r w:rsidRPr="00C2545A">
        <w:t xml:space="preserve"> izpilddirektora amatā uz piecu gadu pilnvaru termiņu saskaņā ar Regulas (ES) Nr. 1094/2010 51. panta 2. un 3. punktu;</w:t>
      </w:r>
    </w:p>
    <w:p w14:paraId="71CA8A87" w14:textId="77777777" w:rsidR="00B72781" w:rsidRPr="00C2545A" w:rsidRDefault="00B72781" w:rsidP="00B72781">
      <w:pPr>
        <w:pStyle w:val="NormalHanging12a"/>
      </w:pPr>
      <w:r w:rsidRPr="00C2545A">
        <w:t>C.</w:t>
      </w:r>
      <w:r w:rsidRPr="00C2545A">
        <w:tab/>
        <w:t xml:space="preserve">tā kā 2025. gada 6. novembrī Ekonomikas un monetārā komiteja rīkoja </w:t>
      </w:r>
      <w:proofErr w:type="spellStart"/>
      <w:r w:rsidRPr="00C2545A">
        <w:rPr>
          <w:i/>
          <w:iCs/>
        </w:rPr>
        <w:t>Damian</w:t>
      </w:r>
      <w:proofErr w:type="spellEnd"/>
      <w:r w:rsidRPr="00C2545A">
        <w:rPr>
          <w:i/>
          <w:iCs/>
        </w:rPr>
        <w:t xml:space="preserve"> </w:t>
      </w:r>
      <w:proofErr w:type="spellStart"/>
      <w:r w:rsidRPr="00C2545A">
        <w:rPr>
          <w:i/>
          <w:iCs/>
        </w:rPr>
        <w:t>Jaworski</w:t>
      </w:r>
      <w:proofErr w:type="spellEnd"/>
      <w:r w:rsidRPr="00C2545A">
        <w:t xml:space="preserve"> uzklausīšanu, kuras sākumā viņš sniedza paziņojumu un pēc tam atbildēja uz komiteju locekļu jautājumiem,</w:t>
      </w:r>
    </w:p>
    <w:p w14:paraId="02315CF3" w14:textId="77777777" w:rsidR="00B72781" w:rsidRPr="00C2545A" w:rsidRDefault="00B72781" w:rsidP="00B72781">
      <w:pPr>
        <w:pStyle w:val="NormalHanging12a"/>
      </w:pPr>
      <w:r w:rsidRPr="00C2545A">
        <w:t>1.</w:t>
      </w:r>
      <w:r w:rsidRPr="00C2545A">
        <w:tab/>
        <w:t xml:space="preserve">apstiprina </w:t>
      </w:r>
      <w:proofErr w:type="spellStart"/>
      <w:r w:rsidRPr="00C2545A">
        <w:rPr>
          <w:i/>
          <w:iCs/>
        </w:rPr>
        <w:t>Damian</w:t>
      </w:r>
      <w:proofErr w:type="spellEnd"/>
      <w:r w:rsidRPr="00C2545A">
        <w:rPr>
          <w:i/>
          <w:iCs/>
        </w:rPr>
        <w:t xml:space="preserve"> </w:t>
      </w:r>
      <w:proofErr w:type="spellStart"/>
      <w:r w:rsidRPr="00C2545A">
        <w:rPr>
          <w:i/>
          <w:iCs/>
        </w:rPr>
        <w:t>Jaworski</w:t>
      </w:r>
      <w:proofErr w:type="spellEnd"/>
      <w:r w:rsidRPr="00C2545A">
        <w:t xml:space="preserve"> iecelšanu par Eiropas Apdrošināšanas un aroda pensiju iestādes izpilddirektoru;</w:t>
      </w:r>
    </w:p>
    <w:p w14:paraId="3AC78C27" w14:textId="6831B3EA" w:rsidR="00C2545A" w:rsidRPr="00C2545A" w:rsidRDefault="00B72781" w:rsidP="00C2545A">
      <w:pPr>
        <w:pStyle w:val="NormalHanging12a"/>
      </w:pPr>
      <w:r w:rsidRPr="00C2545A">
        <w:t>2.</w:t>
      </w:r>
      <w:r w:rsidRPr="00C2545A">
        <w:tab/>
        <w:t>uzdod priekšsēdētājai šo lēmumu nosūtīt Padomei, Komisijai, Eiropas Apdrošināšanas un aroda pensiju iestādei, kā arī dalībvalstu valdībām.</w:t>
      </w:r>
    </w:p>
    <w:p w14:paraId="766C6414" w14:textId="02089E0B" w:rsidR="00E365E1" w:rsidRPr="00C2545A" w:rsidRDefault="00E365E1" w:rsidP="00EF146C"/>
    <w:sectPr w:rsidR="00E365E1" w:rsidRPr="00C2545A" w:rsidSect="00C25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FBEAF" w14:textId="77777777" w:rsidR="00EF146C" w:rsidRPr="00C2545A" w:rsidRDefault="00EF146C">
      <w:r w:rsidRPr="00C2545A">
        <w:separator/>
      </w:r>
    </w:p>
  </w:endnote>
  <w:endnote w:type="continuationSeparator" w:id="0">
    <w:p w14:paraId="03F6E407" w14:textId="77777777" w:rsidR="00EF146C" w:rsidRPr="00C2545A" w:rsidRDefault="00EF146C">
      <w:r w:rsidRPr="00C254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CA117" w14:textId="77777777" w:rsidR="00064002" w:rsidRPr="00C254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411E" w14:textId="77777777" w:rsidR="00064002" w:rsidRPr="00C254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EFF7" w14:textId="77777777" w:rsidR="00064002" w:rsidRPr="00C254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A6B6C" w14:textId="77777777" w:rsidR="00EF146C" w:rsidRPr="00C2545A" w:rsidRDefault="00EF146C">
      <w:r w:rsidRPr="00C2545A">
        <w:separator/>
      </w:r>
    </w:p>
  </w:footnote>
  <w:footnote w:type="continuationSeparator" w:id="0">
    <w:p w14:paraId="40919848" w14:textId="77777777" w:rsidR="00EF146C" w:rsidRPr="00C2545A" w:rsidRDefault="00EF146C">
      <w:r w:rsidRPr="00C2545A">
        <w:continuationSeparator/>
      </w:r>
    </w:p>
  </w:footnote>
  <w:footnote w:id="1">
    <w:p w14:paraId="62C13327" w14:textId="0152DC6E" w:rsidR="00B72781" w:rsidRPr="00C2545A" w:rsidRDefault="00B72781" w:rsidP="00C2545A">
      <w:pPr>
        <w:pStyle w:val="FootnoteText"/>
        <w:ind w:left="567" w:hanging="567"/>
        <w:rPr>
          <w:sz w:val="24"/>
          <w:lang w:val="lv-LV"/>
        </w:rPr>
      </w:pPr>
      <w:r w:rsidRPr="00C2545A">
        <w:rPr>
          <w:rStyle w:val="FootnoteReference"/>
          <w:sz w:val="24"/>
          <w:lang w:val="lv-LV"/>
        </w:rPr>
        <w:footnoteRef/>
      </w:r>
      <w:r w:rsidR="00C2545A" w:rsidRPr="00C2545A">
        <w:rPr>
          <w:sz w:val="24"/>
          <w:lang w:val="lv-LV"/>
        </w:rPr>
        <w:t xml:space="preserve"> </w:t>
      </w:r>
      <w:r w:rsidR="00C2545A" w:rsidRPr="00C2545A">
        <w:rPr>
          <w:sz w:val="24"/>
          <w:lang w:val="lv-LV"/>
        </w:rPr>
        <w:tab/>
      </w:r>
      <w:r w:rsidRPr="00C2545A">
        <w:rPr>
          <w:sz w:val="24"/>
          <w:lang w:val="lv-LV"/>
        </w:rPr>
        <w:t xml:space="preserve">OV L 331, 15.12.2010., 48. lpp., ELI: </w:t>
      </w:r>
      <w:hyperlink r:id="rId1" w:history="1">
        <w:r w:rsidRPr="00C2545A">
          <w:rPr>
            <w:rStyle w:val="Hyperlink"/>
            <w:sz w:val="24"/>
            <w:lang w:val="lv-LV"/>
          </w:rPr>
          <w:t>http://data.europa.eu/eli/reg/2010/1094/oj</w:t>
        </w:r>
      </w:hyperlink>
      <w:r w:rsidRPr="00C2545A">
        <w:rPr>
          <w:sz w:val="24"/>
          <w:lang w:val="lv-LV"/>
        </w:rPr>
        <w:t>.</w:t>
      </w:r>
    </w:p>
  </w:footnote>
  <w:footnote w:id="2">
    <w:p w14:paraId="28D45482" w14:textId="230A166D" w:rsidR="00B72781" w:rsidRPr="00C2545A" w:rsidRDefault="00B72781" w:rsidP="00C2545A">
      <w:pPr>
        <w:pStyle w:val="FootnoteText"/>
        <w:ind w:left="567" w:hanging="567"/>
        <w:rPr>
          <w:sz w:val="24"/>
          <w:lang w:val="lv-LV"/>
        </w:rPr>
      </w:pPr>
      <w:r w:rsidRPr="00C2545A">
        <w:rPr>
          <w:rStyle w:val="FootnoteReference"/>
          <w:sz w:val="24"/>
          <w:lang w:val="lv-LV"/>
        </w:rPr>
        <w:footnoteRef/>
      </w:r>
      <w:r w:rsidR="00C2545A" w:rsidRPr="00C2545A">
        <w:rPr>
          <w:sz w:val="24"/>
          <w:lang w:val="lv-LV"/>
        </w:rPr>
        <w:t xml:space="preserve"> </w:t>
      </w:r>
      <w:r w:rsidR="00C2545A" w:rsidRPr="00C2545A">
        <w:rPr>
          <w:sz w:val="24"/>
          <w:lang w:val="lv-LV"/>
        </w:rPr>
        <w:tab/>
      </w:r>
      <w:r w:rsidRPr="00C2545A">
        <w:rPr>
          <w:sz w:val="24"/>
          <w:lang w:val="lv-LV"/>
        </w:rPr>
        <w:t>OV C 23, 21.1.2021., 105. lpp.</w:t>
      </w:r>
    </w:p>
  </w:footnote>
  <w:footnote w:id="3">
    <w:p w14:paraId="74BAC3EF" w14:textId="23E46C86" w:rsidR="00B72781" w:rsidRPr="00C2545A" w:rsidRDefault="00B72781" w:rsidP="00C2545A">
      <w:pPr>
        <w:pStyle w:val="FootnoteText"/>
        <w:ind w:left="567" w:hanging="567"/>
        <w:rPr>
          <w:sz w:val="24"/>
          <w:lang w:val="lv-LV"/>
        </w:rPr>
      </w:pPr>
      <w:r w:rsidRPr="00C2545A">
        <w:rPr>
          <w:rStyle w:val="FootnoteReference"/>
          <w:sz w:val="24"/>
          <w:lang w:val="lv-LV"/>
        </w:rPr>
        <w:footnoteRef/>
      </w:r>
      <w:r w:rsidR="00C2545A" w:rsidRPr="00C2545A">
        <w:rPr>
          <w:sz w:val="24"/>
          <w:lang w:val="lv-LV"/>
        </w:rPr>
        <w:t xml:space="preserve"> </w:t>
      </w:r>
      <w:r w:rsidR="00C2545A" w:rsidRPr="00C2545A">
        <w:rPr>
          <w:sz w:val="24"/>
          <w:lang w:val="lv-LV"/>
        </w:rPr>
        <w:tab/>
      </w:r>
      <w:r w:rsidRPr="00C2545A">
        <w:rPr>
          <w:sz w:val="24"/>
          <w:lang w:val="lv-LV"/>
        </w:rPr>
        <w:t>Pieņemtie teksti,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FE69" w14:textId="77777777" w:rsidR="00064002" w:rsidRPr="00C254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F69B5" w14:textId="77777777" w:rsidR="00064002" w:rsidRPr="00C254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7677" w14:textId="77777777" w:rsidR="00064002" w:rsidRPr="00C254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5492145">
    <w:abstractNumId w:val="9"/>
  </w:num>
  <w:num w:numId="2" w16cid:durableId="1210875194">
    <w:abstractNumId w:val="9"/>
  </w:num>
  <w:num w:numId="3" w16cid:durableId="1002316987">
    <w:abstractNumId w:val="7"/>
  </w:num>
  <w:num w:numId="4" w16cid:durableId="340395544">
    <w:abstractNumId w:val="7"/>
  </w:num>
  <w:num w:numId="5" w16cid:durableId="1145390707">
    <w:abstractNumId w:val="6"/>
  </w:num>
  <w:num w:numId="6" w16cid:durableId="41054346">
    <w:abstractNumId w:val="6"/>
  </w:num>
  <w:num w:numId="7" w16cid:durableId="952250650">
    <w:abstractNumId w:val="5"/>
  </w:num>
  <w:num w:numId="8" w16cid:durableId="50619574">
    <w:abstractNumId w:val="5"/>
  </w:num>
  <w:num w:numId="9" w16cid:durableId="51971373">
    <w:abstractNumId w:val="4"/>
  </w:num>
  <w:num w:numId="10" w16cid:durableId="702637646">
    <w:abstractNumId w:val="4"/>
  </w:num>
  <w:num w:numId="11" w16cid:durableId="1937789086">
    <w:abstractNumId w:val="8"/>
  </w:num>
  <w:num w:numId="12" w16cid:durableId="1493716365">
    <w:abstractNumId w:val="8"/>
  </w:num>
  <w:num w:numId="13" w16cid:durableId="1170561221">
    <w:abstractNumId w:val="3"/>
  </w:num>
  <w:num w:numId="14" w16cid:durableId="1147818834">
    <w:abstractNumId w:val="3"/>
  </w:num>
  <w:num w:numId="15" w16cid:durableId="1319454870">
    <w:abstractNumId w:val="2"/>
  </w:num>
  <w:num w:numId="16" w16cid:durableId="1884832466">
    <w:abstractNumId w:val="2"/>
  </w:num>
  <w:num w:numId="17" w16cid:durableId="1610887549">
    <w:abstractNumId w:val="1"/>
  </w:num>
  <w:num w:numId="18" w16cid:durableId="1526213484">
    <w:abstractNumId w:val="1"/>
  </w:num>
  <w:num w:numId="19" w16cid:durableId="1988852493">
    <w:abstractNumId w:val="0"/>
  </w:num>
  <w:num w:numId="20" w16cid:durableId="1864902071">
    <w:abstractNumId w:val="0"/>
  </w:num>
  <w:num w:numId="21" w16cid:durableId="2016805306">
    <w:abstractNumId w:val="9"/>
  </w:num>
  <w:num w:numId="22" w16cid:durableId="158011837">
    <w:abstractNumId w:val="7"/>
  </w:num>
  <w:num w:numId="23" w16cid:durableId="913583337">
    <w:abstractNumId w:val="6"/>
  </w:num>
  <w:num w:numId="24" w16cid:durableId="216626433">
    <w:abstractNumId w:val="5"/>
  </w:num>
  <w:num w:numId="25" w16cid:durableId="1739666437">
    <w:abstractNumId w:val="4"/>
  </w:num>
  <w:num w:numId="26" w16cid:durableId="1284455551">
    <w:abstractNumId w:val="8"/>
  </w:num>
  <w:num w:numId="27" w16cid:durableId="595019141">
    <w:abstractNumId w:val="3"/>
  </w:num>
  <w:num w:numId="28" w16cid:durableId="1085616729">
    <w:abstractNumId w:val="2"/>
  </w:num>
  <w:num w:numId="29" w16cid:durableId="1806393488">
    <w:abstractNumId w:val="1"/>
  </w:num>
  <w:num w:numId="30" w16cid:durableId="475561980">
    <w:abstractNumId w:val="0"/>
  </w:num>
  <w:num w:numId="31" w16cid:durableId="260381933">
    <w:abstractNumId w:val="9"/>
  </w:num>
  <w:num w:numId="32" w16cid:durableId="1063796738">
    <w:abstractNumId w:val="7"/>
  </w:num>
  <w:num w:numId="33" w16cid:durableId="1396195345">
    <w:abstractNumId w:val="6"/>
  </w:num>
  <w:num w:numId="34" w16cid:durableId="748238670">
    <w:abstractNumId w:val="5"/>
  </w:num>
  <w:num w:numId="35" w16cid:durableId="479687733">
    <w:abstractNumId w:val="4"/>
  </w:num>
  <w:num w:numId="36" w16cid:durableId="1765220063">
    <w:abstractNumId w:val="8"/>
  </w:num>
  <w:num w:numId="37" w16cid:durableId="231428585">
    <w:abstractNumId w:val="3"/>
  </w:num>
  <w:num w:numId="38" w16cid:durableId="633485519">
    <w:abstractNumId w:val="2"/>
  </w:num>
  <w:num w:numId="39" w16cid:durableId="386153229">
    <w:abstractNumId w:val="1"/>
  </w:num>
  <w:num w:numId="40" w16cid:durableId="1843735800">
    <w:abstractNumId w:val="0"/>
  </w:num>
  <w:num w:numId="41" w16cid:durableId="1859076149">
    <w:abstractNumId w:val="10"/>
  </w:num>
  <w:num w:numId="42" w16cid:durableId="1730570946">
    <w:abstractNumId w:val="10"/>
  </w:num>
  <w:num w:numId="43" w16cid:durableId="1671176692">
    <w:abstractNumId w:val="10"/>
  </w:num>
  <w:num w:numId="44" w16cid:durableId="594870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LV"/>
    <w:docVar w:name="dvnumam" w:val="0"/>
    <w:docVar w:name="dvpe" w:val="779.515"/>
    <w:docVar w:name="dvrapporteur" w:val="Referente: "/>
    <w:docVar w:name="dvtitre" w:val="Eiropas Parlamenta 2025. gada XX. XXX lēmums par priekšlikumu iecelt amatā Eiropas Apdrošināšanas un aroda pensiju iestādes izpilddirektoru(N10-0060/2025 – C10-0268/2025 – 2025/0904(NLE))"/>
  </w:docVars>
  <w:rsids>
    <w:rsidRoot w:val="00EF14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F8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65D"/>
    <w:rsid w:val="00AF3B82"/>
    <w:rsid w:val="00B12E95"/>
    <w:rsid w:val="00B22876"/>
    <w:rsid w:val="00B558F0"/>
    <w:rsid w:val="00B63FD5"/>
    <w:rsid w:val="00B72781"/>
    <w:rsid w:val="00BD48FE"/>
    <w:rsid w:val="00BD7BD8"/>
    <w:rsid w:val="00BE6ADC"/>
    <w:rsid w:val="00C05BFE"/>
    <w:rsid w:val="00C23CD4"/>
    <w:rsid w:val="00C2545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46C"/>
    <w:rsid w:val="00F04346"/>
    <w:rsid w:val="00F075DC"/>
    <w:rsid w:val="00F149E9"/>
    <w:rsid w:val="00F5134D"/>
    <w:rsid w:val="00F6305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D98AF"/>
  <w15:chartTrackingRefBased/>
  <w15:docId w15:val="{FC014877-AAC9-4B30-8991-BC044FA6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2781"/>
    <w:pPr>
      <w:spacing w:before="480" w:after="240"/>
    </w:pPr>
  </w:style>
  <w:style w:type="paragraph" w:customStyle="1" w:styleId="NormalBold">
    <w:name w:val="NormalBold"/>
    <w:basedOn w:val="Normal"/>
    <w:rsid w:val="00B72781"/>
    <w:rPr>
      <w:b/>
    </w:rPr>
  </w:style>
  <w:style w:type="paragraph" w:customStyle="1" w:styleId="NormalBold12a">
    <w:name w:val="NormalBold12a"/>
    <w:basedOn w:val="Normal"/>
    <w:rsid w:val="00B7278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72781"/>
    <w:pPr>
      <w:spacing w:after="240"/>
      <w:ind w:left="567" w:hanging="567"/>
    </w:pPr>
  </w:style>
  <w:style w:type="character" w:styleId="Hyperlink">
    <w:name w:val="Hyperlink"/>
    <w:uiPriority w:val="99"/>
    <w:rsid w:val="00B72781"/>
    <w:rPr>
      <w:color w:val="0000FF"/>
      <w:u w:val="single"/>
    </w:rPr>
  </w:style>
  <w:style w:type="paragraph" w:customStyle="1" w:styleId="Normal12Hanging">
    <w:name w:val="Normal12Hanging"/>
    <w:basedOn w:val="Normal"/>
    <w:rsid w:val="00B7278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1948</Characters>
  <Application>Microsoft Office Word</Application>
  <DocSecurity>0</DocSecurity>
  <Lines>29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2025-12-17T14:04:00Z</dcterms:created>
  <dcterms:modified xsi:type="dcterms:W3CDTF">2025-12-17T14:04:00Z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