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95CAF" w14:paraId="57847A8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6B054F9" w14:textId="1B169620" w:rsidR="00751A4A" w:rsidRPr="00395CAF" w:rsidRDefault="0071669E" w:rsidP="0010095E">
            <w:pPr>
              <w:pStyle w:val="EPName"/>
            </w:pPr>
            <w:r w:rsidRPr="00395CAF">
              <w:t>Parlament Ewropew</w:t>
            </w:r>
          </w:p>
          <w:p w14:paraId="05B88C0F" w14:textId="77777777" w:rsidR="00751A4A" w:rsidRPr="00395CA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95CAF">
              <w:t>2024</w:t>
            </w:r>
            <w:r w:rsidR="00817416" w:rsidRPr="00395CAF">
              <w:t>-202</w:t>
            </w:r>
            <w:r w:rsidRPr="00395CAF">
              <w:t>9</w:t>
            </w:r>
          </w:p>
        </w:tc>
        <w:tc>
          <w:tcPr>
            <w:tcW w:w="2268" w:type="dxa"/>
            <w:shd w:val="clear" w:color="auto" w:fill="auto"/>
          </w:tcPr>
          <w:p w14:paraId="13E1C663" w14:textId="77777777" w:rsidR="00751A4A" w:rsidRPr="00395CAF" w:rsidRDefault="00187494" w:rsidP="0010095E">
            <w:pPr>
              <w:pStyle w:val="EPLogo"/>
            </w:pPr>
            <w:r w:rsidRPr="00395CAF">
              <w:rPr>
                <w:noProof/>
                <w:lang w:eastAsia="ja-JP"/>
              </w:rPr>
              <w:drawing>
                <wp:inline distT="0" distB="0" distL="0" distR="0" wp14:anchorId="3EC701BD" wp14:editId="739A853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05CD66C" w14:textId="77777777" w:rsidR="00D058B8" w:rsidRPr="00395CAF" w:rsidRDefault="00D058B8" w:rsidP="004C5D52">
      <w:pPr>
        <w:pStyle w:val="LineTop"/>
      </w:pPr>
    </w:p>
    <w:p w14:paraId="549AB71D" w14:textId="66241014" w:rsidR="00680577" w:rsidRPr="00395CAF" w:rsidRDefault="0071669E" w:rsidP="00680577">
      <w:pPr>
        <w:pStyle w:val="EPBodyTA1"/>
      </w:pPr>
      <w:r w:rsidRPr="00395CAF">
        <w:t>TESTI ADOTTATI</w:t>
      </w:r>
    </w:p>
    <w:p w14:paraId="4E6FB11F" w14:textId="77777777" w:rsidR="00D058B8" w:rsidRPr="00395CAF" w:rsidRDefault="00D058B8" w:rsidP="00D058B8">
      <w:pPr>
        <w:pStyle w:val="LineBottom"/>
      </w:pPr>
    </w:p>
    <w:p w14:paraId="77F9B8AD" w14:textId="4E9A5EF7" w:rsidR="0071669E" w:rsidRPr="00395CAF" w:rsidRDefault="0071669E" w:rsidP="0071669E">
      <w:pPr>
        <w:pStyle w:val="ATHeading1"/>
      </w:pPr>
      <w:bookmarkStart w:id="0" w:name="TANumber"/>
      <w:r w:rsidRPr="00395CAF">
        <w:t>P10_TA(2025)0</w:t>
      </w:r>
      <w:bookmarkEnd w:id="0"/>
      <w:r w:rsidR="00786C19">
        <w:t>334</w:t>
      </w:r>
    </w:p>
    <w:p w14:paraId="48FA78BF" w14:textId="77777777" w:rsidR="0071669E" w:rsidRPr="00395CAF" w:rsidRDefault="0071669E" w:rsidP="0071669E">
      <w:pPr>
        <w:pStyle w:val="ATHeading2"/>
      </w:pPr>
      <w:bookmarkStart w:id="1" w:name="title"/>
      <w:r w:rsidRPr="00395CAF">
        <w:t>Ħatra tad-Direttur Eżekuttiv tal-Awtorità Ewropea tal-Assigurazzjoni u l-Pensjonijiet tax-Xogħol (EIOPA)</w:t>
      </w:r>
      <w:bookmarkEnd w:id="1"/>
    </w:p>
    <w:p w14:paraId="7D41119A" w14:textId="77777777" w:rsidR="0071669E" w:rsidRPr="00395CAF" w:rsidRDefault="0071669E" w:rsidP="0071669E">
      <w:pPr>
        <w:rPr>
          <w:i/>
          <w:vanish/>
        </w:rPr>
      </w:pPr>
      <w:r w:rsidRPr="00395CAF">
        <w:rPr>
          <w:i/>
        </w:rPr>
        <w:fldChar w:fldCharType="begin"/>
      </w:r>
      <w:r w:rsidRPr="00395CAF">
        <w:rPr>
          <w:i/>
        </w:rPr>
        <w:instrText xml:space="preserve"> TC"(</w:instrText>
      </w:r>
      <w:bookmarkStart w:id="2" w:name="DocNumber"/>
      <w:r w:rsidRPr="00395CAF">
        <w:rPr>
          <w:i/>
        </w:rPr>
        <w:instrText>A10-0247/2025</w:instrText>
      </w:r>
      <w:bookmarkEnd w:id="2"/>
      <w:r w:rsidRPr="00395CAF">
        <w:rPr>
          <w:i/>
        </w:rPr>
        <w:instrText xml:space="preserve"> - Rapporteur: Aurore Lalucq)"\l3 \n&gt; \* MERGEFORMAT </w:instrText>
      </w:r>
      <w:r w:rsidRPr="00395CAF">
        <w:rPr>
          <w:i/>
        </w:rPr>
        <w:fldChar w:fldCharType="end"/>
      </w:r>
    </w:p>
    <w:p w14:paraId="0071D025" w14:textId="77777777" w:rsidR="0071669E" w:rsidRPr="00395CAF" w:rsidRDefault="0071669E" w:rsidP="0071669E">
      <w:pPr>
        <w:rPr>
          <w:vanish/>
        </w:rPr>
      </w:pPr>
      <w:bookmarkStart w:id="3" w:name="Commission"/>
      <w:r w:rsidRPr="00395CAF">
        <w:rPr>
          <w:vanish/>
        </w:rPr>
        <w:t>Kumitat għall-Affarijiet Ekonomiċi u Monetarji</w:t>
      </w:r>
      <w:bookmarkEnd w:id="3"/>
    </w:p>
    <w:p w14:paraId="513661AB" w14:textId="77777777" w:rsidR="0071669E" w:rsidRPr="00395CAF" w:rsidRDefault="0071669E" w:rsidP="0071669E">
      <w:pPr>
        <w:rPr>
          <w:vanish/>
        </w:rPr>
      </w:pPr>
      <w:bookmarkStart w:id="4" w:name="PE"/>
      <w:r w:rsidRPr="00395CAF">
        <w:rPr>
          <w:vanish/>
        </w:rPr>
        <w:t>PE779.515</w:t>
      </w:r>
      <w:bookmarkEnd w:id="4"/>
    </w:p>
    <w:p w14:paraId="6E2E8F5A" w14:textId="6FBD1737" w:rsidR="0071669E" w:rsidRPr="00395CAF" w:rsidRDefault="002103CA" w:rsidP="0071669E">
      <w:pPr>
        <w:pStyle w:val="ATHeading3"/>
      </w:pPr>
      <w:bookmarkStart w:id="5" w:name="Sujet"/>
      <w:r>
        <w:t>Deċiżjoni</w:t>
      </w:r>
      <w:r w:rsidR="0071669E" w:rsidRPr="00395CAF">
        <w:t xml:space="preserve"> tal-Parlament Ewropew tas-17 ta' Diċembru 2025 dwar il-proposta tal-ħatra tad-Direttur Eżekuttiv tal-Awtorità Ewropea tal-Assigurazzjoni u l-Pensjonijiet tax-Xogħol</w:t>
      </w:r>
      <w:bookmarkEnd w:id="5"/>
      <w:r w:rsidR="0071669E" w:rsidRPr="00395CAF">
        <w:t xml:space="preserve"> </w:t>
      </w:r>
      <w:bookmarkStart w:id="6" w:name="References"/>
      <w:r w:rsidR="0071669E" w:rsidRPr="00395CAF">
        <w:t>(N10-0060/2025 – C10-0268/2025 – 2025/0904(NLE))</w:t>
      </w:r>
      <w:bookmarkEnd w:id="6"/>
    </w:p>
    <w:p w14:paraId="17682D6B" w14:textId="77777777" w:rsidR="006C2E78" w:rsidRPr="00395CAF" w:rsidRDefault="006C2E78" w:rsidP="006C2E78">
      <w:pPr>
        <w:pStyle w:val="NormalBold"/>
      </w:pPr>
      <w:r w:rsidRPr="00395CAF">
        <w:t>(Approvazzjoni)</w:t>
      </w:r>
    </w:p>
    <w:p w14:paraId="12A3332C" w14:textId="77777777" w:rsidR="006C2E78" w:rsidRPr="00395CAF" w:rsidRDefault="006C2E78" w:rsidP="006C2E78">
      <w:pPr>
        <w:pStyle w:val="EPComma"/>
      </w:pPr>
      <w:r w:rsidRPr="00395CAF">
        <w:rPr>
          <w:i/>
        </w:rPr>
        <w:t>Il-Parlament Ewropew</w:t>
      </w:r>
      <w:r w:rsidRPr="00395CAF">
        <w:t>,</w:t>
      </w:r>
    </w:p>
    <w:p w14:paraId="19EED589" w14:textId="77777777" w:rsidR="006C2E78" w:rsidRPr="00395CAF" w:rsidRDefault="006C2E78" w:rsidP="006C2E78">
      <w:pPr>
        <w:pStyle w:val="NormalHanging12a"/>
      </w:pPr>
      <w:r w:rsidRPr="00395CAF">
        <w:t>–</w:t>
      </w:r>
      <w:r w:rsidRPr="00395CAF">
        <w:tab/>
        <w:t>wara li kkunsidra l-proposta tal-Bord tas-</w:t>
      </w:r>
      <w:proofErr w:type="spellStart"/>
      <w:r w:rsidRPr="00395CAF">
        <w:t>Superviżuri</w:t>
      </w:r>
      <w:proofErr w:type="spellEnd"/>
      <w:r w:rsidRPr="00395CAF">
        <w:t xml:space="preserve"> tal-Awtorità Ewropea tal-Assigurazzjoni u l-Pensjonijiet tax-Xogħol tat-23 ta’ Ottubru 2025 (C10</w:t>
      </w:r>
      <w:r w:rsidRPr="00395CAF">
        <w:noBreakHyphen/>
        <w:t>0268/2025),</w:t>
      </w:r>
    </w:p>
    <w:p w14:paraId="7A82A53C" w14:textId="77777777" w:rsidR="006C2E78" w:rsidRPr="00395CAF" w:rsidRDefault="006C2E78" w:rsidP="006C2E78">
      <w:pPr>
        <w:pStyle w:val="NormalHanging12a"/>
      </w:pPr>
      <w:r w:rsidRPr="00395CAF">
        <w:t>–</w:t>
      </w:r>
      <w:r w:rsidRPr="00395CAF">
        <w:tab/>
        <w:t>wara li kkunsidra l-Artikolu 51(2) u (3) tar-Regolament (UE) Nru 1094/2010 tal-Parlament Ewropew u tal-Kunsill tal-24 ta’ Novembru 2010 li jistabbilixxi Awtorità Superviżorja Ewropea (Awtorità Ewropea tal-Assigurazzjoni u l-Pensjonijiet tax-Xogħol), u li jemenda d-Deċiżjoni Nru 716/2009/KE u li jħassar id-Deċiżjoni tal-Kummissjoni 2009/79/KE</w:t>
      </w:r>
      <w:r w:rsidRPr="00395CAF">
        <w:rPr>
          <w:rStyle w:val="FootnoteReference"/>
        </w:rPr>
        <w:footnoteReference w:id="1"/>
      </w:r>
      <w:r w:rsidRPr="00395CAF">
        <w:t>,</w:t>
      </w:r>
    </w:p>
    <w:p w14:paraId="0109DF0B" w14:textId="77777777" w:rsidR="006C2E78" w:rsidRPr="00395CAF" w:rsidRDefault="006C2E78" w:rsidP="006C2E78">
      <w:pPr>
        <w:pStyle w:val="Normal12Hanging"/>
      </w:pPr>
      <w:r w:rsidRPr="00395CAF">
        <w:t>–</w:t>
      </w:r>
      <w:r w:rsidRPr="00395CAF">
        <w:tab/>
        <w:t>wara li kkunsidra r-riżoluzzjoni tiegħu tal-14 ta’ Marzu 2019 dwar il-bilanċ bejn is-sessi fin-nomini fis-settur tal-affarijiet ekonomiċi u monetarji tal-UE</w:t>
      </w:r>
      <w:r w:rsidRPr="00395CAF">
        <w:rPr>
          <w:rStyle w:val="FootnoteReference"/>
        </w:rPr>
        <w:footnoteReference w:id="2"/>
      </w:r>
      <w:r w:rsidRPr="00395CAF">
        <w:t>,</w:t>
      </w:r>
    </w:p>
    <w:p w14:paraId="72BE605E" w14:textId="77777777" w:rsidR="006C2E78" w:rsidRPr="00395CAF" w:rsidRDefault="006C2E78" w:rsidP="006C2E78">
      <w:pPr>
        <w:pStyle w:val="Normal12Hanging"/>
      </w:pPr>
      <w:r w:rsidRPr="00395CAF">
        <w:t>–</w:t>
      </w:r>
      <w:r w:rsidRPr="00395CAF">
        <w:tab/>
        <w:t>wara li kkunsidra r-riżoluzzjoni tiegħu tas-16 ta’ Jannar 2020 dwar l-istituzzjonijiet u l-korpi tal-Unjoni Ekonomika u Monetarja: il-prevenzjoni tal-kunflitti ta’ interess wara l-impjieg fis-servizz pubbliku</w:t>
      </w:r>
      <w:r w:rsidRPr="00395CAF">
        <w:rPr>
          <w:rStyle w:val="FootnoteReference"/>
        </w:rPr>
        <w:footnoteReference w:id="3"/>
      </w:r>
      <w:r w:rsidRPr="00395CAF">
        <w:t>,</w:t>
      </w:r>
    </w:p>
    <w:p w14:paraId="0C83D8E9" w14:textId="77777777" w:rsidR="006C2E78" w:rsidRPr="00395CAF" w:rsidRDefault="006C2E78" w:rsidP="006C2E78">
      <w:pPr>
        <w:pStyle w:val="NormalHanging12a"/>
      </w:pPr>
      <w:r w:rsidRPr="00395CAF">
        <w:t>–</w:t>
      </w:r>
      <w:r w:rsidRPr="00395CAF">
        <w:tab/>
        <w:t>wara li kkunsidra l-Artikolu 135 tar-Regoli ta’ Proċedura tiegħu,</w:t>
      </w:r>
    </w:p>
    <w:p w14:paraId="39250ABB" w14:textId="77777777" w:rsidR="006C2E78" w:rsidRPr="00395CAF" w:rsidRDefault="006C2E78" w:rsidP="006C2E78">
      <w:pPr>
        <w:pStyle w:val="NormalHanging12a"/>
      </w:pPr>
      <w:r w:rsidRPr="00395CAF">
        <w:t>–</w:t>
      </w:r>
      <w:r w:rsidRPr="00395CAF">
        <w:tab/>
        <w:t>wara li kkunsidra r-rapport tal-Kumitat għall-Affarijiet Ekonomiċi u Monetarji (A10-0247/2025),</w:t>
      </w:r>
    </w:p>
    <w:p w14:paraId="5D198897" w14:textId="77777777" w:rsidR="006C2E78" w:rsidRPr="00395CAF" w:rsidRDefault="006C2E78" w:rsidP="006C2E78">
      <w:pPr>
        <w:pStyle w:val="NormalHanging12a"/>
      </w:pPr>
      <w:r w:rsidRPr="00395CAF">
        <w:t>A.</w:t>
      </w:r>
      <w:r w:rsidRPr="00395CAF">
        <w:tab/>
        <w:t>billi l-mandat tad-Direttur Eżekuttiv attwali tal-Awtorità Ewropea tal-Assigurazzjoni u l-Pensjonijiet tax-Xogħol jintemm fil-31 ta’ Marzu 2026;</w:t>
      </w:r>
    </w:p>
    <w:p w14:paraId="3799EED5" w14:textId="77777777" w:rsidR="006C2E78" w:rsidRPr="00395CAF" w:rsidRDefault="006C2E78" w:rsidP="006C2E78">
      <w:pPr>
        <w:pStyle w:val="NormalHanging12a"/>
      </w:pPr>
      <w:r w:rsidRPr="00395CAF">
        <w:t>B.</w:t>
      </w:r>
      <w:r w:rsidRPr="00395CAF">
        <w:tab/>
        <w:t>billi, fit-23 ta’ Ottubru 2025, il-Bord tas-</w:t>
      </w:r>
      <w:proofErr w:type="spellStart"/>
      <w:r w:rsidRPr="00395CAF">
        <w:t>Superviżuri</w:t>
      </w:r>
      <w:proofErr w:type="spellEnd"/>
      <w:r w:rsidRPr="00395CAF">
        <w:t xml:space="preserve"> tal-Awtorità Ewropea tal-Assigurazzjoni u l-Pensjonijiet tax-Xogħol, wara proċedura tal-għażla miftuħa, </w:t>
      </w:r>
      <w:r w:rsidRPr="00395CAF">
        <w:lastRenderedPageBreak/>
        <w:t xml:space="preserve">ippropona li jaħtar lil Damian </w:t>
      </w:r>
      <w:proofErr w:type="spellStart"/>
      <w:r w:rsidRPr="00395CAF">
        <w:t>Jaworski</w:t>
      </w:r>
      <w:proofErr w:type="spellEnd"/>
      <w:r w:rsidRPr="00395CAF">
        <w:t xml:space="preserve"> bħala Direttur Eżekuttiv għal mandat ta’ ħames snin, f’konformità mal-Artikolu 51(2) u (3) tar-Regolament (UE) Nru 1094/2010;</w:t>
      </w:r>
    </w:p>
    <w:p w14:paraId="276C4363" w14:textId="77777777" w:rsidR="006C2E78" w:rsidRPr="00395CAF" w:rsidRDefault="006C2E78" w:rsidP="006C2E78">
      <w:pPr>
        <w:pStyle w:val="NormalHanging12a"/>
      </w:pPr>
      <w:r w:rsidRPr="00395CAF">
        <w:t>C.</w:t>
      </w:r>
      <w:r w:rsidRPr="00395CAF">
        <w:tab/>
        <w:t xml:space="preserve">billi, fis-6 ta’ Novembru 2025, il-Kumitat għall-Affarijiet Ekonomiċi u Monetarji kellu seduta ta’ smigħ ma’ Damian </w:t>
      </w:r>
      <w:proofErr w:type="spellStart"/>
      <w:r w:rsidRPr="00395CAF">
        <w:t>Jaworski</w:t>
      </w:r>
      <w:proofErr w:type="spellEnd"/>
      <w:r w:rsidRPr="00395CAF">
        <w:t>, li fiha hu għamel stqarrija preliminari u mbagħad wieġeb għal mistoqsijiet li saru mill-membri tal-Kumitat;</w:t>
      </w:r>
    </w:p>
    <w:p w14:paraId="7F61F6EA" w14:textId="77777777" w:rsidR="006C2E78" w:rsidRPr="00395CAF" w:rsidRDefault="006C2E78" w:rsidP="006C2E78">
      <w:pPr>
        <w:pStyle w:val="NormalHanging12a"/>
      </w:pPr>
      <w:r w:rsidRPr="00395CAF">
        <w:t>1.</w:t>
      </w:r>
      <w:r w:rsidRPr="00395CAF">
        <w:tab/>
        <w:t xml:space="preserve">Jagħti l-approvazzjoni tiegħu għall-ħatra ta’ Damian </w:t>
      </w:r>
      <w:proofErr w:type="spellStart"/>
      <w:r w:rsidRPr="00395CAF">
        <w:t>Jaworski</w:t>
      </w:r>
      <w:proofErr w:type="spellEnd"/>
      <w:r w:rsidRPr="00395CAF">
        <w:t xml:space="preserve"> bħala Direttur Eżekuttiv tal-Awtorità Ewropea tal-Assigurazzjoni u l-Pensjonijiet tax-Xogħol;</w:t>
      </w:r>
    </w:p>
    <w:p w14:paraId="6C4A79EC" w14:textId="16562EC2" w:rsidR="00395CAF" w:rsidRPr="00395CAF" w:rsidRDefault="006C2E78" w:rsidP="00395CAF">
      <w:pPr>
        <w:pStyle w:val="NormalHanging12a"/>
      </w:pPr>
      <w:r w:rsidRPr="00395CAF">
        <w:t>2.</w:t>
      </w:r>
      <w:r w:rsidRPr="00395CAF">
        <w:tab/>
        <w:t>Jagħti istruzzjonijiet lill-President tiegħu biex tgħaddi din id-deċiżjoni lill-Kunsill, lill-Kummissjoni, lill-Awtorità Ewropea tal-Assigurazzjoni u l-Pensjonijiet tax-Xogħol kif ukoll lill-gvernijiet tal-Istati Membri.</w:t>
      </w:r>
    </w:p>
    <w:p w14:paraId="54313745" w14:textId="09214AAA" w:rsidR="00E365E1" w:rsidRPr="00395CAF" w:rsidRDefault="00E365E1" w:rsidP="0071669E"/>
    <w:sectPr w:rsidR="00E365E1" w:rsidRPr="00395CAF" w:rsidSect="00395CA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27642F" w14:textId="77777777" w:rsidR="0071669E" w:rsidRPr="00395CAF" w:rsidRDefault="0071669E">
      <w:r w:rsidRPr="00395CAF">
        <w:separator/>
      </w:r>
    </w:p>
  </w:endnote>
  <w:endnote w:type="continuationSeparator" w:id="0">
    <w:p w14:paraId="657123CE" w14:textId="77777777" w:rsidR="0071669E" w:rsidRPr="00395CAF" w:rsidRDefault="0071669E">
      <w:r w:rsidRPr="00395CA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E3410F" w14:textId="77777777" w:rsidR="00064002" w:rsidRPr="00395CA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5A0FC1" w14:textId="77777777" w:rsidR="00064002" w:rsidRPr="00395CA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1E2277" w14:textId="77777777" w:rsidR="00064002" w:rsidRPr="00395CA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806EAE" w14:textId="77777777" w:rsidR="0071669E" w:rsidRPr="00395CAF" w:rsidRDefault="0071669E">
      <w:r w:rsidRPr="00395CAF">
        <w:separator/>
      </w:r>
    </w:p>
  </w:footnote>
  <w:footnote w:type="continuationSeparator" w:id="0">
    <w:p w14:paraId="1347860F" w14:textId="77777777" w:rsidR="0071669E" w:rsidRPr="00395CAF" w:rsidRDefault="0071669E">
      <w:r w:rsidRPr="00395CAF">
        <w:continuationSeparator/>
      </w:r>
    </w:p>
  </w:footnote>
  <w:footnote w:id="1">
    <w:p w14:paraId="0036184F" w14:textId="2908EF1D" w:rsidR="006C2E78" w:rsidRPr="00395CAF" w:rsidRDefault="006C2E78" w:rsidP="00395CAF">
      <w:pPr>
        <w:pStyle w:val="FootnoteText"/>
        <w:ind w:left="567" w:hanging="567"/>
        <w:rPr>
          <w:sz w:val="24"/>
          <w:lang w:val="mt-MT"/>
        </w:rPr>
      </w:pPr>
      <w:r w:rsidRPr="00395CAF">
        <w:rPr>
          <w:rStyle w:val="FootnoteReference"/>
          <w:sz w:val="24"/>
          <w:lang w:val="mt-MT"/>
        </w:rPr>
        <w:footnoteRef/>
      </w:r>
      <w:r w:rsidR="00395CAF" w:rsidRPr="00395CAF">
        <w:rPr>
          <w:sz w:val="24"/>
          <w:lang w:val="mt-MT"/>
        </w:rPr>
        <w:t xml:space="preserve"> </w:t>
      </w:r>
      <w:r w:rsidR="00395CAF" w:rsidRPr="00395CAF">
        <w:rPr>
          <w:sz w:val="24"/>
          <w:lang w:val="mt-MT"/>
        </w:rPr>
        <w:tab/>
      </w:r>
      <w:r w:rsidRPr="00395CAF">
        <w:rPr>
          <w:sz w:val="24"/>
          <w:lang w:val="mt-MT"/>
        </w:rPr>
        <w:t xml:space="preserve">ĠU L 331, 15.12.2010, p. 48, ELI: </w:t>
      </w:r>
      <w:hyperlink r:id="rId1" w:history="1">
        <w:r w:rsidRPr="00395CAF">
          <w:rPr>
            <w:rStyle w:val="Hyperlink"/>
            <w:sz w:val="24"/>
            <w:lang w:val="mt-MT"/>
          </w:rPr>
          <w:t>http://data.europa.eu/eli/reg/2010/1094/oj</w:t>
        </w:r>
      </w:hyperlink>
      <w:r w:rsidRPr="00395CAF">
        <w:rPr>
          <w:sz w:val="24"/>
          <w:lang w:val="mt-MT"/>
        </w:rPr>
        <w:t>.</w:t>
      </w:r>
    </w:p>
  </w:footnote>
  <w:footnote w:id="2">
    <w:p w14:paraId="364F3A3C" w14:textId="1A4C3E74" w:rsidR="006C2E78" w:rsidRPr="00395CAF" w:rsidRDefault="006C2E78" w:rsidP="00395CAF">
      <w:pPr>
        <w:pStyle w:val="FootnoteText"/>
        <w:ind w:left="567" w:hanging="567"/>
        <w:rPr>
          <w:sz w:val="24"/>
          <w:lang w:val="mt-MT"/>
        </w:rPr>
      </w:pPr>
      <w:r w:rsidRPr="00395CAF">
        <w:rPr>
          <w:rStyle w:val="FootnoteReference"/>
          <w:sz w:val="24"/>
          <w:lang w:val="mt-MT"/>
        </w:rPr>
        <w:footnoteRef/>
      </w:r>
      <w:r w:rsidR="00395CAF" w:rsidRPr="00395CAF">
        <w:rPr>
          <w:sz w:val="24"/>
          <w:lang w:val="mt-MT"/>
        </w:rPr>
        <w:t xml:space="preserve"> </w:t>
      </w:r>
      <w:r w:rsidR="00395CAF" w:rsidRPr="00395CAF">
        <w:rPr>
          <w:sz w:val="24"/>
          <w:lang w:val="mt-MT"/>
        </w:rPr>
        <w:tab/>
      </w:r>
      <w:r w:rsidRPr="00395CAF">
        <w:rPr>
          <w:sz w:val="24"/>
          <w:lang w:val="mt-MT"/>
        </w:rPr>
        <w:t>ĠU C 23, 21.1.2021, p. 105.</w:t>
      </w:r>
    </w:p>
  </w:footnote>
  <w:footnote w:id="3">
    <w:p w14:paraId="1879D7BB" w14:textId="1F487D43" w:rsidR="006C2E78" w:rsidRPr="00395CAF" w:rsidRDefault="006C2E78" w:rsidP="00395CAF">
      <w:pPr>
        <w:pStyle w:val="FootnoteText"/>
        <w:ind w:left="567" w:hanging="567"/>
        <w:rPr>
          <w:sz w:val="24"/>
          <w:lang w:val="mt-MT"/>
        </w:rPr>
      </w:pPr>
      <w:r w:rsidRPr="00395CAF">
        <w:rPr>
          <w:rStyle w:val="FootnoteReference"/>
          <w:sz w:val="24"/>
          <w:lang w:val="mt-MT"/>
        </w:rPr>
        <w:footnoteRef/>
      </w:r>
      <w:r w:rsidR="00395CAF" w:rsidRPr="00395CAF">
        <w:rPr>
          <w:sz w:val="24"/>
          <w:lang w:val="mt-MT"/>
        </w:rPr>
        <w:t xml:space="preserve"> </w:t>
      </w:r>
      <w:r w:rsidR="00395CAF" w:rsidRPr="00395CAF">
        <w:rPr>
          <w:sz w:val="24"/>
          <w:lang w:val="mt-MT"/>
        </w:rPr>
        <w:tab/>
      </w:r>
      <w:r w:rsidRPr="00395CAF">
        <w:rPr>
          <w:sz w:val="24"/>
          <w:lang w:val="mt-MT"/>
        </w:rPr>
        <w:t>Testi adottati, P9_TA(2020)0017.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DE87B1" w14:textId="77777777" w:rsidR="00064002" w:rsidRPr="00395CA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006165" w14:textId="77777777" w:rsidR="00064002" w:rsidRPr="00395CA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2E4848" w14:textId="77777777" w:rsidR="00064002" w:rsidRPr="00395CA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961839172">
    <w:abstractNumId w:val="9"/>
  </w:num>
  <w:num w:numId="2" w16cid:durableId="1205629917">
    <w:abstractNumId w:val="9"/>
  </w:num>
  <w:num w:numId="3" w16cid:durableId="268511556">
    <w:abstractNumId w:val="7"/>
  </w:num>
  <w:num w:numId="4" w16cid:durableId="173423513">
    <w:abstractNumId w:val="7"/>
  </w:num>
  <w:num w:numId="5" w16cid:durableId="1816793943">
    <w:abstractNumId w:val="6"/>
  </w:num>
  <w:num w:numId="6" w16cid:durableId="670370184">
    <w:abstractNumId w:val="6"/>
  </w:num>
  <w:num w:numId="7" w16cid:durableId="529533115">
    <w:abstractNumId w:val="5"/>
  </w:num>
  <w:num w:numId="8" w16cid:durableId="1689793258">
    <w:abstractNumId w:val="5"/>
  </w:num>
  <w:num w:numId="9" w16cid:durableId="1137527428">
    <w:abstractNumId w:val="4"/>
  </w:num>
  <w:num w:numId="10" w16cid:durableId="1650479917">
    <w:abstractNumId w:val="4"/>
  </w:num>
  <w:num w:numId="11" w16cid:durableId="1994328853">
    <w:abstractNumId w:val="8"/>
  </w:num>
  <w:num w:numId="12" w16cid:durableId="846288544">
    <w:abstractNumId w:val="8"/>
  </w:num>
  <w:num w:numId="13" w16cid:durableId="393236953">
    <w:abstractNumId w:val="3"/>
  </w:num>
  <w:num w:numId="14" w16cid:durableId="876545537">
    <w:abstractNumId w:val="3"/>
  </w:num>
  <w:num w:numId="15" w16cid:durableId="1560826376">
    <w:abstractNumId w:val="2"/>
  </w:num>
  <w:num w:numId="16" w16cid:durableId="852038556">
    <w:abstractNumId w:val="2"/>
  </w:num>
  <w:num w:numId="17" w16cid:durableId="1704356450">
    <w:abstractNumId w:val="1"/>
  </w:num>
  <w:num w:numId="18" w16cid:durableId="116874301">
    <w:abstractNumId w:val="1"/>
  </w:num>
  <w:num w:numId="19" w16cid:durableId="1578708181">
    <w:abstractNumId w:val="0"/>
  </w:num>
  <w:num w:numId="20" w16cid:durableId="1775048850">
    <w:abstractNumId w:val="0"/>
  </w:num>
  <w:num w:numId="21" w16cid:durableId="273248906">
    <w:abstractNumId w:val="9"/>
  </w:num>
  <w:num w:numId="22" w16cid:durableId="183596285">
    <w:abstractNumId w:val="7"/>
  </w:num>
  <w:num w:numId="23" w16cid:durableId="1398236917">
    <w:abstractNumId w:val="6"/>
  </w:num>
  <w:num w:numId="24" w16cid:durableId="764108829">
    <w:abstractNumId w:val="5"/>
  </w:num>
  <w:num w:numId="25" w16cid:durableId="2047562403">
    <w:abstractNumId w:val="4"/>
  </w:num>
  <w:num w:numId="26" w16cid:durableId="82536735">
    <w:abstractNumId w:val="8"/>
  </w:num>
  <w:num w:numId="27" w16cid:durableId="620263802">
    <w:abstractNumId w:val="3"/>
  </w:num>
  <w:num w:numId="28" w16cid:durableId="1675641678">
    <w:abstractNumId w:val="2"/>
  </w:num>
  <w:num w:numId="29" w16cid:durableId="1017661505">
    <w:abstractNumId w:val="1"/>
  </w:num>
  <w:num w:numId="30" w16cid:durableId="1345130741">
    <w:abstractNumId w:val="0"/>
  </w:num>
  <w:num w:numId="31" w16cid:durableId="1286735146">
    <w:abstractNumId w:val="9"/>
  </w:num>
  <w:num w:numId="32" w16cid:durableId="1910067017">
    <w:abstractNumId w:val="7"/>
  </w:num>
  <w:num w:numId="33" w16cid:durableId="1340738390">
    <w:abstractNumId w:val="6"/>
  </w:num>
  <w:num w:numId="34" w16cid:durableId="860708776">
    <w:abstractNumId w:val="5"/>
  </w:num>
  <w:num w:numId="35" w16cid:durableId="1178497899">
    <w:abstractNumId w:val="4"/>
  </w:num>
  <w:num w:numId="36" w16cid:durableId="349919282">
    <w:abstractNumId w:val="8"/>
  </w:num>
  <w:num w:numId="37" w16cid:durableId="1573999374">
    <w:abstractNumId w:val="3"/>
  </w:num>
  <w:num w:numId="38" w16cid:durableId="1598051171">
    <w:abstractNumId w:val="2"/>
  </w:num>
  <w:num w:numId="39" w16cid:durableId="2045137245">
    <w:abstractNumId w:val="1"/>
  </w:num>
  <w:num w:numId="40" w16cid:durableId="1890653256">
    <w:abstractNumId w:val="0"/>
  </w:num>
  <w:num w:numId="41" w16cid:durableId="1792048465">
    <w:abstractNumId w:val="10"/>
  </w:num>
  <w:num w:numId="42" w16cid:durableId="715662752">
    <w:abstractNumId w:val="10"/>
  </w:num>
  <w:num w:numId="43" w16cid:durableId="566302824">
    <w:abstractNumId w:val="10"/>
  </w:num>
  <w:num w:numId="44" w16cid:durableId="93054966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47/2025"/>
    <w:docVar w:name="dvlangue" w:val="MT"/>
    <w:docVar w:name="dvnumam" w:val="0"/>
    <w:docVar w:name="dvpe" w:val="779.515"/>
    <w:docVar w:name="dvrapporteur" w:val="Rapporteur: "/>
    <w:docVar w:name="dvtitre" w:val="Riżoluzzjoni leġiżlattiva tal-Parlament Ewropew tas-17 ta' Diċembru 2025 dwar il-proposta tal-ħatra tad-Direttur Eżekuttiv tal-Awtorità Ewropea tal-Assigurazzjoni u l-Pensjonijiet tax-Xogħol(N10-0060/2025 – C10-0268/2025 – 2025/0904(NLE))"/>
  </w:docVars>
  <w:rsids>
    <w:rsidRoot w:val="0071669E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1D85"/>
    <w:rsid w:val="001F32AE"/>
    <w:rsid w:val="002103CA"/>
    <w:rsid w:val="002767FF"/>
    <w:rsid w:val="002B18FE"/>
    <w:rsid w:val="002B5493"/>
    <w:rsid w:val="00343214"/>
    <w:rsid w:val="00361C00"/>
    <w:rsid w:val="00395CAF"/>
    <w:rsid w:val="00395FA1"/>
    <w:rsid w:val="003E15D4"/>
    <w:rsid w:val="00411CCE"/>
    <w:rsid w:val="0041666E"/>
    <w:rsid w:val="00421060"/>
    <w:rsid w:val="004364F5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C2E78"/>
    <w:rsid w:val="006F74FA"/>
    <w:rsid w:val="0071669E"/>
    <w:rsid w:val="00731ADD"/>
    <w:rsid w:val="00734777"/>
    <w:rsid w:val="00747932"/>
    <w:rsid w:val="00751A4A"/>
    <w:rsid w:val="00756632"/>
    <w:rsid w:val="00762C74"/>
    <w:rsid w:val="00786C19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12D01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DA83B6"/>
  <w15:chartTrackingRefBased/>
  <w15:docId w15:val="{E7E5A434-9DEC-4B10-9BF9-11CC2389B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6C2E78"/>
    <w:pPr>
      <w:spacing w:before="480" w:after="240"/>
    </w:pPr>
  </w:style>
  <w:style w:type="paragraph" w:customStyle="1" w:styleId="NormalBold">
    <w:name w:val="NormalBold"/>
    <w:basedOn w:val="Normal"/>
    <w:rsid w:val="006C2E78"/>
    <w:rPr>
      <w:b/>
    </w:rPr>
  </w:style>
  <w:style w:type="paragraph" w:customStyle="1" w:styleId="NormalHanging12a">
    <w:name w:val="NormalHanging12a"/>
    <w:basedOn w:val="Normal"/>
    <w:rsid w:val="006C2E78"/>
    <w:pPr>
      <w:spacing w:after="240"/>
      <w:ind w:left="567" w:hanging="567"/>
    </w:pPr>
  </w:style>
  <w:style w:type="character" w:styleId="Hyperlink">
    <w:name w:val="Hyperlink"/>
    <w:uiPriority w:val="99"/>
    <w:rsid w:val="006C2E78"/>
    <w:rPr>
      <w:color w:val="0000FF"/>
      <w:u w:val="single"/>
    </w:rPr>
  </w:style>
  <w:style w:type="paragraph" w:customStyle="1" w:styleId="Normal12Hanging">
    <w:name w:val="Normal12Hanging"/>
    <w:basedOn w:val="Normal"/>
    <w:rsid w:val="006C2E78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reg/2010/1094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296</Words>
  <Characters>2418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CAMILLERI Denise</cp:lastModifiedBy>
  <cp:revision>2</cp:revision>
  <cp:lastPrinted>2004-11-19T15:42:00Z</cp:lastPrinted>
  <dcterms:created xsi:type="dcterms:W3CDTF">2025-12-17T11:54:00Z</dcterms:created>
  <dcterms:modified xsi:type="dcterms:W3CDTF">2025-12-17T11:54:00Z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A10-0247/2025</vt:lpwstr>
  </property>
  <property fmtid="{D5CDD505-2E9C-101B-9397-08002B2CF9AE}" pid="4" name="&lt;Type&gt;">
    <vt:lpwstr>RR</vt:lpwstr>
  </property>
</Properties>
</file>