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717D" w14:paraId="38CE1D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D3A4B4" w14:textId="77777777" w:rsidR="00751A4A" w:rsidRPr="003B717D" w:rsidRDefault="0089280C" w:rsidP="0010095E">
            <w:pPr>
              <w:pStyle w:val="EPName"/>
            </w:pPr>
            <w:r w:rsidRPr="003B717D">
              <w:t xml:space="preserve">Parlamento </w:t>
            </w:r>
            <w:proofErr w:type="gramStart"/>
            <w:r w:rsidRPr="003B717D">
              <w:t>Europeu</w:t>
            </w:r>
            <w:proofErr w:type="gramEnd"/>
          </w:p>
          <w:p w14:paraId="2562820E" w14:textId="77777777" w:rsidR="00751A4A" w:rsidRPr="003B71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717D">
              <w:t>2024</w:t>
            </w:r>
            <w:r w:rsidR="00817416" w:rsidRPr="003B717D">
              <w:t>-202</w:t>
            </w:r>
            <w:r w:rsidRPr="003B717D">
              <w:t>9</w:t>
            </w:r>
          </w:p>
        </w:tc>
        <w:tc>
          <w:tcPr>
            <w:tcW w:w="2268" w:type="dxa"/>
            <w:shd w:val="clear" w:color="auto" w:fill="auto"/>
          </w:tcPr>
          <w:p w14:paraId="4F2425E2" w14:textId="77777777" w:rsidR="00751A4A" w:rsidRPr="003B717D" w:rsidRDefault="00187494" w:rsidP="0010095E">
            <w:pPr>
              <w:pStyle w:val="EPLogo"/>
            </w:pPr>
            <w:r w:rsidRPr="003B717D">
              <w:rPr>
                <w:noProof/>
                <w:lang w:eastAsia="ja-JP"/>
              </w:rPr>
              <w:drawing>
                <wp:inline distT="0" distB="0" distL="0" distR="0" wp14:anchorId="42530301" wp14:editId="05A704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EEA3C" w14:textId="77777777" w:rsidR="00D058B8" w:rsidRPr="003B717D" w:rsidRDefault="00D058B8" w:rsidP="004C5D52">
      <w:pPr>
        <w:pStyle w:val="LineTop"/>
      </w:pPr>
    </w:p>
    <w:p w14:paraId="124CD12C" w14:textId="77777777" w:rsidR="00680577" w:rsidRPr="003B717D" w:rsidRDefault="0089280C" w:rsidP="00680577">
      <w:pPr>
        <w:pStyle w:val="EPBodyTA1"/>
      </w:pPr>
      <w:r w:rsidRPr="003B717D">
        <w:t>TEXTOS APROVADOS</w:t>
      </w:r>
    </w:p>
    <w:p w14:paraId="28014281" w14:textId="77777777" w:rsidR="00D058B8" w:rsidRPr="003B717D" w:rsidRDefault="00D058B8" w:rsidP="00D058B8">
      <w:pPr>
        <w:pStyle w:val="LineBottom"/>
      </w:pPr>
    </w:p>
    <w:p w14:paraId="53610735" w14:textId="7EE8928F" w:rsidR="0089280C" w:rsidRPr="003B717D" w:rsidRDefault="0089280C" w:rsidP="0089280C">
      <w:pPr>
        <w:pStyle w:val="ATHeading1"/>
      </w:pPr>
      <w:bookmarkStart w:id="0" w:name="TANumber"/>
      <w:r w:rsidRPr="003B717D">
        <w:t>P10_TA(2025)0</w:t>
      </w:r>
      <w:r w:rsidR="003B717D" w:rsidRPr="003B717D">
        <w:t>334</w:t>
      </w:r>
      <w:bookmarkEnd w:id="0"/>
    </w:p>
    <w:p w14:paraId="4C5E6CDF" w14:textId="77777777" w:rsidR="0089280C" w:rsidRPr="003B717D" w:rsidRDefault="0089280C" w:rsidP="0089280C">
      <w:pPr>
        <w:pStyle w:val="ATHeading2"/>
      </w:pPr>
      <w:bookmarkStart w:id="1" w:name="title"/>
      <w:r w:rsidRPr="003B717D">
        <w:t>Nomeação do diretor-executivo da Autoridade Europeia dos Seguros e Pensões Complementares de Reforma (EIOPA)</w:t>
      </w:r>
      <w:bookmarkEnd w:id="1"/>
    </w:p>
    <w:p w14:paraId="5D838113" w14:textId="77777777" w:rsidR="0089280C" w:rsidRPr="003B717D" w:rsidRDefault="0089280C" w:rsidP="0089280C">
      <w:pPr>
        <w:rPr>
          <w:i/>
          <w:vanish/>
        </w:rPr>
      </w:pPr>
      <w:r w:rsidRPr="003B717D">
        <w:rPr>
          <w:i/>
        </w:rPr>
        <w:fldChar w:fldCharType="begin"/>
      </w:r>
      <w:r w:rsidRPr="003B717D">
        <w:rPr>
          <w:i/>
        </w:rPr>
        <w:instrText xml:space="preserve"> TC"(</w:instrText>
      </w:r>
      <w:bookmarkStart w:id="2" w:name="DocNumber"/>
      <w:r w:rsidRPr="003B717D">
        <w:rPr>
          <w:i/>
        </w:rPr>
        <w:instrText>A10-0247/2025</w:instrText>
      </w:r>
      <w:bookmarkEnd w:id="2"/>
      <w:r w:rsidRPr="003B717D">
        <w:rPr>
          <w:i/>
        </w:rPr>
        <w:instrText xml:space="preserve"> - Relatora: Aurore Lalucq)"\l3 \n&gt; \* MERGEFORMAT </w:instrText>
      </w:r>
      <w:r w:rsidRPr="003B717D">
        <w:rPr>
          <w:i/>
        </w:rPr>
        <w:fldChar w:fldCharType="end"/>
      </w:r>
    </w:p>
    <w:p w14:paraId="18FB9C7B" w14:textId="77777777" w:rsidR="0089280C" w:rsidRPr="003B717D" w:rsidRDefault="0089280C" w:rsidP="0089280C">
      <w:pPr>
        <w:rPr>
          <w:vanish/>
        </w:rPr>
      </w:pPr>
      <w:bookmarkStart w:id="3" w:name="Commission"/>
      <w:r w:rsidRPr="003B717D">
        <w:rPr>
          <w:vanish/>
        </w:rPr>
        <w:t>Comissão dos Assuntos Económicos e Monetários</w:t>
      </w:r>
      <w:bookmarkEnd w:id="3"/>
    </w:p>
    <w:p w14:paraId="07AEE7B7" w14:textId="77777777" w:rsidR="0089280C" w:rsidRPr="003B717D" w:rsidRDefault="0089280C" w:rsidP="0089280C">
      <w:pPr>
        <w:rPr>
          <w:vanish/>
        </w:rPr>
      </w:pPr>
      <w:bookmarkStart w:id="4" w:name="PE"/>
      <w:r w:rsidRPr="003B717D">
        <w:rPr>
          <w:vanish/>
        </w:rPr>
        <w:t>PE779.515</w:t>
      </w:r>
      <w:bookmarkEnd w:id="4"/>
    </w:p>
    <w:p w14:paraId="6DAABCC7" w14:textId="6AEB6F39" w:rsidR="0089280C" w:rsidRPr="003B717D" w:rsidRDefault="0089280C" w:rsidP="0089280C">
      <w:pPr>
        <w:pStyle w:val="ATHeading3"/>
      </w:pPr>
      <w:bookmarkStart w:id="5" w:name="Sujet"/>
      <w:r w:rsidRPr="003B717D">
        <w:t xml:space="preserve">Decisão do Parlamento Europeu, de </w:t>
      </w:r>
      <w:r w:rsidR="00CF1306" w:rsidRPr="003B717D">
        <w:t>17</w:t>
      </w:r>
      <w:r w:rsidRPr="003B717D">
        <w:t xml:space="preserve"> de </w:t>
      </w:r>
      <w:r w:rsidR="00CF1306" w:rsidRPr="003B717D">
        <w:t>dezembro</w:t>
      </w:r>
      <w:r w:rsidRPr="003B717D">
        <w:t xml:space="preserve"> de 2025, sobre a proposta de nomeação do diretor executivo da Autoridade Europeia dos Seguros e Pensões Complementares de Reforma</w:t>
      </w:r>
      <w:bookmarkEnd w:id="5"/>
      <w:r w:rsidRPr="003B717D">
        <w:t xml:space="preserve"> </w:t>
      </w:r>
      <w:bookmarkStart w:id="6" w:name="References"/>
      <w:r w:rsidRPr="003B717D">
        <w:t>(N10-0060/2025 – C10-0268/2025 – 2025/0904(NLE))</w:t>
      </w:r>
      <w:bookmarkEnd w:id="6"/>
    </w:p>
    <w:p w14:paraId="5029BCE0" w14:textId="77777777" w:rsidR="00FE5B56" w:rsidRPr="003B717D" w:rsidRDefault="00FE5B56" w:rsidP="00FE5B56">
      <w:pPr>
        <w:pStyle w:val="NormalBold"/>
      </w:pPr>
      <w:r w:rsidRPr="003B717D">
        <w:t>(Aprovação)</w:t>
      </w:r>
    </w:p>
    <w:p w14:paraId="6C3FCCCA" w14:textId="77777777" w:rsidR="00FE5B56" w:rsidRPr="003B717D" w:rsidRDefault="00FE5B56" w:rsidP="00FE5B56">
      <w:pPr>
        <w:pStyle w:val="EPComma"/>
      </w:pPr>
      <w:r w:rsidRPr="003B717D">
        <w:rPr>
          <w:i/>
          <w:iCs/>
        </w:rPr>
        <w:t>O Parlamento Europeu</w:t>
      </w:r>
      <w:r w:rsidRPr="003B717D">
        <w:t>,</w:t>
      </w:r>
    </w:p>
    <w:p w14:paraId="66A06568" w14:textId="77777777" w:rsidR="00FE5B56" w:rsidRPr="003B717D" w:rsidRDefault="00FE5B56" w:rsidP="00FE5B56">
      <w:pPr>
        <w:pStyle w:val="NormalHanging12a"/>
      </w:pPr>
      <w:r w:rsidRPr="003B717D">
        <w:t>–</w:t>
      </w:r>
      <w:r w:rsidRPr="003B717D">
        <w:tab/>
        <w:t>Tendo em conta a proposta do Conselho de Supervisores da Autoridade Europeia dos Seguros e Pensões Complementares de Reforma de 23 de outubro de 2025 (C10</w:t>
      </w:r>
      <w:r w:rsidRPr="003B717D">
        <w:noBreakHyphen/>
        <w:t>0268/2025),</w:t>
      </w:r>
    </w:p>
    <w:p w14:paraId="325F22B8" w14:textId="77777777" w:rsidR="00FE5B56" w:rsidRPr="003B717D" w:rsidRDefault="00FE5B56" w:rsidP="00FE5B56">
      <w:pPr>
        <w:pStyle w:val="NormalHanging12a"/>
      </w:pPr>
      <w:r w:rsidRPr="003B717D">
        <w:t>–</w:t>
      </w:r>
      <w:r w:rsidRPr="003B717D">
        <w:tab/>
        <w:t>Tendo em conta o artigo 51.º, n.</w:t>
      </w:r>
      <w:r w:rsidRPr="003B717D">
        <w:rPr>
          <w:vertAlign w:val="superscript"/>
        </w:rPr>
        <w:t>os</w:t>
      </w:r>
      <w:r w:rsidRPr="003B717D">
        <w:t xml:space="preserve"> 2 e 3, do Regulamento (UE) n.º 1094/2010 do Parlamento Europeu e do Conselho, de 24 de novembro de 2010, que cria uma Autoridade Europeia de Supervisão (Autoridade Europeia dos Seguros e Pensões Complementares de Reforma), altera a Decisão n.º 716/2009/CE e revoga a Decisão 2009/79/CE da Comissão</w:t>
      </w:r>
      <w:r w:rsidRPr="003B717D">
        <w:rPr>
          <w:rStyle w:val="FootnoteReference"/>
        </w:rPr>
        <w:footnoteReference w:id="1"/>
      </w:r>
      <w:r w:rsidRPr="003B717D">
        <w:t>,</w:t>
      </w:r>
    </w:p>
    <w:p w14:paraId="06C3C1D1" w14:textId="77777777" w:rsidR="00FE5B56" w:rsidRPr="003B717D" w:rsidRDefault="00FE5B56" w:rsidP="00FE5B56">
      <w:pPr>
        <w:pStyle w:val="Normal12Hanging"/>
      </w:pPr>
      <w:r w:rsidRPr="003B717D">
        <w:t>–</w:t>
      </w:r>
      <w:r w:rsidRPr="003B717D">
        <w:tab/>
        <w:t>Tendo em conta a sua resolução, de 14 de março de 2019, sobre o equilíbrio de género nas nomeações no domínio dos assuntos económicos e monetários da UE</w:t>
      </w:r>
      <w:r w:rsidRPr="003B717D">
        <w:rPr>
          <w:rStyle w:val="FootnoteReference"/>
        </w:rPr>
        <w:footnoteReference w:id="2"/>
      </w:r>
      <w:r w:rsidRPr="003B717D">
        <w:t>,</w:t>
      </w:r>
    </w:p>
    <w:p w14:paraId="1EEF21A8" w14:textId="77777777" w:rsidR="00FE5B56" w:rsidRPr="003B717D" w:rsidRDefault="00FE5B56" w:rsidP="00FE5B56">
      <w:pPr>
        <w:pStyle w:val="Normal12Hanging"/>
      </w:pPr>
      <w:r w:rsidRPr="003B717D">
        <w:t>–</w:t>
      </w:r>
      <w:r w:rsidRPr="003B717D">
        <w:tab/>
        <w:t>Tendo em conta a sua resolução, de 16 de janeiro de 2020, sobre instituições e órgãos da União Económica e Monetária: prevenir conflitos de interesses após o exercício de cargos públicos</w:t>
      </w:r>
      <w:r w:rsidRPr="003B717D">
        <w:rPr>
          <w:rStyle w:val="FootnoteReference"/>
        </w:rPr>
        <w:footnoteReference w:id="3"/>
      </w:r>
      <w:r w:rsidRPr="003B717D">
        <w:t>,</w:t>
      </w:r>
    </w:p>
    <w:p w14:paraId="56EADC62" w14:textId="77777777" w:rsidR="00FE5B56" w:rsidRPr="003B717D" w:rsidRDefault="00FE5B56" w:rsidP="00FE5B56">
      <w:pPr>
        <w:pStyle w:val="NormalHanging12a"/>
      </w:pPr>
      <w:r w:rsidRPr="003B717D">
        <w:t>–</w:t>
      </w:r>
      <w:r w:rsidRPr="003B717D">
        <w:tab/>
        <w:t>Tendo em conta o artigo 135.º do seu Regimento,</w:t>
      </w:r>
    </w:p>
    <w:p w14:paraId="0B1577D8" w14:textId="77777777" w:rsidR="00FE5B56" w:rsidRPr="003B717D" w:rsidRDefault="00FE5B56" w:rsidP="00FE5B56">
      <w:pPr>
        <w:pStyle w:val="NormalHanging12a"/>
      </w:pPr>
      <w:r w:rsidRPr="003B717D">
        <w:t>–</w:t>
      </w:r>
      <w:r w:rsidRPr="003B717D">
        <w:tab/>
        <w:t>Tendo em conta o relatório da Comissão dos Assuntos Económicos e Monetários (A10</w:t>
      </w:r>
      <w:r w:rsidRPr="003B717D">
        <w:noBreakHyphen/>
        <w:t>0247/2025),</w:t>
      </w:r>
    </w:p>
    <w:p w14:paraId="51A33D95" w14:textId="77777777" w:rsidR="00FE5B56" w:rsidRPr="003B717D" w:rsidRDefault="00FE5B56" w:rsidP="00FE5B56">
      <w:pPr>
        <w:pStyle w:val="NormalHanging12a"/>
      </w:pPr>
      <w:r w:rsidRPr="003B717D">
        <w:lastRenderedPageBreak/>
        <w:t>A.</w:t>
      </w:r>
      <w:r w:rsidRPr="003B717D">
        <w:tab/>
        <w:t>Considerando que o mandato da atual diretora executiva da Autoridade Europeia dos Seguros e Pensões Complementares de Reforma termina em 31 de março de 2026;</w:t>
      </w:r>
    </w:p>
    <w:p w14:paraId="7E7E6C18" w14:textId="56B53E1A" w:rsidR="00FE5B56" w:rsidRPr="003B717D" w:rsidRDefault="00FE5B56" w:rsidP="00FE5B56">
      <w:pPr>
        <w:pStyle w:val="NormalHanging12a"/>
      </w:pPr>
      <w:r w:rsidRPr="003B717D">
        <w:t>B.</w:t>
      </w:r>
      <w:r w:rsidRPr="003B717D">
        <w:tab/>
        <w:t xml:space="preserve">Considerando que, em 23 de outubro de 2025, o Conselho de Supervisores da Autoridade Europeia dos Seguros e Pensões Complementares de Reforma, na sequência de um processo de seleção aberto, propôs a nomeação de </w:t>
      </w:r>
      <w:proofErr w:type="spellStart"/>
      <w:r w:rsidRPr="003B717D">
        <w:t>Damian</w:t>
      </w:r>
      <w:proofErr w:type="spellEnd"/>
      <w:r w:rsidRPr="003B717D">
        <w:t xml:space="preserve"> </w:t>
      </w:r>
      <w:proofErr w:type="spellStart"/>
      <w:r w:rsidRPr="003B717D">
        <w:t>Jaworski</w:t>
      </w:r>
      <w:proofErr w:type="spellEnd"/>
      <w:r w:rsidRPr="003B717D">
        <w:t xml:space="preserve"> como diretor executivo para um mandato de cinco anos, </w:t>
      </w:r>
      <w:r w:rsidR="000C2BBF" w:rsidRPr="003B717D">
        <w:t>nos termos</w:t>
      </w:r>
      <w:r w:rsidRPr="003B717D">
        <w:t xml:space="preserve"> </w:t>
      </w:r>
      <w:r w:rsidR="000C2BBF" w:rsidRPr="003B717D">
        <w:t>d</w:t>
      </w:r>
      <w:r w:rsidRPr="003B717D">
        <w:t>o artigo 51.º, n.</w:t>
      </w:r>
      <w:r w:rsidRPr="003B717D">
        <w:rPr>
          <w:vertAlign w:val="superscript"/>
        </w:rPr>
        <w:t>os</w:t>
      </w:r>
      <w:r w:rsidRPr="003B717D">
        <w:t xml:space="preserve"> 2 e 3, do Regulamento (UE) n.º 1094/2010;</w:t>
      </w:r>
    </w:p>
    <w:p w14:paraId="5305D54B" w14:textId="77777777" w:rsidR="00FE5B56" w:rsidRPr="003B717D" w:rsidRDefault="00FE5B56" w:rsidP="00FE5B56">
      <w:pPr>
        <w:pStyle w:val="NormalHanging12a"/>
      </w:pPr>
      <w:r w:rsidRPr="003B717D">
        <w:t>C.</w:t>
      </w:r>
      <w:r w:rsidRPr="003B717D">
        <w:tab/>
        <w:t xml:space="preserve">Considerando que, em 6 de novembro de 2025, a Comissão dos Assuntos Económicos e Monetários procedeu a uma audição de </w:t>
      </w:r>
      <w:proofErr w:type="spellStart"/>
      <w:r w:rsidRPr="003B717D">
        <w:t>Damian</w:t>
      </w:r>
      <w:proofErr w:type="spellEnd"/>
      <w:r w:rsidRPr="003B717D">
        <w:t xml:space="preserve"> </w:t>
      </w:r>
      <w:proofErr w:type="spellStart"/>
      <w:r w:rsidRPr="003B717D">
        <w:t>Jaworski</w:t>
      </w:r>
      <w:proofErr w:type="spellEnd"/>
      <w:r w:rsidRPr="003B717D">
        <w:t>, na qual este proferiu uma declaração inicial, respondendo em seguida às perguntas dos membros da comissão;</w:t>
      </w:r>
    </w:p>
    <w:p w14:paraId="21D492C3" w14:textId="77777777" w:rsidR="00FE5B56" w:rsidRPr="003B717D" w:rsidRDefault="00FE5B56" w:rsidP="00FE5B56">
      <w:pPr>
        <w:pStyle w:val="NormalHanging12a"/>
      </w:pPr>
      <w:r w:rsidRPr="003B717D">
        <w:t>1.</w:t>
      </w:r>
      <w:r w:rsidRPr="003B717D">
        <w:tab/>
        <w:t xml:space="preserve">Aprova a nomeação de </w:t>
      </w:r>
      <w:proofErr w:type="spellStart"/>
      <w:r w:rsidRPr="003B717D">
        <w:t>Damian</w:t>
      </w:r>
      <w:proofErr w:type="spellEnd"/>
      <w:r w:rsidRPr="003B717D">
        <w:t xml:space="preserve"> </w:t>
      </w:r>
      <w:proofErr w:type="spellStart"/>
      <w:r w:rsidRPr="003B717D">
        <w:t>Jaworski</w:t>
      </w:r>
      <w:proofErr w:type="spellEnd"/>
      <w:r w:rsidRPr="003B717D">
        <w:t xml:space="preserve"> como diretor executivo da Autoridade Europeia dos Seguros e Pensões Complementares de Reforma;</w:t>
      </w:r>
    </w:p>
    <w:p w14:paraId="730F079F" w14:textId="02E1B4D6" w:rsidR="009D295F" w:rsidRPr="003B717D" w:rsidRDefault="00FE5B56" w:rsidP="009D295F">
      <w:pPr>
        <w:pStyle w:val="NormalHanging12a"/>
      </w:pPr>
      <w:r w:rsidRPr="003B717D">
        <w:t>2.</w:t>
      </w:r>
      <w:r w:rsidRPr="003B717D">
        <w:tab/>
        <w:t>Encarrega a sua Presidente de transmitir a presente decisão ao Conselho, à Comissão, à Autoridade Europeia dos Seguros e Pensões Complementares de Reforma e aos governos dos Estados</w:t>
      </w:r>
      <w:r w:rsidRPr="003B717D">
        <w:noBreakHyphen/>
        <w:t>Membros.</w:t>
      </w:r>
    </w:p>
    <w:p w14:paraId="52AEEBEE" w14:textId="072851C3" w:rsidR="00E365E1" w:rsidRPr="003B717D" w:rsidRDefault="00E365E1" w:rsidP="0089280C"/>
    <w:sectPr w:rsidR="00E365E1" w:rsidRPr="003B717D" w:rsidSect="009D29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8354B" w14:textId="77777777" w:rsidR="0089280C" w:rsidRPr="009D295F" w:rsidRDefault="0089280C">
      <w:r w:rsidRPr="009D295F">
        <w:separator/>
      </w:r>
    </w:p>
  </w:endnote>
  <w:endnote w:type="continuationSeparator" w:id="0">
    <w:p w14:paraId="71027E62" w14:textId="77777777" w:rsidR="0089280C" w:rsidRPr="009D295F" w:rsidRDefault="0089280C">
      <w:r w:rsidRPr="009D29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19EBD" w14:textId="77777777" w:rsidR="00064002" w:rsidRPr="009D29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5ED25" w14:textId="77777777" w:rsidR="00064002" w:rsidRPr="009D29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92A8" w14:textId="77777777" w:rsidR="00064002" w:rsidRPr="009D29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6187A" w14:textId="77777777" w:rsidR="0089280C" w:rsidRPr="009D295F" w:rsidRDefault="0089280C">
      <w:r w:rsidRPr="009D295F">
        <w:separator/>
      </w:r>
    </w:p>
  </w:footnote>
  <w:footnote w:type="continuationSeparator" w:id="0">
    <w:p w14:paraId="45015C4C" w14:textId="77777777" w:rsidR="0089280C" w:rsidRPr="009D295F" w:rsidRDefault="0089280C">
      <w:r w:rsidRPr="009D295F">
        <w:continuationSeparator/>
      </w:r>
    </w:p>
  </w:footnote>
  <w:footnote w:id="1">
    <w:p w14:paraId="108991E5" w14:textId="029A4503" w:rsidR="00FE5B56" w:rsidRPr="009D295F" w:rsidRDefault="00FE5B56" w:rsidP="009D295F">
      <w:pPr>
        <w:pStyle w:val="FootnoteText"/>
        <w:ind w:left="567" w:hanging="567"/>
        <w:rPr>
          <w:sz w:val="24"/>
          <w:lang w:val="pt-PT"/>
        </w:rPr>
      </w:pPr>
      <w:r w:rsidRPr="009D295F">
        <w:rPr>
          <w:rStyle w:val="FootnoteReference"/>
          <w:sz w:val="24"/>
          <w:lang w:val="pt-PT"/>
        </w:rPr>
        <w:footnoteRef/>
      </w:r>
      <w:r w:rsidR="009D295F" w:rsidRPr="009D295F">
        <w:rPr>
          <w:sz w:val="24"/>
          <w:lang w:val="pt-PT"/>
        </w:rPr>
        <w:t xml:space="preserve"> </w:t>
      </w:r>
      <w:r w:rsidR="009D295F" w:rsidRPr="009D295F">
        <w:rPr>
          <w:sz w:val="24"/>
          <w:lang w:val="pt-PT"/>
        </w:rPr>
        <w:tab/>
      </w:r>
      <w:r w:rsidRPr="009D295F">
        <w:rPr>
          <w:sz w:val="24"/>
          <w:lang w:val="pt-PT"/>
        </w:rPr>
        <w:t xml:space="preserve">JO L 331 de 15.12.2010, p. 48, ELI: </w:t>
      </w:r>
      <w:hyperlink r:id="rId1" w:history="1">
        <w:r w:rsidRPr="009D295F">
          <w:rPr>
            <w:rStyle w:val="Hyperlink"/>
            <w:sz w:val="24"/>
            <w:lang w:val="pt-PT"/>
          </w:rPr>
          <w:t>http://data.europa.eu/eli/reg/2010/1094/oj</w:t>
        </w:r>
      </w:hyperlink>
      <w:r w:rsidRPr="009D295F">
        <w:rPr>
          <w:sz w:val="24"/>
          <w:lang w:val="pt-PT"/>
        </w:rPr>
        <w:t>.</w:t>
      </w:r>
    </w:p>
  </w:footnote>
  <w:footnote w:id="2">
    <w:p w14:paraId="08AEBDF6" w14:textId="4C5C95D6" w:rsidR="00FE5B56" w:rsidRPr="009D295F" w:rsidRDefault="00FE5B56" w:rsidP="009D295F">
      <w:pPr>
        <w:pStyle w:val="FootnoteText"/>
        <w:ind w:left="567" w:hanging="567"/>
        <w:rPr>
          <w:sz w:val="24"/>
          <w:lang w:val="pt-PT"/>
        </w:rPr>
      </w:pPr>
      <w:r w:rsidRPr="009D295F">
        <w:rPr>
          <w:rStyle w:val="FootnoteReference"/>
          <w:sz w:val="24"/>
          <w:lang w:val="pt-PT"/>
        </w:rPr>
        <w:footnoteRef/>
      </w:r>
      <w:r w:rsidR="009D295F" w:rsidRPr="009D295F">
        <w:rPr>
          <w:sz w:val="24"/>
          <w:lang w:val="pt-PT"/>
        </w:rPr>
        <w:t xml:space="preserve"> </w:t>
      </w:r>
      <w:r w:rsidR="009D295F" w:rsidRPr="009D295F">
        <w:rPr>
          <w:sz w:val="24"/>
          <w:lang w:val="pt-PT"/>
        </w:rPr>
        <w:tab/>
      </w:r>
      <w:r w:rsidRPr="009D295F">
        <w:rPr>
          <w:sz w:val="24"/>
          <w:lang w:val="pt-PT"/>
        </w:rPr>
        <w:t>JO C 23 de 21.1.2021, p. 105.</w:t>
      </w:r>
    </w:p>
  </w:footnote>
  <w:footnote w:id="3">
    <w:p w14:paraId="32BA2996" w14:textId="1CDADAE4" w:rsidR="00FE5B56" w:rsidRPr="009D295F" w:rsidRDefault="00FE5B56" w:rsidP="009D295F">
      <w:pPr>
        <w:pStyle w:val="FootnoteText"/>
        <w:ind w:left="567" w:hanging="567"/>
        <w:rPr>
          <w:sz w:val="24"/>
          <w:lang w:val="pt-PT"/>
        </w:rPr>
      </w:pPr>
      <w:r w:rsidRPr="009D295F">
        <w:rPr>
          <w:rStyle w:val="FootnoteReference"/>
          <w:sz w:val="24"/>
          <w:lang w:val="pt-PT"/>
        </w:rPr>
        <w:footnoteRef/>
      </w:r>
      <w:r w:rsidR="009D295F" w:rsidRPr="009D295F">
        <w:rPr>
          <w:sz w:val="24"/>
          <w:lang w:val="pt-PT"/>
        </w:rPr>
        <w:t xml:space="preserve"> </w:t>
      </w:r>
      <w:r w:rsidR="009D295F" w:rsidRPr="009D295F">
        <w:rPr>
          <w:sz w:val="24"/>
          <w:lang w:val="pt-PT"/>
        </w:rPr>
        <w:tab/>
      </w:r>
      <w:r w:rsidRPr="009D295F">
        <w:rPr>
          <w:sz w:val="24"/>
          <w:lang w:val="pt-PT"/>
        </w:rPr>
        <w:t>Textos Aprovados,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889B" w14:textId="77777777" w:rsidR="00064002" w:rsidRPr="009D29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C1E6C" w14:textId="77777777" w:rsidR="00064002" w:rsidRPr="009D29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7E370" w14:textId="77777777" w:rsidR="00064002" w:rsidRPr="009D29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4279905">
    <w:abstractNumId w:val="9"/>
  </w:num>
  <w:num w:numId="2" w16cid:durableId="241646962">
    <w:abstractNumId w:val="9"/>
  </w:num>
  <w:num w:numId="3" w16cid:durableId="2066643156">
    <w:abstractNumId w:val="7"/>
  </w:num>
  <w:num w:numId="4" w16cid:durableId="278992391">
    <w:abstractNumId w:val="7"/>
  </w:num>
  <w:num w:numId="5" w16cid:durableId="853106555">
    <w:abstractNumId w:val="6"/>
  </w:num>
  <w:num w:numId="6" w16cid:durableId="211307783">
    <w:abstractNumId w:val="6"/>
  </w:num>
  <w:num w:numId="7" w16cid:durableId="262080675">
    <w:abstractNumId w:val="5"/>
  </w:num>
  <w:num w:numId="8" w16cid:durableId="922035695">
    <w:abstractNumId w:val="5"/>
  </w:num>
  <w:num w:numId="9" w16cid:durableId="227377137">
    <w:abstractNumId w:val="4"/>
  </w:num>
  <w:num w:numId="10" w16cid:durableId="56246917">
    <w:abstractNumId w:val="4"/>
  </w:num>
  <w:num w:numId="11" w16cid:durableId="1842038986">
    <w:abstractNumId w:val="8"/>
  </w:num>
  <w:num w:numId="12" w16cid:durableId="1210191407">
    <w:abstractNumId w:val="8"/>
  </w:num>
  <w:num w:numId="13" w16cid:durableId="1293167850">
    <w:abstractNumId w:val="3"/>
  </w:num>
  <w:num w:numId="14" w16cid:durableId="1750225820">
    <w:abstractNumId w:val="3"/>
  </w:num>
  <w:num w:numId="15" w16cid:durableId="231696175">
    <w:abstractNumId w:val="2"/>
  </w:num>
  <w:num w:numId="16" w16cid:durableId="699940669">
    <w:abstractNumId w:val="2"/>
  </w:num>
  <w:num w:numId="17" w16cid:durableId="2110734994">
    <w:abstractNumId w:val="1"/>
  </w:num>
  <w:num w:numId="18" w16cid:durableId="885222039">
    <w:abstractNumId w:val="1"/>
  </w:num>
  <w:num w:numId="19" w16cid:durableId="1601176668">
    <w:abstractNumId w:val="0"/>
  </w:num>
  <w:num w:numId="20" w16cid:durableId="605238204">
    <w:abstractNumId w:val="0"/>
  </w:num>
  <w:num w:numId="21" w16cid:durableId="621762289">
    <w:abstractNumId w:val="9"/>
  </w:num>
  <w:num w:numId="22" w16cid:durableId="31465445">
    <w:abstractNumId w:val="7"/>
  </w:num>
  <w:num w:numId="23" w16cid:durableId="1218972259">
    <w:abstractNumId w:val="6"/>
  </w:num>
  <w:num w:numId="24" w16cid:durableId="889652707">
    <w:abstractNumId w:val="5"/>
  </w:num>
  <w:num w:numId="25" w16cid:durableId="1609268986">
    <w:abstractNumId w:val="4"/>
  </w:num>
  <w:num w:numId="26" w16cid:durableId="1064765980">
    <w:abstractNumId w:val="8"/>
  </w:num>
  <w:num w:numId="27" w16cid:durableId="1581863886">
    <w:abstractNumId w:val="3"/>
  </w:num>
  <w:num w:numId="28" w16cid:durableId="679503273">
    <w:abstractNumId w:val="2"/>
  </w:num>
  <w:num w:numId="29" w16cid:durableId="577909385">
    <w:abstractNumId w:val="1"/>
  </w:num>
  <w:num w:numId="30" w16cid:durableId="444690709">
    <w:abstractNumId w:val="0"/>
  </w:num>
  <w:num w:numId="31" w16cid:durableId="1780446643">
    <w:abstractNumId w:val="9"/>
  </w:num>
  <w:num w:numId="32" w16cid:durableId="293290107">
    <w:abstractNumId w:val="7"/>
  </w:num>
  <w:num w:numId="33" w16cid:durableId="1049525181">
    <w:abstractNumId w:val="6"/>
  </w:num>
  <w:num w:numId="34" w16cid:durableId="1135561564">
    <w:abstractNumId w:val="5"/>
  </w:num>
  <w:num w:numId="35" w16cid:durableId="2063362865">
    <w:abstractNumId w:val="4"/>
  </w:num>
  <w:num w:numId="36" w16cid:durableId="2049331117">
    <w:abstractNumId w:val="8"/>
  </w:num>
  <w:num w:numId="37" w16cid:durableId="100613837">
    <w:abstractNumId w:val="3"/>
  </w:num>
  <w:num w:numId="38" w16cid:durableId="2045060048">
    <w:abstractNumId w:val="2"/>
  </w:num>
  <w:num w:numId="39" w16cid:durableId="1280181543">
    <w:abstractNumId w:val="1"/>
  </w:num>
  <w:num w:numId="40" w16cid:durableId="2131897683">
    <w:abstractNumId w:val="0"/>
  </w:num>
  <w:num w:numId="41" w16cid:durableId="1685789119">
    <w:abstractNumId w:val="10"/>
  </w:num>
  <w:num w:numId="42" w16cid:durableId="450705303">
    <w:abstractNumId w:val="10"/>
  </w:num>
  <w:num w:numId="43" w16cid:durableId="1488741337">
    <w:abstractNumId w:val="10"/>
  </w:num>
  <w:num w:numId="44" w16cid:durableId="172106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PT"/>
    <w:docVar w:name="dvnumam" w:val="0"/>
    <w:docVar w:name="dvpe" w:val="779.515"/>
    <w:docVar w:name="dvrapporteur" w:val="Relatora: "/>
    <w:docVar w:name="dvtitre" w:val="Decisão do Parlamento Europeu, de ... de ... de 2025,_x000d__x000a_ sobre a proposta de nomeação do diretor executivo da Autoridade Europeia dos Seguros e Pensões Complementares de Reforma(N10-0060/2025 – C10-0268/2025 – 2025/0904(NLE))"/>
  </w:docVars>
  <w:rsids>
    <w:rsidRoot w:val="0089280C"/>
    <w:rsid w:val="00002272"/>
    <w:rsid w:val="00064002"/>
    <w:rsid w:val="000677B9"/>
    <w:rsid w:val="000831BA"/>
    <w:rsid w:val="000A42CC"/>
    <w:rsid w:val="000C2BBF"/>
    <w:rsid w:val="000E7DD9"/>
    <w:rsid w:val="0010095E"/>
    <w:rsid w:val="00125B37"/>
    <w:rsid w:val="00187494"/>
    <w:rsid w:val="001F32AE"/>
    <w:rsid w:val="00236F1E"/>
    <w:rsid w:val="002767FF"/>
    <w:rsid w:val="002B18FE"/>
    <w:rsid w:val="002B5493"/>
    <w:rsid w:val="00343214"/>
    <w:rsid w:val="00361C00"/>
    <w:rsid w:val="00395FA1"/>
    <w:rsid w:val="003B717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922"/>
    <w:rsid w:val="005F1B17"/>
    <w:rsid w:val="006037C0"/>
    <w:rsid w:val="006631B6"/>
    <w:rsid w:val="006668D6"/>
    <w:rsid w:val="00680577"/>
    <w:rsid w:val="006F74FA"/>
    <w:rsid w:val="0072386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E5"/>
    <w:rsid w:val="00865F67"/>
    <w:rsid w:val="00881A7B"/>
    <w:rsid w:val="008840E5"/>
    <w:rsid w:val="00887B3E"/>
    <w:rsid w:val="0089280C"/>
    <w:rsid w:val="008C2AC6"/>
    <w:rsid w:val="00930C23"/>
    <w:rsid w:val="0093193B"/>
    <w:rsid w:val="009509D8"/>
    <w:rsid w:val="00950B64"/>
    <w:rsid w:val="00981893"/>
    <w:rsid w:val="009D295F"/>
    <w:rsid w:val="00A1687D"/>
    <w:rsid w:val="00A3150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8A1"/>
    <w:rsid w:val="00B558F0"/>
    <w:rsid w:val="00BD48FE"/>
    <w:rsid w:val="00BD7BD8"/>
    <w:rsid w:val="00BE6ADC"/>
    <w:rsid w:val="00C05BFE"/>
    <w:rsid w:val="00C23CD4"/>
    <w:rsid w:val="00C61C0C"/>
    <w:rsid w:val="00C941CB"/>
    <w:rsid w:val="00CB466D"/>
    <w:rsid w:val="00CC2357"/>
    <w:rsid w:val="00CF071A"/>
    <w:rsid w:val="00CF130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CE233"/>
  <w15:chartTrackingRefBased/>
  <w15:docId w15:val="{990856D5-6EEB-4180-8E18-A398B4EC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5B56"/>
    <w:pPr>
      <w:spacing w:before="480" w:after="240"/>
    </w:pPr>
  </w:style>
  <w:style w:type="paragraph" w:customStyle="1" w:styleId="NormalBold">
    <w:name w:val="NormalBold"/>
    <w:basedOn w:val="Normal"/>
    <w:rsid w:val="00FE5B56"/>
    <w:rPr>
      <w:b/>
    </w:rPr>
  </w:style>
  <w:style w:type="paragraph" w:customStyle="1" w:styleId="NormalHanging12a">
    <w:name w:val="NormalHanging12a"/>
    <w:basedOn w:val="Normal"/>
    <w:rsid w:val="00FE5B56"/>
    <w:pPr>
      <w:spacing w:after="240"/>
      <w:ind w:left="567" w:hanging="567"/>
    </w:pPr>
  </w:style>
  <w:style w:type="character" w:styleId="Hyperlink">
    <w:name w:val="Hyperlink"/>
    <w:uiPriority w:val="99"/>
    <w:rsid w:val="00FE5B56"/>
    <w:rPr>
      <w:color w:val="0000FF"/>
      <w:u w:val="single"/>
    </w:rPr>
  </w:style>
  <w:style w:type="paragraph" w:customStyle="1" w:styleId="Normal12Hanging">
    <w:name w:val="Normal12Hanging"/>
    <w:basedOn w:val="Normal"/>
    <w:rsid w:val="00FE5B5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F1306"/>
    <w:rPr>
      <w:sz w:val="24"/>
      <w:lang w:val="pt-PT"/>
    </w:rPr>
  </w:style>
  <w:style w:type="character" w:styleId="CommentReference">
    <w:name w:val="annotation reference"/>
    <w:basedOn w:val="DefaultParagraphFont"/>
    <w:rsid w:val="00CB46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46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466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B46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466D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CB4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2266</Characters>
  <Application>Microsoft Office Word</Application>
  <DocSecurity>0</DocSecurity>
  <Lines>34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2025-12-17T14:40:00Z</dcterms:created>
  <dcterms:modified xsi:type="dcterms:W3CDTF">2025-12-17T14:40:00Z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