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5EBA" w14:paraId="0C6510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942EAF" w14:textId="77777777" w:rsidR="00751A4A" w:rsidRPr="00D15EBA" w:rsidRDefault="004B0889" w:rsidP="0010095E">
            <w:pPr>
              <w:pStyle w:val="EPName"/>
            </w:pPr>
            <w:r w:rsidRPr="00D15EBA">
              <w:t>Parlamentul European</w:t>
            </w:r>
          </w:p>
          <w:p w14:paraId="17CFD508" w14:textId="77777777" w:rsidR="00751A4A" w:rsidRPr="00D15E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5EBA">
              <w:t>2024</w:t>
            </w:r>
            <w:r w:rsidR="00817416" w:rsidRPr="00D15EBA">
              <w:t>-202</w:t>
            </w:r>
            <w:r w:rsidRPr="00D15EBA">
              <w:t>9</w:t>
            </w:r>
          </w:p>
        </w:tc>
        <w:tc>
          <w:tcPr>
            <w:tcW w:w="2268" w:type="dxa"/>
            <w:shd w:val="clear" w:color="auto" w:fill="auto"/>
          </w:tcPr>
          <w:p w14:paraId="1B2C4523" w14:textId="77777777" w:rsidR="00751A4A" w:rsidRPr="00D15EBA" w:rsidRDefault="00187494" w:rsidP="0010095E">
            <w:pPr>
              <w:pStyle w:val="EPLogo"/>
            </w:pPr>
            <w:r w:rsidRPr="00D15EBA">
              <w:rPr>
                <w:noProof/>
                <w:lang w:eastAsia="ja-JP"/>
              </w:rPr>
              <w:drawing>
                <wp:inline distT="0" distB="0" distL="0" distR="0" wp14:anchorId="53770E49" wp14:editId="196BD6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98A1A" w14:textId="77777777" w:rsidR="00D058B8" w:rsidRPr="00D15EBA" w:rsidRDefault="00D058B8" w:rsidP="004C5D52">
      <w:pPr>
        <w:pStyle w:val="LineTop"/>
      </w:pPr>
    </w:p>
    <w:p w14:paraId="00A3CA6F" w14:textId="77777777" w:rsidR="00680577" w:rsidRPr="00D15EBA" w:rsidRDefault="004B0889" w:rsidP="00680577">
      <w:pPr>
        <w:pStyle w:val="EPBodyTA1"/>
      </w:pPr>
      <w:r w:rsidRPr="00D15EBA">
        <w:t>TEXTE ADOPTATE</w:t>
      </w:r>
    </w:p>
    <w:p w14:paraId="2699C6A3" w14:textId="77777777" w:rsidR="00D058B8" w:rsidRPr="00D15EBA" w:rsidRDefault="00D058B8" w:rsidP="00D058B8">
      <w:pPr>
        <w:pStyle w:val="LineBottom"/>
      </w:pPr>
    </w:p>
    <w:p w14:paraId="74662B89" w14:textId="5D194E7B" w:rsidR="004B0889" w:rsidRPr="00D15EBA" w:rsidRDefault="004B0889" w:rsidP="004B0889">
      <w:pPr>
        <w:pStyle w:val="ATHeading1"/>
      </w:pPr>
      <w:bookmarkStart w:id="0" w:name="TANumber"/>
      <w:r w:rsidRPr="00D15EBA">
        <w:t>P10_TA(2025)0</w:t>
      </w:r>
      <w:bookmarkEnd w:id="0"/>
      <w:r w:rsidR="00D15EBA" w:rsidRPr="00D15EBA">
        <w:t>334</w:t>
      </w:r>
    </w:p>
    <w:p w14:paraId="0EA127B0" w14:textId="1600D111" w:rsidR="004B0889" w:rsidRPr="00D15EBA" w:rsidRDefault="001B1659" w:rsidP="004B0889">
      <w:pPr>
        <w:pStyle w:val="ATHeading2"/>
      </w:pPr>
      <w:bookmarkStart w:id="1" w:name="title"/>
      <w:r w:rsidRPr="00D15EBA">
        <w:t>N</w:t>
      </w:r>
      <w:r w:rsidR="004B0889" w:rsidRPr="00D15EBA">
        <w:t>umire</w:t>
      </w:r>
      <w:r w:rsidRPr="00D15EBA">
        <w:t>a</w:t>
      </w:r>
      <w:r w:rsidR="004B0889" w:rsidRPr="00D15EBA">
        <w:t xml:space="preserve"> directorului executiv al Autorității Europene de Asigurări și Pensii Ocupaționale (EIOPA)</w:t>
      </w:r>
      <w:bookmarkEnd w:id="1"/>
    </w:p>
    <w:p w14:paraId="577C3F03" w14:textId="77777777" w:rsidR="004B0889" w:rsidRPr="00D15EBA" w:rsidRDefault="004B0889" w:rsidP="004B0889">
      <w:pPr>
        <w:rPr>
          <w:i/>
          <w:vanish/>
        </w:rPr>
      </w:pPr>
      <w:r w:rsidRPr="00D15EBA">
        <w:rPr>
          <w:i/>
        </w:rPr>
        <w:fldChar w:fldCharType="begin"/>
      </w:r>
      <w:r w:rsidRPr="00D15EBA">
        <w:rPr>
          <w:i/>
        </w:rPr>
        <w:instrText xml:space="preserve"> TC"(</w:instrText>
      </w:r>
      <w:bookmarkStart w:id="2" w:name="DocNumber"/>
      <w:r w:rsidRPr="00D15EBA">
        <w:rPr>
          <w:i/>
        </w:rPr>
        <w:instrText>A10-0247/2025</w:instrText>
      </w:r>
      <w:bookmarkEnd w:id="2"/>
      <w:r w:rsidRPr="00D15EBA">
        <w:rPr>
          <w:i/>
        </w:rPr>
        <w:instrText xml:space="preserve"> - Raportoare: Aurore </w:instrText>
      </w:r>
      <w:proofErr w:type="spellStart"/>
      <w:r w:rsidRPr="00D15EBA">
        <w:rPr>
          <w:i/>
        </w:rPr>
        <w:instrText>Lalucq</w:instrText>
      </w:r>
      <w:proofErr w:type="spellEnd"/>
      <w:r w:rsidRPr="00D15EBA">
        <w:rPr>
          <w:i/>
        </w:rPr>
        <w:instrText xml:space="preserve">)"\l3 \n&gt; \* MERGEFORMAT </w:instrText>
      </w:r>
      <w:r w:rsidRPr="00D15EBA">
        <w:rPr>
          <w:i/>
        </w:rPr>
        <w:fldChar w:fldCharType="end"/>
      </w:r>
    </w:p>
    <w:p w14:paraId="548A3925" w14:textId="77777777" w:rsidR="004B0889" w:rsidRPr="00D15EBA" w:rsidRDefault="004B0889" w:rsidP="004B0889">
      <w:pPr>
        <w:rPr>
          <w:vanish/>
        </w:rPr>
      </w:pPr>
      <w:bookmarkStart w:id="3" w:name="Commission"/>
      <w:r w:rsidRPr="00D15EBA">
        <w:rPr>
          <w:vanish/>
        </w:rPr>
        <w:t>Comisia pentru afaceri economice și monetare</w:t>
      </w:r>
      <w:bookmarkEnd w:id="3"/>
    </w:p>
    <w:p w14:paraId="55BF1F3A" w14:textId="77777777" w:rsidR="004B0889" w:rsidRPr="00D15EBA" w:rsidRDefault="004B0889" w:rsidP="004B0889">
      <w:pPr>
        <w:rPr>
          <w:vanish/>
        </w:rPr>
      </w:pPr>
      <w:bookmarkStart w:id="4" w:name="PE"/>
      <w:r w:rsidRPr="00D15EBA">
        <w:rPr>
          <w:vanish/>
        </w:rPr>
        <w:t>PE779.515</w:t>
      </w:r>
      <w:bookmarkEnd w:id="4"/>
    </w:p>
    <w:p w14:paraId="201DC54B" w14:textId="77777777" w:rsidR="004B0889" w:rsidRPr="00D15EBA" w:rsidRDefault="004B0889" w:rsidP="004B0889">
      <w:pPr>
        <w:pStyle w:val="ATHeading3"/>
      </w:pPr>
      <w:bookmarkStart w:id="5" w:name="Sujet"/>
      <w:r w:rsidRPr="00D15EBA">
        <w:t>Decizia Parlamentului European din 17 decembrie 2025 privind propunerea de numire a directorului executiv al Autorității Europene de Asigurări și Pensii Ocupaționale</w:t>
      </w:r>
      <w:bookmarkEnd w:id="5"/>
      <w:r w:rsidRPr="00D15EBA">
        <w:t xml:space="preserve"> </w:t>
      </w:r>
      <w:bookmarkStart w:id="6" w:name="References"/>
      <w:r w:rsidRPr="00D15EBA">
        <w:t>(N10-0060/2025 – C10-0268/2025 – 2025/0904(NLE))</w:t>
      </w:r>
      <w:bookmarkEnd w:id="6"/>
    </w:p>
    <w:p w14:paraId="5F880758" w14:textId="77777777" w:rsidR="008478F2" w:rsidRPr="00D15EBA" w:rsidRDefault="008478F2" w:rsidP="008478F2">
      <w:pPr>
        <w:pStyle w:val="NormalBold"/>
      </w:pPr>
      <w:r w:rsidRPr="00D15EBA">
        <w:t>(Procedura de aprobare)</w:t>
      </w:r>
    </w:p>
    <w:p w14:paraId="008EB28F" w14:textId="77777777" w:rsidR="008478F2" w:rsidRPr="00D15EBA" w:rsidRDefault="008478F2" w:rsidP="008478F2">
      <w:pPr>
        <w:pStyle w:val="EPComma"/>
      </w:pPr>
      <w:r w:rsidRPr="00D15EBA">
        <w:rPr>
          <w:i/>
        </w:rPr>
        <w:t>Parlamentul European</w:t>
      </w:r>
      <w:r w:rsidRPr="00D15EBA">
        <w:t>,</w:t>
      </w:r>
    </w:p>
    <w:p w14:paraId="7D64C786" w14:textId="77777777" w:rsidR="008478F2" w:rsidRPr="00D15EBA" w:rsidRDefault="008478F2" w:rsidP="008478F2">
      <w:pPr>
        <w:pStyle w:val="NormalHanging12a"/>
      </w:pPr>
      <w:r w:rsidRPr="00D15EBA">
        <w:t>–</w:t>
      </w:r>
      <w:r w:rsidRPr="00D15EBA">
        <w:tab/>
        <w:t>având în vedere propunerea Consiliului supraveghetorilor al Autorității Europene de Asigurări și Pensii Ocupaționale din 23 octombrie 2025 (C10</w:t>
      </w:r>
      <w:r w:rsidRPr="00D15EBA">
        <w:noBreakHyphen/>
        <w:t>0268/2025),</w:t>
      </w:r>
    </w:p>
    <w:p w14:paraId="1E476CFF" w14:textId="77777777" w:rsidR="008478F2" w:rsidRPr="00D15EBA" w:rsidRDefault="008478F2" w:rsidP="008478F2">
      <w:pPr>
        <w:pStyle w:val="NormalHanging12a"/>
      </w:pPr>
      <w:r w:rsidRPr="00D15EBA">
        <w:t>–</w:t>
      </w:r>
      <w:r w:rsidRPr="00D15EBA">
        <w:tab/>
        <w:t>având în vedere articolul 51 alineatul (2) și (3) din Regulamentul (UE) nr. 1094/2010 al Parlamentului European și al Consiliului din 24 noiembrie 2010 de instituire a Autorității europene de supraveghere (Autoritatea Europeană de Asigurări și Pensii Ocupaționale), de modificare a Deciziei nr. 716/2009/CE și de abrogare a Deciziei 2009/79/CE a Comisiei</w:t>
      </w:r>
      <w:r w:rsidRPr="00D15EBA">
        <w:rPr>
          <w:rStyle w:val="FootnoteReference"/>
        </w:rPr>
        <w:footnoteReference w:id="1"/>
      </w:r>
      <w:r w:rsidRPr="00D15EBA">
        <w:t>,</w:t>
      </w:r>
    </w:p>
    <w:p w14:paraId="352D47AE" w14:textId="77777777" w:rsidR="008478F2" w:rsidRPr="00D15EBA" w:rsidRDefault="008478F2" w:rsidP="008478F2">
      <w:pPr>
        <w:pStyle w:val="Normal12Hanging"/>
      </w:pPr>
      <w:r w:rsidRPr="00D15EBA">
        <w:t>–</w:t>
      </w:r>
      <w:r w:rsidRPr="00D15EBA">
        <w:tab/>
        <w:t>având în vedere rezoluția sa din 14 martie 2019 referitoare la echilibrul de gen în numirile pentru funcții în domeniul economic și monetar la nivelul UE</w:t>
      </w:r>
      <w:r w:rsidRPr="00D15EBA">
        <w:rPr>
          <w:rStyle w:val="FootnoteReference"/>
        </w:rPr>
        <w:footnoteReference w:id="2"/>
      </w:r>
      <w:r w:rsidRPr="00D15EBA">
        <w:t>,</w:t>
      </w:r>
    </w:p>
    <w:p w14:paraId="2523BE45" w14:textId="77777777" w:rsidR="008478F2" w:rsidRPr="00D15EBA" w:rsidRDefault="008478F2" w:rsidP="008478F2">
      <w:pPr>
        <w:pStyle w:val="Normal12Hanging"/>
      </w:pPr>
      <w:r w:rsidRPr="00D15EBA">
        <w:t>–</w:t>
      </w:r>
      <w:r w:rsidRPr="00D15EBA">
        <w:tab/>
        <w:t>având în vedere rezoluția sa din 16 ianuarie 2020 referitoare la instituțiile și organismele uniunii economice și monetare: prevenirea conflictelor de interese după ocuparea unor funcții publice</w:t>
      </w:r>
      <w:r w:rsidRPr="00D15EBA">
        <w:rPr>
          <w:rStyle w:val="FootnoteReference"/>
        </w:rPr>
        <w:footnoteReference w:id="3"/>
      </w:r>
      <w:r w:rsidRPr="00D15EBA">
        <w:t>,</w:t>
      </w:r>
    </w:p>
    <w:p w14:paraId="674731A9" w14:textId="77777777" w:rsidR="008478F2" w:rsidRPr="00D15EBA" w:rsidRDefault="008478F2" w:rsidP="008478F2">
      <w:pPr>
        <w:pStyle w:val="NormalHanging12a"/>
      </w:pPr>
      <w:r w:rsidRPr="00D15EBA">
        <w:t>–</w:t>
      </w:r>
      <w:r w:rsidRPr="00D15EBA">
        <w:tab/>
        <w:t>având în vedere articolul 135 din Regulamentul său de procedură,</w:t>
      </w:r>
    </w:p>
    <w:p w14:paraId="3148FD02" w14:textId="77777777" w:rsidR="008478F2" w:rsidRPr="00D15EBA" w:rsidRDefault="008478F2" w:rsidP="008478F2">
      <w:pPr>
        <w:pStyle w:val="NormalHanging12a"/>
      </w:pPr>
      <w:r w:rsidRPr="00D15EBA">
        <w:t>–</w:t>
      </w:r>
      <w:r w:rsidRPr="00D15EBA">
        <w:tab/>
        <w:t>având în vedere raportul Comisiei pentru afaceri economice și monetare (A10-0247/2025),</w:t>
      </w:r>
    </w:p>
    <w:p w14:paraId="581EFCAF" w14:textId="77777777" w:rsidR="008478F2" w:rsidRPr="00D15EBA" w:rsidRDefault="008478F2" w:rsidP="008478F2">
      <w:pPr>
        <w:pStyle w:val="NormalHanging12a"/>
      </w:pPr>
      <w:r w:rsidRPr="00D15EBA">
        <w:t>A.</w:t>
      </w:r>
      <w:r w:rsidRPr="00D15EBA">
        <w:tab/>
        <w:t xml:space="preserve">întrucât mandatul directorului executiv actual al Autorității Europene de Asigurări și </w:t>
      </w:r>
      <w:r w:rsidRPr="00D15EBA">
        <w:lastRenderedPageBreak/>
        <w:t>Pensii Ocupaționale expiră la 31 martie 2026;</w:t>
      </w:r>
    </w:p>
    <w:p w14:paraId="37D09FF0" w14:textId="77777777" w:rsidR="008478F2" w:rsidRPr="00D15EBA" w:rsidRDefault="008478F2" w:rsidP="008478F2">
      <w:pPr>
        <w:pStyle w:val="NormalHanging12a"/>
      </w:pPr>
      <w:r w:rsidRPr="00D15EBA">
        <w:t>B.</w:t>
      </w:r>
      <w:r w:rsidRPr="00D15EBA">
        <w:tab/>
        <w:t xml:space="preserve">întrucât, la 23 octombrie 2025, în urma unei proceduri de selecție deschise, Consiliul supraveghetorilor al Autorității Europene de Asigurări și Pensii Ocupaționale l-a propus pe Damian </w:t>
      </w:r>
      <w:proofErr w:type="spellStart"/>
      <w:r w:rsidRPr="00D15EBA">
        <w:t>Jaworski</w:t>
      </w:r>
      <w:proofErr w:type="spellEnd"/>
      <w:r w:rsidRPr="00D15EBA">
        <w:t xml:space="preserve"> în funcția de director executiv cu un mandat de cinci ani, în conformitate cu articolul 51 alineatele (2) și (3) din Regulamentul (UE) nr. 1094/2010;</w:t>
      </w:r>
    </w:p>
    <w:p w14:paraId="59949646" w14:textId="77777777" w:rsidR="008478F2" w:rsidRPr="00D15EBA" w:rsidRDefault="008478F2" w:rsidP="008478F2">
      <w:pPr>
        <w:pStyle w:val="NormalHanging12a"/>
      </w:pPr>
      <w:r w:rsidRPr="00D15EBA">
        <w:t>C.</w:t>
      </w:r>
      <w:r w:rsidRPr="00D15EBA">
        <w:tab/>
        <w:t xml:space="preserve">întrucât, la 6 noiembrie 2025, Comisia pentru afaceri economice și monetare a organizat o audiere cu Damian </w:t>
      </w:r>
      <w:proofErr w:type="spellStart"/>
      <w:r w:rsidRPr="00D15EBA">
        <w:t>Jaworski</w:t>
      </w:r>
      <w:proofErr w:type="spellEnd"/>
      <w:r w:rsidRPr="00D15EBA">
        <w:t>, care a făcut o declarație introductivă și a răspuns apoi la întrebările adresate de membrii comisiei;</w:t>
      </w:r>
    </w:p>
    <w:p w14:paraId="3455DE56" w14:textId="77777777" w:rsidR="008478F2" w:rsidRPr="00D15EBA" w:rsidRDefault="008478F2" w:rsidP="008478F2">
      <w:pPr>
        <w:pStyle w:val="NormalHanging12a"/>
      </w:pPr>
      <w:r w:rsidRPr="00D15EBA">
        <w:t>1.</w:t>
      </w:r>
      <w:r w:rsidRPr="00D15EBA">
        <w:tab/>
        <w:t xml:space="preserve">aprobă numirea lui Damian </w:t>
      </w:r>
      <w:proofErr w:type="spellStart"/>
      <w:r w:rsidRPr="00D15EBA">
        <w:t>Jaworski</w:t>
      </w:r>
      <w:proofErr w:type="spellEnd"/>
      <w:r w:rsidRPr="00D15EBA">
        <w:t xml:space="preserve"> ca director executiv al Autorității Europene de Asigurări și Pensii Ocupaționale;</w:t>
      </w:r>
    </w:p>
    <w:p w14:paraId="5D3F5A17" w14:textId="0F0A9441" w:rsidR="005747F4" w:rsidRPr="00D15EBA" w:rsidRDefault="008478F2" w:rsidP="005747F4">
      <w:pPr>
        <w:pStyle w:val="NormalHanging12a"/>
      </w:pPr>
      <w:r w:rsidRPr="00D15EBA">
        <w:t>2.</w:t>
      </w:r>
      <w:r w:rsidRPr="00D15EBA">
        <w:tab/>
        <w:t>încredințează Președintei sarcina de a transmite prezenta decizie Consiliului, Comisiei, Autorității Europene de Asigurări și Pensii Ocupaționale și guvernelor statelor membre.</w:t>
      </w:r>
    </w:p>
    <w:p w14:paraId="676341D5" w14:textId="65CE1AFE" w:rsidR="00E365E1" w:rsidRPr="00D15EBA" w:rsidRDefault="00E365E1" w:rsidP="004B0889"/>
    <w:sectPr w:rsidR="00E365E1" w:rsidRPr="00D15EBA" w:rsidSect="005747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F9CD8" w14:textId="77777777" w:rsidR="004B0889" w:rsidRPr="005747F4" w:rsidRDefault="004B0889">
      <w:r w:rsidRPr="005747F4">
        <w:separator/>
      </w:r>
    </w:p>
  </w:endnote>
  <w:endnote w:type="continuationSeparator" w:id="0">
    <w:p w14:paraId="044600F9" w14:textId="77777777" w:rsidR="004B0889" w:rsidRPr="005747F4" w:rsidRDefault="004B0889">
      <w:r w:rsidRPr="005747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CC71" w14:textId="77777777" w:rsidR="00064002" w:rsidRPr="005747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3101" w14:textId="77777777" w:rsidR="00064002" w:rsidRPr="005747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B626" w14:textId="77777777" w:rsidR="00064002" w:rsidRPr="005747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1078A" w14:textId="77777777" w:rsidR="004B0889" w:rsidRPr="005747F4" w:rsidRDefault="004B0889">
      <w:r w:rsidRPr="005747F4">
        <w:separator/>
      </w:r>
    </w:p>
  </w:footnote>
  <w:footnote w:type="continuationSeparator" w:id="0">
    <w:p w14:paraId="373C711A" w14:textId="77777777" w:rsidR="004B0889" w:rsidRPr="005747F4" w:rsidRDefault="004B0889">
      <w:r w:rsidRPr="005747F4">
        <w:continuationSeparator/>
      </w:r>
    </w:p>
  </w:footnote>
  <w:footnote w:id="1">
    <w:p w14:paraId="485BFAAE" w14:textId="17FB8459" w:rsidR="008478F2" w:rsidRPr="005747F4" w:rsidRDefault="008478F2" w:rsidP="005747F4">
      <w:pPr>
        <w:pStyle w:val="FootnoteText"/>
        <w:ind w:left="567" w:hanging="567"/>
        <w:rPr>
          <w:sz w:val="24"/>
          <w:lang w:val="ro-RO"/>
        </w:rPr>
      </w:pPr>
      <w:r w:rsidRPr="005747F4">
        <w:rPr>
          <w:rStyle w:val="FootnoteReference"/>
          <w:sz w:val="24"/>
          <w:lang w:val="ro-RO"/>
        </w:rPr>
        <w:footnoteRef/>
      </w:r>
      <w:r w:rsidR="005747F4" w:rsidRPr="005747F4">
        <w:rPr>
          <w:sz w:val="24"/>
          <w:lang w:val="ro-RO"/>
        </w:rPr>
        <w:t xml:space="preserve"> </w:t>
      </w:r>
      <w:r w:rsidR="005747F4" w:rsidRPr="005747F4">
        <w:rPr>
          <w:sz w:val="24"/>
          <w:lang w:val="ro-RO"/>
        </w:rPr>
        <w:tab/>
      </w:r>
      <w:r w:rsidRPr="005747F4">
        <w:rPr>
          <w:sz w:val="24"/>
          <w:lang w:val="ro-RO"/>
        </w:rPr>
        <w:t xml:space="preserve">JO L 331, 15.12.2010, p. 48, ELI: </w:t>
      </w:r>
      <w:hyperlink r:id="rId1" w:history="1">
        <w:r w:rsidRPr="005747F4">
          <w:rPr>
            <w:rStyle w:val="Hyperlink"/>
            <w:sz w:val="24"/>
            <w:lang w:val="ro-RO"/>
          </w:rPr>
          <w:t>http://data.europa.eu/eli/reg/2010/1094/oj</w:t>
        </w:r>
      </w:hyperlink>
      <w:r w:rsidRPr="005747F4">
        <w:rPr>
          <w:sz w:val="24"/>
          <w:lang w:val="ro-RO"/>
        </w:rPr>
        <w:t>.</w:t>
      </w:r>
    </w:p>
  </w:footnote>
  <w:footnote w:id="2">
    <w:p w14:paraId="0BACB191" w14:textId="53C5CA46" w:rsidR="008478F2" w:rsidRPr="005747F4" w:rsidRDefault="008478F2" w:rsidP="005747F4">
      <w:pPr>
        <w:pStyle w:val="FootnoteText"/>
        <w:ind w:left="567" w:hanging="567"/>
        <w:rPr>
          <w:sz w:val="24"/>
          <w:lang w:val="ro-RO"/>
        </w:rPr>
      </w:pPr>
      <w:r w:rsidRPr="005747F4">
        <w:rPr>
          <w:rStyle w:val="FootnoteReference"/>
          <w:sz w:val="24"/>
          <w:lang w:val="ro-RO"/>
        </w:rPr>
        <w:footnoteRef/>
      </w:r>
      <w:r w:rsidR="005747F4" w:rsidRPr="005747F4">
        <w:rPr>
          <w:sz w:val="24"/>
          <w:lang w:val="ro-RO"/>
        </w:rPr>
        <w:t xml:space="preserve"> </w:t>
      </w:r>
      <w:r w:rsidR="005747F4" w:rsidRPr="005747F4">
        <w:rPr>
          <w:sz w:val="24"/>
          <w:lang w:val="ro-RO"/>
        </w:rPr>
        <w:tab/>
      </w:r>
      <w:r w:rsidRPr="005747F4">
        <w:rPr>
          <w:sz w:val="24"/>
          <w:lang w:val="ro-RO"/>
        </w:rPr>
        <w:t>JO C 23, 21.1.2021, p. 105.</w:t>
      </w:r>
    </w:p>
  </w:footnote>
  <w:footnote w:id="3">
    <w:p w14:paraId="7B24BEAB" w14:textId="6C313A81" w:rsidR="008478F2" w:rsidRPr="005747F4" w:rsidRDefault="008478F2" w:rsidP="005747F4">
      <w:pPr>
        <w:pStyle w:val="FootnoteText"/>
        <w:ind w:left="567" w:hanging="567"/>
        <w:rPr>
          <w:sz w:val="24"/>
          <w:lang w:val="ro-RO"/>
        </w:rPr>
      </w:pPr>
      <w:r w:rsidRPr="005747F4">
        <w:rPr>
          <w:rStyle w:val="FootnoteReference"/>
          <w:sz w:val="24"/>
          <w:lang w:val="ro-RO"/>
        </w:rPr>
        <w:footnoteRef/>
      </w:r>
      <w:r w:rsidR="005747F4" w:rsidRPr="005747F4">
        <w:rPr>
          <w:sz w:val="24"/>
          <w:lang w:val="ro-RO"/>
        </w:rPr>
        <w:t xml:space="preserve"> </w:t>
      </w:r>
      <w:r w:rsidR="005747F4" w:rsidRPr="005747F4">
        <w:rPr>
          <w:sz w:val="24"/>
          <w:lang w:val="ro-RO"/>
        </w:rPr>
        <w:tab/>
      </w:r>
      <w:r w:rsidRPr="005747F4">
        <w:rPr>
          <w:sz w:val="24"/>
          <w:lang w:val="ro-RO"/>
        </w:rPr>
        <w:t>Texte adoptate,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29FA1" w14:textId="77777777" w:rsidR="00064002" w:rsidRPr="005747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AFE6" w14:textId="77777777" w:rsidR="00064002" w:rsidRPr="005747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7A79D" w14:textId="77777777" w:rsidR="00064002" w:rsidRPr="005747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945447">
    <w:abstractNumId w:val="9"/>
  </w:num>
  <w:num w:numId="2" w16cid:durableId="1100681802">
    <w:abstractNumId w:val="9"/>
  </w:num>
  <w:num w:numId="3" w16cid:durableId="2072776215">
    <w:abstractNumId w:val="7"/>
  </w:num>
  <w:num w:numId="4" w16cid:durableId="950934201">
    <w:abstractNumId w:val="7"/>
  </w:num>
  <w:num w:numId="5" w16cid:durableId="525867255">
    <w:abstractNumId w:val="6"/>
  </w:num>
  <w:num w:numId="6" w16cid:durableId="1654800168">
    <w:abstractNumId w:val="6"/>
  </w:num>
  <w:num w:numId="7" w16cid:durableId="340157971">
    <w:abstractNumId w:val="5"/>
  </w:num>
  <w:num w:numId="8" w16cid:durableId="818764524">
    <w:abstractNumId w:val="5"/>
  </w:num>
  <w:num w:numId="9" w16cid:durableId="1147697529">
    <w:abstractNumId w:val="4"/>
  </w:num>
  <w:num w:numId="10" w16cid:durableId="1485930435">
    <w:abstractNumId w:val="4"/>
  </w:num>
  <w:num w:numId="11" w16cid:durableId="2050295880">
    <w:abstractNumId w:val="8"/>
  </w:num>
  <w:num w:numId="12" w16cid:durableId="1029572553">
    <w:abstractNumId w:val="8"/>
  </w:num>
  <w:num w:numId="13" w16cid:durableId="1868907016">
    <w:abstractNumId w:val="3"/>
  </w:num>
  <w:num w:numId="14" w16cid:durableId="1129784037">
    <w:abstractNumId w:val="3"/>
  </w:num>
  <w:num w:numId="15" w16cid:durableId="394360731">
    <w:abstractNumId w:val="2"/>
  </w:num>
  <w:num w:numId="16" w16cid:durableId="469637832">
    <w:abstractNumId w:val="2"/>
  </w:num>
  <w:num w:numId="17" w16cid:durableId="486942693">
    <w:abstractNumId w:val="1"/>
  </w:num>
  <w:num w:numId="18" w16cid:durableId="1032614887">
    <w:abstractNumId w:val="1"/>
  </w:num>
  <w:num w:numId="19" w16cid:durableId="1412045601">
    <w:abstractNumId w:val="0"/>
  </w:num>
  <w:num w:numId="20" w16cid:durableId="1933276467">
    <w:abstractNumId w:val="0"/>
  </w:num>
  <w:num w:numId="21" w16cid:durableId="990908424">
    <w:abstractNumId w:val="9"/>
  </w:num>
  <w:num w:numId="22" w16cid:durableId="2137092363">
    <w:abstractNumId w:val="7"/>
  </w:num>
  <w:num w:numId="23" w16cid:durableId="1337196861">
    <w:abstractNumId w:val="6"/>
  </w:num>
  <w:num w:numId="24" w16cid:durableId="686368706">
    <w:abstractNumId w:val="5"/>
  </w:num>
  <w:num w:numId="25" w16cid:durableId="2068797197">
    <w:abstractNumId w:val="4"/>
  </w:num>
  <w:num w:numId="26" w16cid:durableId="1478497678">
    <w:abstractNumId w:val="8"/>
  </w:num>
  <w:num w:numId="27" w16cid:durableId="611590387">
    <w:abstractNumId w:val="3"/>
  </w:num>
  <w:num w:numId="28" w16cid:durableId="1465657061">
    <w:abstractNumId w:val="2"/>
  </w:num>
  <w:num w:numId="29" w16cid:durableId="2092575847">
    <w:abstractNumId w:val="1"/>
  </w:num>
  <w:num w:numId="30" w16cid:durableId="773750619">
    <w:abstractNumId w:val="0"/>
  </w:num>
  <w:num w:numId="31" w16cid:durableId="1987782081">
    <w:abstractNumId w:val="9"/>
  </w:num>
  <w:num w:numId="32" w16cid:durableId="1333680409">
    <w:abstractNumId w:val="7"/>
  </w:num>
  <w:num w:numId="33" w16cid:durableId="1610502411">
    <w:abstractNumId w:val="6"/>
  </w:num>
  <w:num w:numId="34" w16cid:durableId="208961199">
    <w:abstractNumId w:val="5"/>
  </w:num>
  <w:num w:numId="35" w16cid:durableId="2022900803">
    <w:abstractNumId w:val="4"/>
  </w:num>
  <w:num w:numId="36" w16cid:durableId="545412264">
    <w:abstractNumId w:val="8"/>
  </w:num>
  <w:num w:numId="37" w16cid:durableId="1954093734">
    <w:abstractNumId w:val="3"/>
  </w:num>
  <w:num w:numId="38" w16cid:durableId="146287483">
    <w:abstractNumId w:val="2"/>
  </w:num>
  <w:num w:numId="39" w16cid:durableId="2016834065">
    <w:abstractNumId w:val="1"/>
  </w:num>
  <w:num w:numId="40" w16cid:durableId="213197902">
    <w:abstractNumId w:val="0"/>
  </w:num>
  <w:num w:numId="41" w16cid:durableId="65149946">
    <w:abstractNumId w:val="10"/>
  </w:num>
  <w:num w:numId="42" w16cid:durableId="1064062802">
    <w:abstractNumId w:val="10"/>
  </w:num>
  <w:num w:numId="43" w16cid:durableId="784738500">
    <w:abstractNumId w:val="10"/>
  </w:num>
  <w:num w:numId="44" w16cid:durableId="9711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RO"/>
    <w:docVar w:name="dvnumam" w:val="0"/>
    <w:docVar w:name="dvpe" w:val="779.515"/>
    <w:docVar w:name="dvrapporteur" w:val="Raportoare: "/>
    <w:docVar w:name="dvtitre" w:val="Decizia Parlamentului European din 17 decembrie 2025 privind propunerea de numire a directorului executiv al Autorității Europene de Asigurări și Pensii Ocupaționale(N10-0060/2025 – C10-0268/2025 – 2025/0904(NLE))"/>
  </w:docVars>
  <w:rsids>
    <w:rsidRoot w:val="004B08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65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889"/>
    <w:rsid w:val="004C0004"/>
    <w:rsid w:val="004C5D52"/>
    <w:rsid w:val="0050519A"/>
    <w:rsid w:val="005072A1"/>
    <w:rsid w:val="00514517"/>
    <w:rsid w:val="00545827"/>
    <w:rsid w:val="00560270"/>
    <w:rsid w:val="005747F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8F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C00"/>
    <w:rsid w:val="00CC2357"/>
    <w:rsid w:val="00CF071A"/>
    <w:rsid w:val="00D058B8"/>
    <w:rsid w:val="00D15EBA"/>
    <w:rsid w:val="00D56C11"/>
    <w:rsid w:val="00D834A0"/>
    <w:rsid w:val="00D872DF"/>
    <w:rsid w:val="00D91E21"/>
    <w:rsid w:val="00DA7FCD"/>
    <w:rsid w:val="00E365E1"/>
    <w:rsid w:val="00E53FC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58AA5"/>
  <w15:chartTrackingRefBased/>
  <w15:docId w15:val="{9ABA3234-E287-4171-9570-58F571D9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78F2"/>
    <w:pPr>
      <w:spacing w:before="480" w:after="240"/>
    </w:pPr>
  </w:style>
  <w:style w:type="paragraph" w:customStyle="1" w:styleId="NormalBold">
    <w:name w:val="NormalBold"/>
    <w:basedOn w:val="Normal"/>
    <w:rsid w:val="008478F2"/>
    <w:rPr>
      <w:b/>
    </w:rPr>
  </w:style>
  <w:style w:type="paragraph" w:customStyle="1" w:styleId="NormalHanging12a">
    <w:name w:val="NormalHanging12a"/>
    <w:basedOn w:val="Normal"/>
    <w:rsid w:val="008478F2"/>
    <w:pPr>
      <w:spacing w:after="240"/>
      <w:ind w:left="567" w:hanging="567"/>
    </w:pPr>
  </w:style>
  <w:style w:type="character" w:styleId="Hyperlink">
    <w:name w:val="Hyperlink"/>
    <w:uiPriority w:val="99"/>
    <w:rsid w:val="008478F2"/>
    <w:rPr>
      <w:color w:val="0000FF"/>
      <w:u w:val="single"/>
    </w:rPr>
  </w:style>
  <w:style w:type="paragraph" w:customStyle="1" w:styleId="Normal12Hanging">
    <w:name w:val="Normal12Hanging"/>
    <w:basedOn w:val="Normal"/>
    <w:rsid w:val="008478F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B1659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2025-12-17T12:57:00Z</dcterms:created>
  <dcterms:modified xsi:type="dcterms:W3CDTF">2025-12-17T12:57:00Z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