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1760C" w14:paraId="0C23F15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7408827" w14:textId="77777777" w:rsidR="00751A4A" w:rsidRPr="0031760C" w:rsidRDefault="00004963" w:rsidP="0010095E">
            <w:pPr>
              <w:pStyle w:val="EPName"/>
            </w:pPr>
            <w:r w:rsidRPr="0031760C">
              <w:t>Európsky parlament</w:t>
            </w:r>
          </w:p>
          <w:p w14:paraId="21B40375" w14:textId="77777777" w:rsidR="00751A4A" w:rsidRPr="0031760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1760C">
              <w:t>2024</w:t>
            </w:r>
            <w:r w:rsidR="00817416" w:rsidRPr="0031760C">
              <w:t>-202</w:t>
            </w:r>
            <w:r w:rsidRPr="0031760C">
              <w:t>9</w:t>
            </w:r>
          </w:p>
        </w:tc>
        <w:tc>
          <w:tcPr>
            <w:tcW w:w="2268" w:type="dxa"/>
            <w:shd w:val="clear" w:color="auto" w:fill="auto"/>
          </w:tcPr>
          <w:p w14:paraId="11F55754" w14:textId="77777777" w:rsidR="00751A4A" w:rsidRPr="0031760C" w:rsidRDefault="00187494" w:rsidP="0010095E">
            <w:pPr>
              <w:pStyle w:val="EPLogo"/>
            </w:pPr>
            <w:r w:rsidRPr="0031760C">
              <w:rPr>
                <w:noProof/>
                <w:lang w:eastAsia="ja-JP"/>
              </w:rPr>
              <w:drawing>
                <wp:inline distT="0" distB="0" distL="0" distR="0" wp14:anchorId="608E3BAF" wp14:editId="4B94988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EF009B" w14:textId="77777777" w:rsidR="00D058B8" w:rsidRPr="0031760C" w:rsidRDefault="00D058B8" w:rsidP="004C5D52">
      <w:pPr>
        <w:pStyle w:val="LineTop"/>
      </w:pPr>
    </w:p>
    <w:p w14:paraId="40F71E43" w14:textId="77777777" w:rsidR="00680577" w:rsidRPr="0031760C" w:rsidRDefault="00004963" w:rsidP="00680577">
      <w:pPr>
        <w:pStyle w:val="EPBodyTA1"/>
      </w:pPr>
      <w:r w:rsidRPr="0031760C">
        <w:t>PRIJATÉ TEXTY</w:t>
      </w:r>
    </w:p>
    <w:p w14:paraId="6350D604" w14:textId="77777777" w:rsidR="00D058B8" w:rsidRPr="0031760C" w:rsidRDefault="00D058B8" w:rsidP="00D058B8">
      <w:pPr>
        <w:pStyle w:val="LineBottom"/>
      </w:pPr>
    </w:p>
    <w:p w14:paraId="2F2F43F3" w14:textId="3DF841AD" w:rsidR="00004963" w:rsidRPr="0031760C" w:rsidRDefault="00004963" w:rsidP="00004963">
      <w:pPr>
        <w:pStyle w:val="ATHeading1"/>
      </w:pPr>
      <w:bookmarkStart w:id="0" w:name="TANumber"/>
      <w:r w:rsidRPr="0031760C">
        <w:t>P10_TA(2025)0</w:t>
      </w:r>
      <w:r w:rsidR="0031760C" w:rsidRPr="0031760C">
        <w:t>334</w:t>
      </w:r>
      <w:bookmarkEnd w:id="0"/>
    </w:p>
    <w:p w14:paraId="39B89E89" w14:textId="0AAD115C" w:rsidR="00004963" w:rsidRPr="0031760C" w:rsidRDefault="00004963" w:rsidP="00004963">
      <w:pPr>
        <w:pStyle w:val="ATHeading2"/>
      </w:pPr>
      <w:bookmarkStart w:id="1" w:name="title"/>
      <w:r w:rsidRPr="0031760C">
        <w:t>Vymenovanie výkonného riaditeľa Európskeho orgánu pre poisťovníctvo a dôchodkové poistenie</w:t>
      </w:r>
      <w:r w:rsidR="00984107" w:rsidRPr="0031760C">
        <w:t xml:space="preserve"> </w:t>
      </w:r>
      <w:r w:rsidRPr="0031760C">
        <w:t>zamestnancov (EIOPA)</w:t>
      </w:r>
      <w:bookmarkEnd w:id="1"/>
    </w:p>
    <w:p w14:paraId="7AA6CC8D" w14:textId="77777777" w:rsidR="00004963" w:rsidRPr="0031760C" w:rsidRDefault="00004963" w:rsidP="00004963">
      <w:pPr>
        <w:rPr>
          <w:i/>
          <w:vanish/>
        </w:rPr>
      </w:pPr>
      <w:r w:rsidRPr="0031760C">
        <w:rPr>
          <w:i/>
        </w:rPr>
        <w:fldChar w:fldCharType="begin"/>
      </w:r>
      <w:r w:rsidRPr="0031760C">
        <w:rPr>
          <w:i/>
        </w:rPr>
        <w:instrText xml:space="preserve"> TC"(</w:instrText>
      </w:r>
      <w:bookmarkStart w:id="2" w:name="DocNumber"/>
      <w:r w:rsidRPr="0031760C">
        <w:rPr>
          <w:i/>
        </w:rPr>
        <w:instrText>A10-0247/2025</w:instrText>
      </w:r>
      <w:bookmarkEnd w:id="2"/>
      <w:r w:rsidRPr="0031760C">
        <w:rPr>
          <w:i/>
        </w:rPr>
        <w:instrText xml:space="preserve"> - Spravodajkyňa: </w:instrText>
      </w:r>
      <w:proofErr w:type="spellStart"/>
      <w:r w:rsidRPr="0031760C">
        <w:rPr>
          <w:i/>
        </w:rPr>
        <w:instrText>Aurore</w:instrText>
      </w:r>
      <w:proofErr w:type="spellEnd"/>
      <w:r w:rsidRPr="0031760C">
        <w:rPr>
          <w:i/>
        </w:rPr>
        <w:instrText xml:space="preserve"> </w:instrText>
      </w:r>
      <w:proofErr w:type="spellStart"/>
      <w:r w:rsidRPr="0031760C">
        <w:rPr>
          <w:i/>
        </w:rPr>
        <w:instrText>Lalucq</w:instrText>
      </w:r>
      <w:proofErr w:type="spellEnd"/>
      <w:r w:rsidRPr="0031760C">
        <w:rPr>
          <w:i/>
        </w:rPr>
        <w:instrText xml:space="preserve">)"\l3 \n&gt; \* MERGEFORMAT </w:instrText>
      </w:r>
      <w:r w:rsidRPr="0031760C">
        <w:rPr>
          <w:i/>
        </w:rPr>
        <w:fldChar w:fldCharType="end"/>
      </w:r>
    </w:p>
    <w:p w14:paraId="6C0234CE" w14:textId="77777777" w:rsidR="00004963" w:rsidRPr="0031760C" w:rsidRDefault="00004963" w:rsidP="00004963">
      <w:pPr>
        <w:rPr>
          <w:vanish/>
        </w:rPr>
      </w:pPr>
      <w:bookmarkStart w:id="3" w:name="Commission"/>
      <w:r w:rsidRPr="0031760C">
        <w:rPr>
          <w:vanish/>
        </w:rPr>
        <w:t>Výbor pre hospodárske a menové veci</w:t>
      </w:r>
      <w:bookmarkEnd w:id="3"/>
    </w:p>
    <w:p w14:paraId="2BB0BF25" w14:textId="77777777" w:rsidR="00004963" w:rsidRPr="0031760C" w:rsidRDefault="00004963" w:rsidP="00004963">
      <w:pPr>
        <w:rPr>
          <w:vanish/>
        </w:rPr>
      </w:pPr>
      <w:bookmarkStart w:id="4" w:name="PE"/>
      <w:r w:rsidRPr="0031760C">
        <w:rPr>
          <w:vanish/>
        </w:rPr>
        <w:t>PE779.515</w:t>
      </w:r>
      <w:bookmarkEnd w:id="4"/>
    </w:p>
    <w:p w14:paraId="36A1AF1B" w14:textId="2B380D0B" w:rsidR="00004963" w:rsidRPr="0031760C" w:rsidRDefault="00004963" w:rsidP="00004963">
      <w:pPr>
        <w:pStyle w:val="ATHeading3"/>
      </w:pPr>
      <w:bookmarkStart w:id="5" w:name="Sujet"/>
      <w:r w:rsidRPr="0031760C">
        <w:t>Rozhodnutie Európskeho parlamentu z</w:t>
      </w:r>
      <w:r w:rsidR="007E6B98" w:rsidRPr="0031760C">
        <w:t>o</w:t>
      </w:r>
      <w:r w:rsidRPr="0031760C">
        <w:t xml:space="preserve"> </w:t>
      </w:r>
      <w:r w:rsidR="007E6B98" w:rsidRPr="0031760C">
        <w:t>17</w:t>
      </w:r>
      <w:r w:rsidRPr="0031760C">
        <w:t>. decembra 2025 o návrhu na vymenovanie výkonného riaditeľa Európskeho orgánu pre poisťovníctvo a dôchodkové poistenie zamestnancov</w:t>
      </w:r>
      <w:bookmarkEnd w:id="5"/>
      <w:r w:rsidRPr="0031760C">
        <w:t xml:space="preserve"> </w:t>
      </w:r>
      <w:bookmarkStart w:id="6" w:name="References"/>
      <w:r w:rsidRPr="0031760C">
        <w:t>(N10-0060/2025 – C10-0268/2025 – 2025/0904(NLE))</w:t>
      </w:r>
      <w:bookmarkEnd w:id="6"/>
    </w:p>
    <w:p w14:paraId="7456E53A" w14:textId="77777777" w:rsidR="00B57ACE" w:rsidRPr="0031760C" w:rsidRDefault="00B57ACE" w:rsidP="00B57ACE">
      <w:pPr>
        <w:pStyle w:val="NormalBold"/>
      </w:pPr>
      <w:r w:rsidRPr="0031760C">
        <w:t>(Súhlas)</w:t>
      </w:r>
    </w:p>
    <w:p w14:paraId="44A4E738" w14:textId="77777777" w:rsidR="00B57ACE" w:rsidRPr="0031760C" w:rsidRDefault="00B57ACE" w:rsidP="00B57ACE">
      <w:pPr>
        <w:pStyle w:val="EPComma"/>
      </w:pPr>
      <w:r w:rsidRPr="0031760C">
        <w:rPr>
          <w:i/>
        </w:rPr>
        <w:t>Európsky parlament</w:t>
      </w:r>
      <w:r w:rsidRPr="0031760C">
        <w:t>,</w:t>
      </w:r>
    </w:p>
    <w:p w14:paraId="054720A5" w14:textId="77777777" w:rsidR="00B57ACE" w:rsidRPr="0031760C" w:rsidRDefault="00B57ACE" w:rsidP="00B57ACE">
      <w:pPr>
        <w:pStyle w:val="NormalHanging12a"/>
      </w:pPr>
      <w:r w:rsidRPr="0031760C">
        <w:t>–</w:t>
      </w:r>
      <w:r w:rsidRPr="0031760C">
        <w:tab/>
        <w:t>so zreteľom na návrh rady orgánov dohľadu Európskeho orgánu pre poisťovníctvo a dôchodkové poistenie zamestnancov z 23. októbra 2025 (C10</w:t>
      </w:r>
      <w:r w:rsidRPr="0031760C">
        <w:noBreakHyphen/>
        <w:t>0268/2025),</w:t>
      </w:r>
    </w:p>
    <w:p w14:paraId="14BC107E" w14:textId="77777777" w:rsidR="00B57ACE" w:rsidRPr="0031760C" w:rsidRDefault="00B57ACE" w:rsidP="00B57ACE">
      <w:pPr>
        <w:pStyle w:val="NormalHanging12a"/>
      </w:pPr>
      <w:r w:rsidRPr="0031760C">
        <w:t>–</w:t>
      </w:r>
      <w:r w:rsidRPr="0031760C">
        <w:tab/>
        <w:t>so zreteľom na článok 51 ods. 2 a 3 nariadenia Európskeho parlamentu a Rady (EÚ) č. 1094/2010 z 24. novembra 2010, ktorým sa zriaďuje Európsky orgán dohľadu (Európsky orgán pre poisťovníctvo a dôchodkové poistenie zamestnancov) a ktorým sa mení a dopĺňa rozhodnutie č. 716/2009/ES a zrušuje rozhodnutie Komisie 2009/79/ES</w:t>
      </w:r>
      <w:r w:rsidRPr="0031760C">
        <w:rPr>
          <w:rStyle w:val="FootnoteReference"/>
        </w:rPr>
        <w:footnoteReference w:id="1"/>
      </w:r>
      <w:r w:rsidRPr="0031760C">
        <w:t>,</w:t>
      </w:r>
    </w:p>
    <w:p w14:paraId="0DD16E3E" w14:textId="77777777" w:rsidR="00B57ACE" w:rsidRPr="0031760C" w:rsidRDefault="00B57ACE" w:rsidP="00B57ACE">
      <w:pPr>
        <w:pStyle w:val="Normal12Hanging"/>
      </w:pPr>
      <w:r w:rsidRPr="0031760C">
        <w:t>–</w:t>
      </w:r>
      <w:r w:rsidRPr="0031760C">
        <w:tab/>
        <w:t>so zreteľom na svoje uznesenie zo 14. marca 2019 o rodovej rovnováhe pri navrhovaní kandidátov v oblasti hospodárskych a menových záležitostí EÚ</w:t>
      </w:r>
      <w:r w:rsidRPr="0031760C">
        <w:rPr>
          <w:rStyle w:val="FootnoteReference"/>
        </w:rPr>
        <w:footnoteReference w:id="2"/>
      </w:r>
      <w:r w:rsidRPr="0031760C">
        <w:t>,</w:t>
      </w:r>
    </w:p>
    <w:p w14:paraId="367F0A67" w14:textId="77777777" w:rsidR="00B57ACE" w:rsidRPr="0031760C" w:rsidRDefault="00B57ACE" w:rsidP="00B57ACE">
      <w:pPr>
        <w:pStyle w:val="Normal12Hanging"/>
      </w:pPr>
      <w:r w:rsidRPr="0031760C">
        <w:t>–</w:t>
      </w:r>
      <w:r w:rsidRPr="0031760C">
        <w:tab/>
        <w:t>so zreteľom na svoje uznesenie zo 16. januára 2020 o inštitúciách a orgánoch v hospodárskej a menovej únii: predchádzanie konfliktu záujmov po skončení verejnej služby</w:t>
      </w:r>
      <w:r w:rsidRPr="0031760C">
        <w:rPr>
          <w:rStyle w:val="FootnoteReference"/>
        </w:rPr>
        <w:footnoteReference w:id="3"/>
      </w:r>
      <w:r w:rsidRPr="0031760C">
        <w:t>,</w:t>
      </w:r>
    </w:p>
    <w:p w14:paraId="42BEEF01" w14:textId="77777777" w:rsidR="00B57ACE" w:rsidRPr="0031760C" w:rsidRDefault="00B57ACE" w:rsidP="00B57ACE">
      <w:pPr>
        <w:pStyle w:val="NormalHanging12a"/>
      </w:pPr>
      <w:r w:rsidRPr="0031760C">
        <w:t>–</w:t>
      </w:r>
      <w:r w:rsidRPr="0031760C">
        <w:tab/>
        <w:t>so zreteľom na článok 135 rokovacieho poriadku,</w:t>
      </w:r>
    </w:p>
    <w:p w14:paraId="31E3CE2F" w14:textId="77777777" w:rsidR="00B57ACE" w:rsidRPr="0031760C" w:rsidRDefault="00B57ACE" w:rsidP="00B57ACE">
      <w:pPr>
        <w:pStyle w:val="NormalHanging12a"/>
      </w:pPr>
      <w:r w:rsidRPr="0031760C">
        <w:t>–</w:t>
      </w:r>
      <w:r w:rsidRPr="0031760C">
        <w:tab/>
        <w:t>so zreteľom na správu Výboru pre hospodárske a menové veci (A10-0247/2025),</w:t>
      </w:r>
    </w:p>
    <w:p w14:paraId="0B69AC3B" w14:textId="77777777" w:rsidR="00B57ACE" w:rsidRPr="0031760C" w:rsidRDefault="00B57ACE" w:rsidP="00B57ACE">
      <w:pPr>
        <w:pStyle w:val="NormalHanging12a"/>
      </w:pPr>
      <w:r w:rsidRPr="0031760C">
        <w:t>A.</w:t>
      </w:r>
      <w:r w:rsidRPr="0031760C">
        <w:tab/>
        <w:t>keďže funkčné obdobie súčasného výkonného riaditeľa Európskeho orgánu pre poisťovníctvo a dôchodkové poistenie zamestnancov končí 31. marca 2026;</w:t>
      </w:r>
    </w:p>
    <w:p w14:paraId="70010E06" w14:textId="77777777" w:rsidR="00B57ACE" w:rsidRPr="0031760C" w:rsidRDefault="00B57ACE" w:rsidP="00B57ACE">
      <w:pPr>
        <w:pStyle w:val="NormalHanging12a"/>
      </w:pPr>
      <w:r w:rsidRPr="0031760C">
        <w:lastRenderedPageBreak/>
        <w:t>B.</w:t>
      </w:r>
      <w:r w:rsidRPr="0031760C">
        <w:tab/>
        <w:t xml:space="preserve">keďže 23. októbra 2025 rada orgánov dohľadu Európskeho orgánu pre poisťovníctvo a dôchodkové poistenie zamestnancov navrhla na základe otvoreného výberového konania, aby bol v súlade s článkom 51 ods. 2 a 3 nariadenia (EÚ) č. 1094/2010 za výkonného riaditeľa vymenovaný </w:t>
      </w:r>
      <w:proofErr w:type="spellStart"/>
      <w:r w:rsidRPr="0031760C">
        <w:t>Damian</w:t>
      </w:r>
      <w:proofErr w:type="spellEnd"/>
      <w:r w:rsidRPr="0031760C">
        <w:t xml:space="preserve"> </w:t>
      </w:r>
      <w:proofErr w:type="spellStart"/>
      <w:r w:rsidRPr="0031760C">
        <w:t>Jaworski</w:t>
      </w:r>
      <w:proofErr w:type="spellEnd"/>
      <w:r w:rsidRPr="0031760C">
        <w:t xml:space="preserve"> na päťročné funkčné obdobie;</w:t>
      </w:r>
    </w:p>
    <w:p w14:paraId="7383FE07" w14:textId="77777777" w:rsidR="00B57ACE" w:rsidRPr="0031760C" w:rsidRDefault="00B57ACE" w:rsidP="00B57ACE">
      <w:pPr>
        <w:pStyle w:val="NormalHanging12a"/>
      </w:pPr>
      <w:r w:rsidRPr="0031760C">
        <w:t>C.</w:t>
      </w:r>
      <w:r w:rsidRPr="0031760C">
        <w:tab/>
        <w:t xml:space="preserve">keďže Výbor pre hospodárske a menové veci usporiadal 6. novembra 2025 vypočutie </w:t>
      </w:r>
      <w:proofErr w:type="spellStart"/>
      <w:r w:rsidRPr="0031760C">
        <w:t>Damiana</w:t>
      </w:r>
      <w:proofErr w:type="spellEnd"/>
      <w:r w:rsidRPr="0031760C">
        <w:t xml:space="preserve"> </w:t>
      </w:r>
      <w:proofErr w:type="spellStart"/>
      <w:r w:rsidRPr="0031760C">
        <w:t>Jaworského</w:t>
      </w:r>
      <w:proofErr w:type="spellEnd"/>
      <w:r w:rsidRPr="0031760C">
        <w:t>, ktorý počas vypočutia predniesol úvodné vyhlásenie a následne odpovedal na otázky členov výboru;</w:t>
      </w:r>
    </w:p>
    <w:p w14:paraId="29B54A81" w14:textId="77777777" w:rsidR="00B57ACE" w:rsidRPr="0031760C" w:rsidRDefault="00B57ACE" w:rsidP="00B57ACE">
      <w:pPr>
        <w:pStyle w:val="NormalHanging12a"/>
      </w:pPr>
      <w:r w:rsidRPr="0031760C">
        <w:t>1.</w:t>
      </w:r>
      <w:r w:rsidRPr="0031760C">
        <w:tab/>
        <w:t xml:space="preserve">udeľuje súhlas s vymenovaním </w:t>
      </w:r>
      <w:proofErr w:type="spellStart"/>
      <w:r w:rsidRPr="0031760C">
        <w:t>Damiana</w:t>
      </w:r>
      <w:proofErr w:type="spellEnd"/>
      <w:r w:rsidRPr="0031760C">
        <w:t xml:space="preserve"> </w:t>
      </w:r>
      <w:proofErr w:type="spellStart"/>
      <w:r w:rsidRPr="0031760C">
        <w:t>Jaworského</w:t>
      </w:r>
      <w:proofErr w:type="spellEnd"/>
      <w:r w:rsidRPr="0031760C">
        <w:t xml:space="preserve"> za výkonného riaditeľa Európskeho orgánu pre poisťovníctvo a dôchodkové poistenie zamestnancov;</w:t>
      </w:r>
    </w:p>
    <w:p w14:paraId="6AFD20F3" w14:textId="16C46057" w:rsidR="00E365E1" w:rsidRPr="0031760C" w:rsidRDefault="00B57ACE" w:rsidP="0031760C">
      <w:pPr>
        <w:pStyle w:val="NormalHanging12a"/>
      </w:pPr>
      <w:r w:rsidRPr="0031760C">
        <w:t>2.</w:t>
      </w:r>
      <w:r w:rsidRPr="0031760C">
        <w:tab/>
        <w:t>poveruje svoju predsedníčku, aby postúpila toto rozhodnutie Rade, Komisii, Európskemu orgánu pre poisťovníctvo a dôchodkové poistenie zamestnancov, ako aj vládam členských štátov.</w:t>
      </w:r>
    </w:p>
    <w:sectPr w:rsidR="00E365E1" w:rsidRPr="0031760C" w:rsidSect="0068074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455229" w14:textId="77777777" w:rsidR="00004963" w:rsidRPr="00680745" w:rsidRDefault="00004963">
      <w:r w:rsidRPr="00680745">
        <w:separator/>
      </w:r>
    </w:p>
  </w:endnote>
  <w:endnote w:type="continuationSeparator" w:id="0">
    <w:p w14:paraId="04610774" w14:textId="77777777" w:rsidR="00004963" w:rsidRPr="00680745" w:rsidRDefault="00004963">
      <w:r w:rsidRPr="0068074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712AF" w14:textId="77777777" w:rsidR="00064002" w:rsidRPr="0068074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D78AB" w14:textId="77777777" w:rsidR="00064002" w:rsidRPr="0068074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DB910" w14:textId="77777777" w:rsidR="00064002" w:rsidRPr="0068074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F139D9" w14:textId="77777777" w:rsidR="00004963" w:rsidRPr="00680745" w:rsidRDefault="00004963">
      <w:r w:rsidRPr="00680745">
        <w:separator/>
      </w:r>
    </w:p>
  </w:footnote>
  <w:footnote w:type="continuationSeparator" w:id="0">
    <w:p w14:paraId="2AA39B18" w14:textId="77777777" w:rsidR="00004963" w:rsidRPr="00680745" w:rsidRDefault="00004963">
      <w:r w:rsidRPr="00680745">
        <w:continuationSeparator/>
      </w:r>
    </w:p>
  </w:footnote>
  <w:footnote w:id="1">
    <w:p w14:paraId="6B377B3E" w14:textId="06B0AA7F" w:rsidR="00B57ACE" w:rsidRPr="00680745" w:rsidRDefault="00B57ACE" w:rsidP="00680745">
      <w:pPr>
        <w:pStyle w:val="FootnoteText"/>
        <w:ind w:left="567" w:hanging="567"/>
        <w:rPr>
          <w:sz w:val="24"/>
          <w:lang w:val="sk-SK"/>
        </w:rPr>
      </w:pPr>
      <w:r w:rsidRPr="00680745">
        <w:rPr>
          <w:rStyle w:val="FootnoteReference"/>
          <w:sz w:val="24"/>
          <w:lang w:val="sk-SK"/>
        </w:rPr>
        <w:footnoteRef/>
      </w:r>
      <w:r w:rsidR="00680745" w:rsidRPr="00680745">
        <w:rPr>
          <w:sz w:val="24"/>
          <w:lang w:val="sk-SK"/>
        </w:rPr>
        <w:t xml:space="preserve"> </w:t>
      </w:r>
      <w:r w:rsidR="00680745" w:rsidRPr="00680745">
        <w:rPr>
          <w:sz w:val="24"/>
          <w:lang w:val="sk-SK"/>
        </w:rPr>
        <w:tab/>
      </w:r>
      <w:r w:rsidRPr="00680745">
        <w:rPr>
          <w:sz w:val="24"/>
          <w:lang w:val="sk-SK"/>
        </w:rPr>
        <w:t xml:space="preserve">Ú. v. EÚ L 331, 15.12.2010, s. 48, ELI: </w:t>
      </w:r>
      <w:hyperlink r:id="rId1" w:history="1">
        <w:r w:rsidRPr="00680745">
          <w:rPr>
            <w:rStyle w:val="Hyperlink"/>
            <w:sz w:val="24"/>
            <w:lang w:val="sk-SK"/>
          </w:rPr>
          <w:t>http://data.europa.eu/eli/reg/2010/1094/oj</w:t>
        </w:r>
      </w:hyperlink>
      <w:r w:rsidRPr="00680745">
        <w:rPr>
          <w:sz w:val="24"/>
          <w:lang w:val="sk-SK"/>
        </w:rPr>
        <w:t>.</w:t>
      </w:r>
    </w:p>
  </w:footnote>
  <w:footnote w:id="2">
    <w:p w14:paraId="4A7FEBA4" w14:textId="7923AC6E" w:rsidR="00B57ACE" w:rsidRPr="00680745" w:rsidRDefault="00B57ACE" w:rsidP="00680745">
      <w:pPr>
        <w:pStyle w:val="FootnoteText"/>
        <w:ind w:left="567" w:hanging="567"/>
        <w:rPr>
          <w:sz w:val="24"/>
          <w:lang w:val="sk-SK"/>
        </w:rPr>
      </w:pPr>
      <w:r w:rsidRPr="00680745">
        <w:rPr>
          <w:rStyle w:val="FootnoteReference"/>
          <w:sz w:val="24"/>
          <w:lang w:val="sk-SK"/>
        </w:rPr>
        <w:footnoteRef/>
      </w:r>
      <w:r w:rsidR="00680745" w:rsidRPr="00680745">
        <w:rPr>
          <w:sz w:val="24"/>
          <w:lang w:val="sk-SK"/>
        </w:rPr>
        <w:t xml:space="preserve"> </w:t>
      </w:r>
      <w:r w:rsidR="00680745" w:rsidRPr="00680745">
        <w:rPr>
          <w:sz w:val="24"/>
          <w:lang w:val="sk-SK"/>
        </w:rPr>
        <w:tab/>
      </w:r>
      <w:r w:rsidRPr="00680745">
        <w:rPr>
          <w:sz w:val="24"/>
          <w:lang w:val="sk-SK"/>
        </w:rPr>
        <w:t>Ú. v. EÚ C 23, 21.1.2021, s. 105.</w:t>
      </w:r>
    </w:p>
  </w:footnote>
  <w:footnote w:id="3">
    <w:p w14:paraId="287FBEA2" w14:textId="1921582F" w:rsidR="00B57ACE" w:rsidRPr="00680745" w:rsidRDefault="00B57ACE" w:rsidP="00680745">
      <w:pPr>
        <w:pStyle w:val="FootnoteText"/>
        <w:ind w:left="567" w:hanging="567"/>
        <w:rPr>
          <w:sz w:val="24"/>
          <w:lang w:val="sk-SK"/>
        </w:rPr>
      </w:pPr>
      <w:r w:rsidRPr="00680745">
        <w:rPr>
          <w:rStyle w:val="FootnoteReference"/>
          <w:sz w:val="24"/>
          <w:lang w:val="sk-SK"/>
        </w:rPr>
        <w:footnoteRef/>
      </w:r>
      <w:r w:rsidR="00680745" w:rsidRPr="00680745">
        <w:rPr>
          <w:sz w:val="24"/>
          <w:lang w:val="sk-SK"/>
        </w:rPr>
        <w:t xml:space="preserve"> </w:t>
      </w:r>
      <w:r w:rsidR="00680745" w:rsidRPr="00680745">
        <w:rPr>
          <w:sz w:val="24"/>
          <w:lang w:val="sk-SK"/>
        </w:rPr>
        <w:tab/>
      </w:r>
      <w:r w:rsidRPr="00680745">
        <w:rPr>
          <w:sz w:val="24"/>
          <w:lang w:val="sk-SK"/>
        </w:rPr>
        <w:t>Prijaté texty, P9_TA(2020)0017.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2F720" w14:textId="77777777" w:rsidR="00064002" w:rsidRPr="0068074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688F9" w14:textId="77777777" w:rsidR="00064002" w:rsidRPr="0068074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D017A" w14:textId="77777777" w:rsidR="00064002" w:rsidRPr="0068074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41002358">
    <w:abstractNumId w:val="9"/>
  </w:num>
  <w:num w:numId="2" w16cid:durableId="1111359861">
    <w:abstractNumId w:val="9"/>
  </w:num>
  <w:num w:numId="3" w16cid:durableId="602688173">
    <w:abstractNumId w:val="7"/>
  </w:num>
  <w:num w:numId="4" w16cid:durableId="1480533219">
    <w:abstractNumId w:val="7"/>
  </w:num>
  <w:num w:numId="5" w16cid:durableId="1378311994">
    <w:abstractNumId w:val="6"/>
  </w:num>
  <w:num w:numId="6" w16cid:durableId="392629350">
    <w:abstractNumId w:val="6"/>
  </w:num>
  <w:num w:numId="7" w16cid:durableId="1023677888">
    <w:abstractNumId w:val="5"/>
  </w:num>
  <w:num w:numId="8" w16cid:durableId="309361376">
    <w:abstractNumId w:val="5"/>
  </w:num>
  <w:num w:numId="9" w16cid:durableId="1346009098">
    <w:abstractNumId w:val="4"/>
  </w:num>
  <w:num w:numId="10" w16cid:durableId="2082367380">
    <w:abstractNumId w:val="4"/>
  </w:num>
  <w:num w:numId="11" w16cid:durableId="1968390777">
    <w:abstractNumId w:val="8"/>
  </w:num>
  <w:num w:numId="12" w16cid:durableId="2014841450">
    <w:abstractNumId w:val="8"/>
  </w:num>
  <w:num w:numId="13" w16cid:durableId="1715815288">
    <w:abstractNumId w:val="3"/>
  </w:num>
  <w:num w:numId="14" w16cid:durableId="869876832">
    <w:abstractNumId w:val="3"/>
  </w:num>
  <w:num w:numId="15" w16cid:durableId="2010860684">
    <w:abstractNumId w:val="2"/>
  </w:num>
  <w:num w:numId="16" w16cid:durableId="1495533561">
    <w:abstractNumId w:val="2"/>
  </w:num>
  <w:num w:numId="17" w16cid:durableId="764618281">
    <w:abstractNumId w:val="1"/>
  </w:num>
  <w:num w:numId="18" w16cid:durableId="2132899591">
    <w:abstractNumId w:val="1"/>
  </w:num>
  <w:num w:numId="19" w16cid:durableId="1583836408">
    <w:abstractNumId w:val="0"/>
  </w:num>
  <w:num w:numId="20" w16cid:durableId="681667965">
    <w:abstractNumId w:val="0"/>
  </w:num>
  <w:num w:numId="21" w16cid:durableId="1271206835">
    <w:abstractNumId w:val="9"/>
  </w:num>
  <w:num w:numId="22" w16cid:durableId="1209419762">
    <w:abstractNumId w:val="7"/>
  </w:num>
  <w:num w:numId="23" w16cid:durableId="291911746">
    <w:abstractNumId w:val="6"/>
  </w:num>
  <w:num w:numId="24" w16cid:durableId="351802666">
    <w:abstractNumId w:val="5"/>
  </w:num>
  <w:num w:numId="25" w16cid:durableId="2005235569">
    <w:abstractNumId w:val="4"/>
  </w:num>
  <w:num w:numId="26" w16cid:durableId="369382477">
    <w:abstractNumId w:val="8"/>
  </w:num>
  <w:num w:numId="27" w16cid:durableId="671490728">
    <w:abstractNumId w:val="3"/>
  </w:num>
  <w:num w:numId="28" w16cid:durableId="1707216090">
    <w:abstractNumId w:val="2"/>
  </w:num>
  <w:num w:numId="29" w16cid:durableId="1307205809">
    <w:abstractNumId w:val="1"/>
  </w:num>
  <w:num w:numId="30" w16cid:durableId="607589107">
    <w:abstractNumId w:val="0"/>
  </w:num>
  <w:num w:numId="31" w16cid:durableId="515191112">
    <w:abstractNumId w:val="9"/>
  </w:num>
  <w:num w:numId="32" w16cid:durableId="2079748578">
    <w:abstractNumId w:val="7"/>
  </w:num>
  <w:num w:numId="33" w16cid:durableId="585966921">
    <w:abstractNumId w:val="6"/>
  </w:num>
  <w:num w:numId="34" w16cid:durableId="73477751">
    <w:abstractNumId w:val="5"/>
  </w:num>
  <w:num w:numId="35" w16cid:durableId="1779057302">
    <w:abstractNumId w:val="4"/>
  </w:num>
  <w:num w:numId="36" w16cid:durableId="1197087599">
    <w:abstractNumId w:val="8"/>
  </w:num>
  <w:num w:numId="37" w16cid:durableId="434860694">
    <w:abstractNumId w:val="3"/>
  </w:num>
  <w:num w:numId="38" w16cid:durableId="1946764305">
    <w:abstractNumId w:val="2"/>
  </w:num>
  <w:num w:numId="39" w16cid:durableId="1102919724">
    <w:abstractNumId w:val="1"/>
  </w:num>
  <w:num w:numId="40" w16cid:durableId="1591232268">
    <w:abstractNumId w:val="0"/>
  </w:num>
  <w:num w:numId="41" w16cid:durableId="158928095">
    <w:abstractNumId w:val="10"/>
  </w:num>
  <w:num w:numId="42" w16cid:durableId="640575830">
    <w:abstractNumId w:val="10"/>
  </w:num>
  <w:num w:numId="43" w16cid:durableId="763037481">
    <w:abstractNumId w:val="10"/>
  </w:num>
  <w:num w:numId="44" w16cid:durableId="176645935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7/2025"/>
    <w:docVar w:name="dvlangue" w:val="SK"/>
    <w:docVar w:name="dvnumam" w:val="0"/>
    <w:docVar w:name="dvpe" w:val="779.515"/>
    <w:docVar w:name="dvrapporteur" w:val="Spravodajkyňa: "/>
    <w:docVar w:name="dvtitre" w:val="Rozhodnutie Európskeho parlamentu z xx. decembra 2025 o návrhu na vymenovanie výkonného riaditeľa Európskeho orgánu pre poisťovníctvo a dôchodkové poistenie zamestnancov(N10-0060/2025 – C10-0268/2025 – 2025/0904(NLE))"/>
  </w:docVars>
  <w:rsids>
    <w:rsidRoot w:val="00004963"/>
    <w:rsid w:val="00002272"/>
    <w:rsid w:val="00004963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1760C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25FF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80745"/>
    <w:rsid w:val="006F74FA"/>
    <w:rsid w:val="00731ADD"/>
    <w:rsid w:val="00734777"/>
    <w:rsid w:val="00747932"/>
    <w:rsid w:val="00751A4A"/>
    <w:rsid w:val="00756632"/>
    <w:rsid w:val="00757331"/>
    <w:rsid w:val="00762C74"/>
    <w:rsid w:val="00786EC0"/>
    <w:rsid w:val="007D1690"/>
    <w:rsid w:val="007E22AD"/>
    <w:rsid w:val="007E6B98"/>
    <w:rsid w:val="00817416"/>
    <w:rsid w:val="00842779"/>
    <w:rsid w:val="00865F67"/>
    <w:rsid w:val="00881A7B"/>
    <w:rsid w:val="008840E5"/>
    <w:rsid w:val="00887B3E"/>
    <w:rsid w:val="008B7330"/>
    <w:rsid w:val="008C2AC6"/>
    <w:rsid w:val="00930C23"/>
    <w:rsid w:val="0093193B"/>
    <w:rsid w:val="009509D8"/>
    <w:rsid w:val="00950B64"/>
    <w:rsid w:val="00981893"/>
    <w:rsid w:val="00984107"/>
    <w:rsid w:val="009B25A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57ACE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921EBA"/>
  <w15:chartTrackingRefBased/>
  <w15:docId w15:val="{690CE813-27FE-435D-9D8F-03FEF5087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57ACE"/>
    <w:pPr>
      <w:spacing w:before="480" w:after="240"/>
    </w:pPr>
  </w:style>
  <w:style w:type="paragraph" w:customStyle="1" w:styleId="NormalBold">
    <w:name w:val="NormalBold"/>
    <w:basedOn w:val="Normal"/>
    <w:rsid w:val="00B57ACE"/>
    <w:rPr>
      <w:b/>
    </w:rPr>
  </w:style>
  <w:style w:type="paragraph" w:customStyle="1" w:styleId="NormalHanging12a">
    <w:name w:val="NormalHanging12a"/>
    <w:basedOn w:val="Normal"/>
    <w:rsid w:val="00B57ACE"/>
    <w:pPr>
      <w:spacing w:after="240"/>
      <w:ind w:left="567" w:hanging="567"/>
    </w:pPr>
  </w:style>
  <w:style w:type="character" w:styleId="Hyperlink">
    <w:name w:val="Hyperlink"/>
    <w:uiPriority w:val="99"/>
    <w:rsid w:val="00B57ACE"/>
    <w:rPr>
      <w:color w:val="0000FF"/>
      <w:u w:val="single"/>
    </w:rPr>
  </w:style>
  <w:style w:type="paragraph" w:customStyle="1" w:styleId="Normal12Hanging">
    <w:name w:val="Normal12Hanging"/>
    <w:basedOn w:val="Normal"/>
    <w:rsid w:val="00B57ACE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7E6B98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0/109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2156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2025-12-17T10:24:00Z</dcterms:created>
  <dcterms:modified xsi:type="dcterms:W3CDTF">2025-12-17T10:24:00Z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A10-0247/2025</vt:lpwstr>
  </property>
  <property fmtid="{D5CDD505-2E9C-101B-9397-08002B2CF9AE}" pid="4" name="&lt;Type&gt;">
    <vt:lpwstr>RR</vt:lpwstr>
  </property>
</Properties>
</file>