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591B" w14:paraId="08E94A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E37086" w14:textId="6B3D829E" w:rsidR="00751A4A" w:rsidRPr="00AF591B" w:rsidRDefault="00DD0048" w:rsidP="0010095E">
            <w:pPr>
              <w:pStyle w:val="EPName"/>
            </w:pPr>
            <w:r w:rsidRPr="00AF591B">
              <w:t>Evropský parlament</w:t>
            </w:r>
          </w:p>
          <w:p w14:paraId="016085B9" w14:textId="77777777" w:rsidR="00751A4A" w:rsidRPr="00AF59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591B">
              <w:t>2024</w:t>
            </w:r>
            <w:r w:rsidR="00817416" w:rsidRPr="00AF591B">
              <w:t>-202</w:t>
            </w:r>
            <w:r w:rsidRPr="00AF591B">
              <w:t>9</w:t>
            </w:r>
          </w:p>
        </w:tc>
        <w:tc>
          <w:tcPr>
            <w:tcW w:w="2268" w:type="dxa"/>
            <w:shd w:val="clear" w:color="auto" w:fill="auto"/>
          </w:tcPr>
          <w:p w14:paraId="6EF6B0CB" w14:textId="77777777" w:rsidR="00751A4A" w:rsidRPr="00AF591B" w:rsidRDefault="00187494" w:rsidP="0010095E">
            <w:pPr>
              <w:pStyle w:val="EPLogo"/>
            </w:pPr>
            <w:r w:rsidRPr="00AF591B">
              <w:rPr>
                <w:noProof/>
                <w:lang w:eastAsia="ja-JP"/>
              </w:rPr>
              <w:drawing>
                <wp:inline distT="0" distB="0" distL="0" distR="0" wp14:anchorId="0FDC970A" wp14:editId="1C9B1B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DB949E" w14:textId="77777777" w:rsidR="00D058B8" w:rsidRPr="00AF591B" w:rsidRDefault="00D058B8" w:rsidP="004C5D52">
      <w:pPr>
        <w:pStyle w:val="LineTop"/>
      </w:pPr>
    </w:p>
    <w:p w14:paraId="1AE1713B" w14:textId="7FF47885" w:rsidR="00680577" w:rsidRPr="00AF591B" w:rsidRDefault="00DD0048" w:rsidP="00680577">
      <w:pPr>
        <w:pStyle w:val="EPBodyTA1"/>
      </w:pPr>
      <w:r w:rsidRPr="00AF591B">
        <w:t>PŘIJATÉ TEXTY</w:t>
      </w:r>
    </w:p>
    <w:p w14:paraId="55C1936A" w14:textId="77777777" w:rsidR="00D058B8" w:rsidRPr="00AF591B" w:rsidRDefault="00D058B8" w:rsidP="00D058B8">
      <w:pPr>
        <w:pStyle w:val="LineBottom"/>
      </w:pPr>
    </w:p>
    <w:p w14:paraId="4EE96FC0" w14:textId="71DCD967" w:rsidR="00DD0048" w:rsidRPr="00AF591B" w:rsidRDefault="00DD0048" w:rsidP="00DD0048">
      <w:pPr>
        <w:pStyle w:val="ATHeading1"/>
      </w:pPr>
      <w:bookmarkStart w:id="0" w:name="TANumber"/>
      <w:r w:rsidRPr="00AF591B">
        <w:t>P10_TA(2025)0</w:t>
      </w:r>
      <w:bookmarkEnd w:id="0"/>
      <w:r w:rsidR="00427F5B">
        <w:t>335</w:t>
      </w:r>
    </w:p>
    <w:p w14:paraId="37F65B64" w14:textId="77777777" w:rsidR="00DD0048" w:rsidRPr="00AF591B" w:rsidRDefault="00DD0048" w:rsidP="00DD0048">
      <w:pPr>
        <w:pStyle w:val="ATHeading2"/>
      </w:pPr>
      <w:bookmarkStart w:id="1" w:name="title"/>
      <w:r w:rsidRPr="00AF591B">
        <w:t>Vojenská mobilita</w:t>
      </w:r>
      <w:bookmarkEnd w:id="1"/>
    </w:p>
    <w:p w14:paraId="0D1621BF" w14:textId="77777777" w:rsidR="00DD0048" w:rsidRPr="00AF591B" w:rsidRDefault="00DD0048" w:rsidP="00DD0048">
      <w:pPr>
        <w:rPr>
          <w:i/>
          <w:vanish/>
        </w:rPr>
      </w:pPr>
      <w:r w:rsidRPr="00AF591B">
        <w:rPr>
          <w:i/>
        </w:rPr>
        <w:fldChar w:fldCharType="begin"/>
      </w:r>
      <w:r w:rsidRPr="00AF591B">
        <w:rPr>
          <w:i/>
        </w:rPr>
        <w:instrText xml:space="preserve"> TC"(</w:instrText>
      </w:r>
      <w:bookmarkStart w:id="2" w:name="DocNumber"/>
      <w:r w:rsidRPr="00AF591B">
        <w:rPr>
          <w:i/>
        </w:rPr>
        <w:instrText>A10-0242/2025</w:instrText>
      </w:r>
      <w:bookmarkEnd w:id="2"/>
      <w:r w:rsidRPr="00AF591B">
        <w:rPr>
          <w:i/>
        </w:rPr>
        <w:instrText xml:space="preserve"> - Zpravodajové: Petras Auštrevičius, Roberts Zīle)"\l3 \n&gt; \* MERGEFORMAT </w:instrText>
      </w:r>
      <w:r w:rsidRPr="00AF591B">
        <w:rPr>
          <w:i/>
        </w:rPr>
        <w:fldChar w:fldCharType="end"/>
      </w:r>
    </w:p>
    <w:p w14:paraId="7D9B9B3D" w14:textId="1CF047A2" w:rsidR="00DD0048" w:rsidRPr="00AF591B" w:rsidRDefault="00DD0048" w:rsidP="00DD0048">
      <w:pPr>
        <w:rPr>
          <w:vanish/>
        </w:rPr>
      </w:pPr>
      <w:bookmarkStart w:id="3" w:name="Commission"/>
      <w:r w:rsidRPr="00AF591B">
        <w:rPr>
          <w:vanish/>
        </w:rPr>
        <w:t>Výbor pro bezpečnost a obranu, Výbor pro dopravu a cestovní ruch</w:t>
      </w:r>
      <w:bookmarkEnd w:id="3"/>
    </w:p>
    <w:p w14:paraId="0A6B98CE" w14:textId="77777777" w:rsidR="00DD0048" w:rsidRPr="00AF591B" w:rsidRDefault="00DD0048" w:rsidP="00DD0048">
      <w:pPr>
        <w:rPr>
          <w:vanish/>
        </w:rPr>
      </w:pPr>
      <w:bookmarkStart w:id="4" w:name="PE"/>
      <w:r w:rsidRPr="00AF591B">
        <w:rPr>
          <w:vanish/>
        </w:rPr>
        <w:t>PE774.374</w:t>
      </w:r>
      <w:bookmarkEnd w:id="4"/>
    </w:p>
    <w:p w14:paraId="15ADAA4A" w14:textId="744C5C8F" w:rsidR="00DD0048" w:rsidRPr="00AF591B" w:rsidRDefault="00DD0048" w:rsidP="00DD0048">
      <w:pPr>
        <w:pStyle w:val="ATHeading3"/>
      </w:pPr>
      <w:bookmarkStart w:id="5" w:name="Sujet"/>
      <w:r w:rsidRPr="00AF591B">
        <w:t>Usnesení Evropského parlamentu ze dne</w:t>
      </w:r>
      <w:r w:rsidR="00F153A1">
        <w:t xml:space="preserve"> </w:t>
      </w:r>
      <w:r w:rsidR="00195FCE">
        <w:t>17</w:t>
      </w:r>
      <w:r w:rsidR="00F153A1">
        <w:t>. prosince</w:t>
      </w:r>
      <w:r w:rsidRPr="00AF591B">
        <w:t xml:space="preserve"> 2025 o vojenské mobilitě</w:t>
      </w:r>
      <w:bookmarkEnd w:id="5"/>
      <w:r w:rsidRPr="00AF591B">
        <w:t xml:space="preserve"> </w:t>
      </w:r>
      <w:bookmarkStart w:id="6" w:name="References"/>
      <w:r w:rsidRPr="00AF591B">
        <w:t>(2025/2090(INI))</w:t>
      </w:r>
      <w:bookmarkEnd w:id="6"/>
    </w:p>
    <w:p w14:paraId="3E866E8D" w14:textId="77777777" w:rsidR="008B35A2" w:rsidRPr="00AF591B" w:rsidRDefault="008B35A2" w:rsidP="008B35A2">
      <w:pPr>
        <w:pStyle w:val="EPComma"/>
      </w:pPr>
      <w:r w:rsidRPr="00AF591B">
        <w:rPr>
          <w:rStyle w:val="Italic"/>
        </w:rPr>
        <w:t>Evropský parlament</w:t>
      </w:r>
      <w:r w:rsidRPr="00AF591B">
        <w:t>,</w:t>
      </w:r>
    </w:p>
    <w:p w14:paraId="464BF9E7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Smlouvu o fungování Evropské unie, zejména na hlavy VI a XVI této smlouvy,</w:t>
      </w:r>
    </w:p>
    <w:p w14:paraId="6BBEF539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Smlouvu o Evropské unii, zejména na hlavu V této smlouvy,</w:t>
      </w:r>
    </w:p>
    <w:p w14:paraId="17D2718A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nařízení Evropského parlamentu a Rady (EU) 2024/1679 ze dne 13. června 2024 o hlavních směrech Unie pro rozvoj transevropské dopravní sítě, o změně nařízení (EU) 2021/1153 a (EU) č. 913/2010 a o zrušení nařízení (EU) č. 1315/2013</w:t>
      </w:r>
      <w:r w:rsidRPr="00AF591B">
        <w:rPr>
          <w:rStyle w:val="FootnoteReference"/>
        </w:rPr>
        <w:footnoteReference w:id="1"/>
      </w:r>
      <w:r w:rsidRPr="00AF591B">
        <w:t>,</w:t>
      </w:r>
    </w:p>
    <w:p w14:paraId="7F5A68E9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nařízení Evropského parlamentu a Rady (EU) 2021/1153 ze dne 7. července 2021, kterým se zřizuje Nástroj pro propojení Evropy a zrušují nařízení (EU) č. 1316/2013 a (EU) č. 283/2014</w:t>
      </w:r>
      <w:r w:rsidRPr="00AF591B">
        <w:rPr>
          <w:rStyle w:val="FootnoteReference"/>
        </w:rPr>
        <w:footnoteReference w:id="2"/>
      </w:r>
      <w:r w:rsidRPr="00AF591B">
        <w:t>,</w:t>
      </w:r>
    </w:p>
    <w:p w14:paraId="4A77B22C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závěry zasedání Evropské rady, zejména zasedání konaných dne 26. června 2025, 6. března 2025, 21. a 22. března 2024, 14. a 15. prosince 2023, 29. a 30. června 2023, 15. prosince 2022 a 30. a 31. května 2022,</w:t>
      </w:r>
    </w:p>
    <w:p w14:paraId="6CFB21D1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závěry Rady, zejména ze dne 6. prosince 2024, 18. listopadu 2024, 13. června 2024, 27. května 2024, 24. října 2023, 24. ledna 2022 a 22. ledna 2018,</w:t>
      </w:r>
    </w:p>
    <w:p w14:paraId="794D34FA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společné sdělení Komise a vysoké představitelky Unie pro zahraniční věci a bezpečnostní politiku ze dne 10. listopadu 2017 nazvané „Jak zlepšit vojenskou mobilitu v Evropské unii“ (JOIN(2017)0041),</w:t>
      </w:r>
    </w:p>
    <w:p w14:paraId="21F643F2" w14:textId="77777777" w:rsidR="008B35A2" w:rsidRPr="00AF591B" w:rsidRDefault="008B35A2" w:rsidP="008B35A2">
      <w:pPr>
        <w:pStyle w:val="NormalHanging12a"/>
      </w:pPr>
      <w:r w:rsidRPr="00AF591B">
        <w:lastRenderedPageBreak/>
        <w:t>–</w:t>
      </w:r>
      <w:r w:rsidRPr="00AF591B">
        <w:tab/>
        <w:t>s ohledem na prováděcí nařízení Komise (EU) 2021/1328 ze dne 10. srpna 2021, kterým se stanoví požadavky na infrastrukturu použitelné na určité kategorie akcí v oblasti infrastruktury dvojího užití podle nařízení Evropského parlamentu a Rady (EU) 2021/1153</w:t>
      </w:r>
      <w:r w:rsidRPr="00AF591B">
        <w:rPr>
          <w:rStyle w:val="FootnoteReference"/>
        </w:rPr>
        <w:footnoteReference w:id="3"/>
      </w:r>
      <w:r w:rsidRPr="00AF591B">
        <w:t>,</w:t>
      </w:r>
    </w:p>
    <w:p w14:paraId="7F996EC1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společnou zprávu Komise a vysokého představitele Unie pro zahraniční věci a bezpečnostní politiku ze dne 24. září 2021 o provádění akčního plánu pro vojenskou mobilitu od října 2020 do září 2021 (JOIN(2021)0026),</w:t>
      </w:r>
    </w:p>
    <w:p w14:paraId="3C3AEC22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dokument „Strategický kompas pro bezpečnost a obranu – Za Evropskou unii, která chrání své občany, hodnoty a zájmy a přispívá k mezinárodnímu míru a bezpečnosti“, který přijala Rada dne 21. března 2022,</w:t>
      </w:r>
    </w:p>
    <w:p w14:paraId="3B819E4E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společné sdělení Komise a vysokého představitele Unie pro zahraniční věci a bezpečnostní politiku ze dne 10. listopadu 2022 nazvané „Akční plán pro vojenskou mobilitu 2.0“ (JOIN(2022)0048),</w:t>
      </w:r>
    </w:p>
    <w:p w14:paraId="76A2FAE3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společnou zprávu Komise a vysokého představitele Unie pro zahraniční věci a bezpečnostní politiku ze dne 13. listopadu 2023 o provádění akčního plánu pro vojenskou mobilitu 2.0 v období od listopadu 2022 do října 2023 (JOIN(2023)0037),</w:t>
      </w:r>
    </w:p>
    <w:p w14:paraId="657FCD86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–</w:t>
      </w:r>
      <w:r w:rsidRPr="00AF591B">
        <w:tab/>
        <w:t>s ohledem na společné sdělení Komise a vysoké představitelky Unie pro zahraniční věci a bezpečnostní politiku ze dne 28. května 2025 o strategickém přístupu Evropské unie k oblasti Černého moře (JOIN(2025)0135),</w:t>
      </w:r>
    </w:p>
    <w:p w14:paraId="72FC7FA5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–</w:t>
      </w:r>
      <w:r w:rsidRPr="00AF591B">
        <w:tab/>
        <w:t>s ohledem na podpůrnou studii Komise o přizpůsobení se změně klimatu a o přeshraničních investicích potřebných k realizaci sítě TEN-T, která byla zveřejněna v roce 2024,</w:t>
      </w:r>
    </w:p>
    <w:p w14:paraId="5BB9C158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společnou zprávu Komise a vysoké představitelky Unie pro zahraniční věci a bezpečnostní politiku ze dne 20. března 2025 o provádění Akčního plánu pro vojenskou mobilitu 2.0 (JOIN(2025)0011),</w:t>
      </w:r>
    </w:p>
    <w:p w14:paraId="003B3619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společnou bílou knihu Komise a vysoké představitelky Unie pro zahraniční věci a bezpečnostní politiku ze dne 19. března 2025 o budoucnosti evropské obrany 2030 (JOIN(2025)0120),</w:t>
      </w:r>
    </w:p>
    <w:p w14:paraId="7A970A7C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revidovanou přílohu II Vojenských požadavků na vojenskou mobilitu v rámci EU a mimo ni, jež přijala Rada dne 18. března 2025 (ST 6728/25 ADD1),</w:t>
      </w:r>
    </w:p>
    <w:p w14:paraId="0F7A3A1A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výroční zprávy Evropské obranné agentury z let 2022, 2023 a 2024 a na její zprávy o vojenské mobilitě z března 2018 a ze dne 26. ledna 2024,</w:t>
      </w:r>
    </w:p>
    <w:p w14:paraId="5F13AD78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zvláštní zprávu Evropského účetního dvora 04/2025 ze dne 5. února 2025 „Vojenská mobilita v EU: plné rychlosti zatím nebylo dosaženo kvůli koncepčním nedostatkům a překážkám na cestě“,</w:t>
      </w:r>
    </w:p>
    <w:p w14:paraId="10F2AD03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 xml:space="preserve">s ohledem na zprávu </w:t>
      </w:r>
      <w:proofErr w:type="spellStart"/>
      <w:r w:rsidRPr="00AF591B">
        <w:t>Sauliho</w:t>
      </w:r>
      <w:proofErr w:type="spellEnd"/>
      <w:r w:rsidRPr="00AF591B">
        <w:t xml:space="preserve"> </w:t>
      </w:r>
      <w:proofErr w:type="spellStart"/>
      <w:r w:rsidRPr="00AF591B">
        <w:t>Niinistöa</w:t>
      </w:r>
      <w:proofErr w:type="spellEnd"/>
      <w:r w:rsidRPr="00AF591B">
        <w:t xml:space="preserve"> ze dne 30. října 2024 „Společně bezpečněji – Posílení civilní a vojenské připravenosti a pohotovosti Evropy“,</w:t>
      </w:r>
    </w:p>
    <w:p w14:paraId="48E40C74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lastRenderedPageBreak/>
        <w:t>–</w:t>
      </w:r>
      <w:r w:rsidRPr="00AF591B">
        <w:tab/>
        <w:t>s ohledem na prohlášení ministrů dopravy Bulharska, Česka, Estonska, Finska, Maďarska, Islandu, Lotyšska, Litvy, Norska, Polska, Rumunska a Slovenska ze dne 27. května 2025 o vojenské mobilitě,</w:t>
      </w:r>
    </w:p>
    <w:p w14:paraId="6FBE991A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desátou zprávu o pokroku ze dne 10. června 2025 o provádění společného souboru návrhů, který dne 6. prosince 2016 schválila Rada EU a dne 5. prosince 2018 Severoatlantická rada,</w:t>
      </w:r>
    </w:p>
    <w:p w14:paraId="7E0467E9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komuniké ze summitu ve Vilniusu, které vydali hlavy států a předsedové vlád zemí NATO účastnící se zasedání Severoatlantické rady ve Vilniusu dne 11. července 2023, a na prohlášení ze summitu ve Washingtonu, které vydali hlavy států a předsedové vlád zemí NATO účastnící se zasedání Severoatlantické rady ve Washingtonu dne 10. července 2024,</w:t>
      </w:r>
    </w:p>
    <w:p w14:paraId="0A136463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tři společná prohlášení o spolupráci EU a NATO, která podepsali předsedové Evropské rady a Komise a generální tajemník NATO dne 10. ledna 2023, 5. prosince 2018 a 6. prosince 2016,</w:t>
      </w:r>
    </w:p>
    <w:p w14:paraId="24FEDE7E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návrh nařízení Rady, kterým se zřizuje nástroj Bezpečnostní akce pro Evropu (SAFE) prostřednictvím posílení evropského obranného průmyslu (</w:t>
      </w:r>
      <w:hyperlink r:id="rId9" w:history="1">
        <w:r w:rsidRPr="00F153A1">
          <w:t>COM(2025)0122</w:t>
        </w:r>
      </w:hyperlink>
      <w:r w:rsidRPr="00AF591B">
        <w:t>), jejž předložila Komise dne 19. března 2025,</w:t>
      </w:r>
    </w:p>
    <w:p w14:paraId="60AA47E9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návrh nařízení Evropského parlamentu a Rady, kterým se mění nařízení (EU) 2021/1058 a (EU) 2021/1056, pokud jde o zvláštní opatření k řešení strategických výzev v souvislosti s přezkumem v polovině období, jejž předložila Komise dne 1. dubna 2025 (</w:t>
      </w:r>
      <w:hyperlink r:id="rId10" w:history="1">
        <w:r w:rsidRPr="00F153A1">
          <w:t>COM(2025)0123</w:t>
        </w:r>
      </w:hyperlink>
      <w:r w:rsidRPr="00AF591B">
        <w:t>),</w:t>
      </w:r>
    </w:p>
    <w:p w14:paraId="7F95A210" w14:textId="77777777" w:rsidR="008B35A2" w:rsidRDefault="008B35A2" w:rsidP="008B35A2">
      <w:pPr>
        <w:pStyle w:val="NormalHanging12a"/>
      </w:pPr>
      <w:r w:rsidRPr="00AF591B">
        <w:t>–</w:t>
      </w:r>
      <w:r w:rsidRPr="00AF591B">
        <w:tab/>
        <w:t xml:space="preserve">s ohledem na návrh nařízení Evropského parlamentu a Rady, kterým se mění nařízení (EU) 2021/694, (EU) 2021/695, (EU) 2021/697, (EU) 2021/1153, (EU) 2023/1525 a (EU) 2024/795, pokud jde o pobídky k investicím souvisejícím s obranou v rozpočtu EU za účelem provádění plánu </w:t>
      </w:r>
      <w:proofErr w:type="spellStart"/>
      <w:r w:rsidRPr="00AF591B">
        <w:t>ReArm</w:t>
      </w:r>
      <w:proofErr w:type="spellEnd"/>
      <w:r w:rsidRPr="00AF591B">
        <w:t xml:space="preserve"> </w:t>
      </w:r>
      <w:proofErr w:type="spellStart"/>
      <w:r w:rsidRPr="00AF591B">
        <w:t>Europe</w:t>
      </w:r>
      <w:proofErr w:type="spellEnd"/>
      <w:r w:rsidRPr="00AF591B">
        <w:t>, jejž předložila Komise dne 22. dubna 2025 (</w:t>
      </w:r>
      <w:hyperlink r:id="rId11" w:history="1">
        <w:r w:rsidRPr="00F153A1">
          <w:t>COM(2025)0188</w:t>
        </w:r>
      </w:hyperlink>
      <w:r w:rsidRPr="00AF591B">
        <w:t>),</w:t>
      </w:r>
    </w:p>
    <w:p w14:paraId="2A7739A6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své usnesení ze dne 2. dubna 2025 o provádění společné zahraniční a bezpečnostní politiky – výroční zpráva za rok 2024,</w:t>
      </w:r>
      <w:r w:rsidRPr="00AF591B">
        <w:rPr>
          <w:rStyle w:val="FootnoteReference"/>
        </w:rPr>
        <w:footnoteReference w:id="4"/>
      </w:r>
    </w:p>
    <w:p w14:paraId="3AEB5645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své usnesení ze dne 12. března 2025 o bílé knize o budoucnosti evropské obrany</w:t>
      </w:r>
      <w:r w:rsidRPr="00AF591B">
        <w:rPr>
          <w:rStyle w:val="FootnoteReference"/>
        </w:rPr>
        <w:footnoteReference w:id="5"/>
      </w:r>
      <w:r w:rsidRPr="00AF591B">
        <w:t>,</w:t>
      </w:r>
    </w:p>
    <w:p w14:paraId="71595B0C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své usnesení ze dne 17. ledna 2024 o vytvoření komplexní evropské strategie pro přístavy</w:t>
      </w:r>
      <w:r w:rsidRPr="00AF591B">
        <w:rPr>
          <w:rStyle w:val="FootnoteReference"/>
        </w:rPr>
        <w:footnoteReference w:id="6"/>
      </w:r>
      <w:r w:rsidRPr="00AF591B">
        <w:t>,</w:t>
      </w:r>
    </w:p>
    <w:p w14:paraId="0C06CE3A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své usnesení ze dne 5. května 2022 o dopadu ruské nezákonné agresivní války proti Ukrajině na odvětví dopravy a cestovního ruchu EU</w:t>
      </w:r>
      <w:r w:rsidRPr="00AF591B">
        <w:rPr>
          <w:rStyle w:val="FootnoteReference"/>
        </w:rPr>
        <w:footnoteReference w:id="7"/>
      </w:r>
      <w:r w:rsidRPr="00AF591B">
        <w:t>,</w:t>
      </w:r>
    </w:p>
    <w:p w14:paraId="7C224C13" w14:textId="77777777" w:rsidR="008B35A2" w:rsidRPr="00AF591B" w:rsidRDefault="008B35A2" w:rsidP="008B35A2">
      <w:pPr>
        <w:pStyle w:val="NormalHanging12a"/>
      </w:pPr>
      <w:r w:rsidRPr="00AF591B">
        <w:lastRenderedPageBreak/>
        <w:t>–</w:t>
      </w:r>
      <w:r w:rsidRPr="00AF591B">
        <w:tab/>
        <w:t>s ohledem na své usnesení ze dne 7. července 2021 o spolupráci EU a NATO v rámci transatlantických vztahů</w:t>
      </w:r>
      <w:r w:rsidRPr="00AF591B">
        <w:rPr>
          <w:rStyle w:val="FootnoteReference"/>
        </w:rPr>
        <w:footnoteReference w:id="8"/>
      </w:r>
      <w:r w:rsidRPr="00AF591B">
        <w:t>,</w:t>
      </w:r>
    </w:p>
    <w:p w14:paraId="4ACD8045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své usnesení ze dne 11. prosince 2018 o vojenské mobilitě</w:t>
      </w:r>
      <w:r w:rsidRPr="00AF591B">
        <w:rPr>
          <w:rStyle w:val="FootnoteReference"/>
        </w:rPr>
        <w:footnoteReference w:id="9"/>
      </w:r>
      <w:r w:rsidRPr="00AF591B">
        <w:t>,</w:t>
      </w:r>
    </w:p>
    <w:p w14:paraId="48BEAB36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článek 55 jednacího řádu,</w:t>
      </w:r>
    </w:p>
    <w:p w14:paraId="55BB0FC8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 ohledem na společná jednání Výboru pro bezpečnost a obranu a Výboru pro dopravu a cestovní ruch podle článku 59 jednacího řádu,</w:t>
      </w:r>
    </w:p>
    <w:p w14:paraId="04594B58" w14:textId="77777777" w:rsidR="008B35A2" w:rsidRPr="00AF591B" w:rsidRDefault="008B35A2" w:rsidP="008B35A2">
      <w:pPr>
        <w:pStyle w:val="NormalHanging12a"/>
      </w:pPr>
      <w:r w:rsidRPr="00AF591B">
        <w:t>–</w:t>
      </w:r>
      <w:r w:rsidRPr="00AF591B">
        <w:tab/>
        <w:t>s ohledem na zprávu Výboru pro bezpečnost a obranu a Výboru pro dopravu a cestovní ruch (A10-0242/2025),</w:t>
      </w:r>
    </w:p>
    <w:p w14:paraId="70AC20B8" w14:textId="77777777" w:rsidR="008B35A2" w:rsidRPr="00AF591B" w:rsidRDefault="008B35A2" w:rsidP="008B35A2">
      <w:pPr>
        <w:pStyle w:val="NormalHanging12a"/>
      </w:pPr>
      <w:r w:rsidRPr="00AF591B">
        <w:t>A.</w:t>
      </w:r>
      <w:r w:rsidRPr="00AF591B">
        <w:tab/>
        <w:t xml:space="preserve">vzhledem k tomu, že válečná agrese Ruska vůči Ukrajině znovu upozornila na otázku vojenské mobility a zdůraznila, že je naléhavě nutné na celém území EU usnadnit rychlý pohyb jednotek, vybavení a prostředků přes státní hranice, má-li se posílit odstrašující efekt a obrana; </w:t>
      </w:r>
    </w:p>
    <w:p w14:paraId="16702410" w14:textId="77777777" w:rsidR="008B35A2" w:rsidRPr="00AF591B" w:rsidRDefault="008B35A2" w:rsidP="008B35A2">
      <w:pPr>
        <w:pStyle w:val="NormalHanging12a"/>
      </w:pPr>
      <w:r w:rsidRPr="00AF591B">
        <w:t>B.</w:t>
      </w:r>
      <w:r w:rsidRPr="00AF591B">
        <w:tab/>
        <w:t xml:space="preserve">vzhledem k tomu, že nestabilní situace a vyvíjející se geopolitické krize v různých světových regionech vyžadují, aby EU a její členské státy byly v koordinaci s NATO připraveny reagovat na případné akty agrese nebo různé typy krizí po celé délce vnějších hranic; </w:t>
      </w:r>
    </w:p>
    <w:p w14:paraId="67243EF8" w14:textId="77777777" w:rsidR="008B35A2" w:rsidRPr="00AF591B" w:rsidRDefault="008B35A2" w:rsidP="008B35A2">
      <w:pPr>
        <w:pStyle w:val="NormalHanging12a"/>
      </w:pPr>
      <w:r w:rsidRPr="00AF591B">
        <w:t>C.</w:t>
      </w:r>
      <w:r w:rsidRPr="00AF591B">
        <w:tab/>
        <w:t xml:space="preserve">vzhledem k tomu, že je přímo ohrožena bezpečnost členských států, které sdílejí vnější hranice s Ruskem nebo Běloruskem nebo které sousedí s Ukrajinou a jejichž vzdušný prostor narušuje Rusko, zejména s ohledem na varování západních bezpečnostních služeb, že Rusko by mohlo v blízké době zaútočit na EU; </w:t>
      </w:r>
    </w:p>
    <w:p w14:paraId="7490A308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D.</w:t>
      </w:r>
      <w:r w:rsidRPr="00AF591B">
        <w:tab/>
        <w:t xml:space="preserve">vzhledem k tomu, že vojenská mobilita představuje zásadní podpůrnou schopnost pro společnou bezpečnost a obranu Evropy a v roce 2023 byla označena za kriticky významnou prioritu rozvoje schopností EU; </w:t>
      </w:r>
    </w:p>
    <w:p w14:paraId="6BCB5C2B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E.</w:t>
      </w:r>
      <w:r w:rsidRPr="00AF591B">
        <w:tab/>
        <w:t>vzhledem k tomu, že odolnost, odstrašování a rychlost vojenských přesunů v Evropě se nyní staly zásadní podmínkou věrohodnosti evropské obrany; vzhledem k tomu, že vojenská mobilita na území EU významně zvyšuje bezpečnost a odolnost jejích 27 členských států, mimo jiné i vůči stále častějším případům sabotáže kritické infrastruktury a sílícím hybridním hrozbám, za předpokladu, že lze plně využít její potenciál;</w:t>
      </w:r>
    </w:p>
    <w:p w14:paraId="739BDDF8" w14:textId="77777777" w:rsidR="008B35A2" w:rsidRPr="00AF591B" w:rsidRDefault="008B35A2" w:rsidP="008B35A2">
      <w:pPr>
        <w:pStyle w:val="NormalHanging12a"/>
      </w:pPr>
      <w:r w:rsidRPr="00AF591B">
        <w:t>F.</w:t>
      </w:r>
      <w:r w:rsidRPr="00AF591B">
        <w:tab/>
        <w:t>vzhledem k tomu, že je nutné vyvinout značné úsilí na zlepšení regionálních dopravních spojení a posílení celoevropské sítě tak, aby propojovala země EU od Finska a pobaltských států na severu až po Pyrenejský poloostrov na jihu; vzhledem k tomu, že ve čtyřech prioritních koridorech EU pro vojenskou mobilitu bude nutné pro tyto účely vybudovat souvislou infrastrukturu, aby bylo možné po železnici, silnicích, vodních cestách, po moři a letecky rychle rozmisťovat vojenské jednotky a vybavení a zajišťovat zásobování tam, kde to právě bude zapotřebí, a současně je třeba zajistit, aby tato infrastruktura sloužila dvojímu použití a zajišťovala fungování klíčových civilních zásobovacích řetězců;</w:t>
      </w:r>
    </w:p>
    <w:p w14:paraId="3D9F7924" w14:textId="77777777" w:rsidR="008B35A2" w:rsidRPr="00AF591B" w:rsidRDefault="008B35A2" w:rsidP="008B35A2">
      <w:pPr>
        <w:pStyle w:val="NormalHanging12a"/>
      </w:pPr>
      <w:r w:rsidRPr="00AF591B">
        <w:lastRenderedPageBreak/>
        <w:t>G.</w:t>
      </w:r>
      <w:r w:rsidRPr="00AF591B">
        <w:tab/>
        <w:t>vzhledem k tomu, že vojenská mobilita je jednou z priorit spolupráce EU a NATO a je třeba k ní zaujmout jednotný přístup tak, aby byl umožněn pohyb spojeneckých sil jak v době míru, tak v době krize nebo války; vzhledem k tomu, že pro kolektivní obranu má zásadní význam posílení interoperability jak na území EU, tak s NATO a partnery EU, jako je Ukrajina; vzhledem k tomu, že mají-li být dosaženy strategické cíle partnerství EU a NATO, je nezbytné silné vedení a koordinovaná správa, aby se technická spolupráce proměnila ve sdílenou strategickou vizi a posílila tak mobilitu jako nástroj soudržnosti a kolektivní bezpečnosti;</w:t>
      </w:r>
    </w:p>
    <w:p w14:paraId="29F73245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H.</w:t>
      </w:r>
      <w:r w:rsidRPr="00AF591B">
        <w:tab/>
        <w:t>vzhledem k tomu, že klíčovou roli při posilování a slaďování obranných schopností EU hraje stálá strukturovaná spolupráce (PESCO), kterou se snižuje závislost strategických podpůrných schopností, např. vojenské mobility;</w:t>
      </w:r>
    </w:p>
    <w:p w14:paraId="0B5052E4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I.</w:t>
      </w:r>
      <w:r w:rsidRPr="00AF591B">
        <w:tab/>
        <w:t xml:space="preserve">vzhledem k tomu, že EU se snaží posílit konektivitu s regionálními partnery a kandidátskými zeměmi; </w:t>
      </w:r>
    </w:p>
    <w:p w14:paraId="2388B5CB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J.</w:t>
      </w:r>
      <w:r w:rsidRPr="00AF591B">
        <w:tab/>
        <w:t>vzhledem k tomu, že průmyslová základna obrany v EU trpí mnoha neduhy, mimo jiné přílišnou závislostí na dovozu ze třetích zemí, roztříštěnou výrobou a fragmentovanými dodávkami, nedostatečnými investicemi a omezenými výrobními kapacitami; vzhledem k tomu, že Strategie hospodářské bezpečnosti EU klade důraz na snížení strategických závislostí a ochranu technologií a prostředků, které mají kritický význam pro zachování svrchovanosti a konkurenceschopnosti EU;</w:t>
      </w:r>
    </w:p>
    <w:p w14:paraId="4EB2F2BB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K.</w:t>
      </w:r>
      <w:r w:rsidRPr="00AF591B">
        <w:tab/>
        <w:t xml:space="preserve">vzhledem k tomu, že Evropská rada v závěrech ze dne 6. března 2025 zdůraznila, že Unie „se musí stát suverénnější, odpovědnější za svou vlastní obranu a musí být lépe vybavena, aby mohla jednat a autonomně řešit bezprostřední i budoucí výzvy a hrozby“, čímž potvrdila, že je nutné snížit závislost na třetích zemích a upevnit evropskou technologickou a průmyslovou základnu obrany; </w:t>
      </w:r>
    </w:p>
    <w:p w14:paraId="4216BC70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L.</w:t>
      </w:r>
      <w:r w:rsidRPr="00AF591B">
        <w:tab/>
        <w:t>vzhledem k tomu, že v rámci iniciativy SAFE, kterou přijala Rada dne 27. května 2025, je k dispozici až 150 miliard EUR na podporu společného zadávání veřejných zakázek, zvyšování průmyslových kapacit a výroby souvisejících s obranou, což nabízí strategickou příležitost pro to, aby byla do praxe uvedena zásada upřednostňování Evropy a aby bylo zajištěno, že prostředky EU budou posilovat evropský průmysl, a nikoli závislost na třetích zemích;</w:t>
      </w:r>
    </w:p>
    <w:p w14:paraId="7D47D99E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M.</w:t>
      </w:r>
      <w:r w:rsidRPr="00AF591B">
        <w:tab/>
        <w:t>vzhledem k tomu, že nástroj na posílení evropského obranného průmyslu prostřednictvím společného pořizování</w:t>
      </w:r>
      <w:r w:rsidRPr="00AF591B">
        <w:rPr>
          <w:bCs/>
          <w:iCs/>
          <w:vertAlign w:val="superscript"/>
        </w:rPr>
        <w:footnoteReference w:id="10"/>
      </w:r>
      <w:r w:rsidRPr="00AF591B">
        <w:t xml:space="preserve"> (EDIRPA) a Program pro evropský obranný průmysl (EDIP) mohou významně podpořit rozvoj inovativních technologií a schopností, které jsou důležité pro vojenskou mobilitu; zdůrazňuje, že by měly být plně využívány synergie mezi programem EDIP, nástrojem EDIRPA, Nástrojem pro propojení Evropy a dalšími nástroji financování EU, aby se posílila odolnost dopravní infrastruktury a celková kapacita Unie pro rychlé a bezpečné vojenské přesuny;</w:t>
      </w:r>
    </w:p>
    <w:p w14:paraId="487486CC" w14:textId="77777777" w:rsidR="008B35A2" w:rsidRPr="00AF591B" w:rsidRDefault="008B35A2" w:rsidP="008B35A2">
      <w:pPr>
        <w:pStyle w:val="NormalHanging12a"/>
      </w:pPr>
      <w:r w:rsidRPr="00AF591B">
        <w:t>N.</w:t>
      </w:r>
      <w:r w:rsidRPr="00AF591B">
        <w:tab/>
        <w:t xml:space="preserve">vzhledem k tomu, že velmi důkladné prověřování investic pomáhá zvyšovat hospodářskou bezpečnost EU, chrání kriticky významnou infrastrukturu a technologie </w:t>
      </w:r>
      <w:r w:rsidRPr="00AF591B">
        <w:lastRenderedPageBreak/>
        <w:t>před jejich zakoupením nepřátelskými subjekty a doplňuje průmyslové politiky, které mají posilovat nezávislost Evropy a její vedoucí postavení na poli technologií; vzhledem k tomu, že revize nařízení (EU) 2019/452</w:t>
      </w:r>
      <w:r w:rsidRPr="00AF591B">
        <w:rPr>
          <w:vertAlign w:val="superscript"/>
        </w:rPr>
        <w:footnoteReference w:id="11"/>
      </w:r>
      <w:r w:rsidRPr="00AF591B">
        <w:t xml:space="preserve"> o prověřování přímých zahraničních investic směřujících do Unie je klíčovým nástrojem pro zaručení bezpečnosti a veřejného pořádku v EU a jejích strategických zájmů;</w:t>
      </w:r>
    </w:p>
    <w:p w14:paraId="39641873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O.</w:t>
      </w:r>
      <w:r w:rsidRPr="00AF591B">
        <w:tab/>
        <w:t>vzhledem k tomu, že Parlament k návrhu nařízení přijal stanovisko</w:t>
      </w:r>
      <w:r w:rsidRPr="00AF591B">
        <w:rPr>
          <w:bCs/>
          <w:iCs/>
          <w:vertAlign w:val="superscript"/>
        </w:rPr>
        <w:footnoteReference w:id="12"/>
      </w:r>
      <w:r w:rsidRPr="00AF591B">
        <w:t xml:space="preserve">, v němž zdůraznil, že všechny členské státy by měly v zájmu bezpečnosti nebo veřejného pořádku zachovat mechanismy pro prověřování zahraničních investic a že je nutná větší harmonizace vnitrostátních systémů, aby bylo možné řešit strategické závislosti a slabiny vznikajících technologií a infrastruktury; </w:t>
      </w:r>
    </w:p>
    <w:p w14:paraId="500AD389" w14:textId="77777777" w:rsidR="008B35A2" w:rsidRPr="00AF591B" w:rsidRDefault="008B35A2" w:rsidP="008B35A2">
      <w:pPr>
        <w:pStyle w:val="NormalHanging12a"/>
      </w:pPr>
      <w:r w:rsidRPr="00AF591B">
        <w:t>P.</w:t>
      </w:r>
      <w:r w:rsidRPr="00AF591B">
        <w:tab/>
        <w:t>vzhledem k tomu, že navzdory značnému pokroku, kterého bylo v posledních letech dosaženo při zvyšování vojenské mobility prováděním opatření stanovených v Akčním plánu pro vojenskou mobilitu 2.0, stále nebyly překonány značné regulační, administrativní a finanční překážky, ani vyřešena úzká místa a problémy v infrastruktuře;</w:t>
      </w:r>
    </w:p>
    <w:p w14:paraId="4A620DDA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Q.</w:t>
      </w:r>
      <w:r w:rsidRPr="00AF591B">
        <w:tab/>
        <w:t xml:space="preserve">vzhledem k tomu, že je naléhavě nutné na úrovni EU, NATO a členských států zintenzivnit koordinované a integrované úsilí o zvýšení zdrojů a odstranění fyzických, právních a regulačních překážek; </w:t>
      </w:r>
    </w:p>
    <w:p w14:paraId="2EBA514B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R.</w:t>
      </w:r>
      <w:r w:rsidRPr="00AF591B">
        <w:tab/>
        <w:t>vzhledem k tomu, že interní audity a nedávné zkušenosti odhalily závažné nedostatky vojenské mobility v EU, neboť v případě útoku by mohl přesun vojenského vybavení přes hranice trvat kvůli zpoždění v důsledku byrokracie a nedostatečné infrastruktury déle než jeden měsíc;</w:t>
      </w:r>
    </w:p>
    <w:p w14:paraId="3CCD6FB5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S.</w:t>
      </w:r>
      <w:r w:rsidRPr="00AF591B">
        <w:tab/>
        <w:t>vzhledem k tomu, že mnoho evropských dopravních tras dosud není připraveno pro těžkou vojenskou techniku; vzhledem k tomu, že je zakázán vjezd tanků do některých zemí, protože překračují vnitrostátní hmotnostní limity, a že byly zastaveny konvoje na mostech, které konstrukčně nevyhovují takové zátěži, což zdůrazňuje naléhavou potřebu modernizovat klíčovou infrastrukturu, jako jsou železniční tratě, silnice, tunely a mosty tak, aby splňovaly vojenské normy;</w:t>
      </w:r>
    </w:p>
    <w:p w14:paraId="304334D8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T.</w:t>
      </w:r>
      <w:r w:rsidRPr="00AF591B">
        <w:tab/>
        <w:t>vzhledem k tomu, že investice do modernizace existující letecké, železniční, silniční a námořní a říční infrastruktury dvojího užití jsou velmi přínosné pro komunity a podniky v dobách míru a pro systémy osobní i nákladní dopravy, pomáhají dekarbonizovat dopravu, dokončení transevropské dopravní sítě (TEN-T) a posilují schopnosti civilní ochrany a jednotný trh;</w:t>
      </w:r>
    </w:p>
    <w:p w14:paraId="1D4EFDE4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U.</w:t>
      </w:r>
      <w:r w:rsidRPr="00AF591B">
        <w:tab/>
        <w:t>vzhledem k tomu, že významnou roli ve vojenské mobilitě mají dopravci; vzhledem k tomu, že nejednotné postupy však často způsobují vážná zpoždění dopravních služeb a při vydávání přeshraničních povolení;</w:t>
      </w:r>
    </w:p>
    <w:p w14:paraId="7A6EC8E0" w14:textId="77777777" w:rsidR="008B35A2" w:rsidRPr="00AF591B" w:rsidRDefault="008B35A2" w:rsidP="008B35A2">
      <w:pPr>
        <w:pStyle w:val="Normal12a24b"/>
      </w:pPr>
      <w:r w:rsidRPr="00AF591B">
        <w:rPr>
          <w:rStyle w:val="BoldItalic"/>
        </w:rPr>
        <w:t>Reakce na měnící se geopolitickou realitu</w:t>
      </w:r>
    </w:p>
    <w:p w14:paraId="071D2A4C" w14:textId="77777777" w:rsidR="008B35A2" w:rsidRPr="00AF591B" w:rsidRDefault="008B35A2" w:rsidP="008B35A2">
      <w:pPr>
        <w:pStyle w:val="NormalHanging12a"/>
      </w:pPr>
      <w:r w:rsidRPr="00AF591B">
        <w:lastRenderedPageBreak/>
        <w:t>1.</w:t>
      </w:r>
      <w:r w:rsidRPr="00AF591B">
        <w:tab/>
        <w:t xml:space="preserve">zdůrazňuje, že vojenská mobilita je důležitá pro evropskou bezpečnost a obranu; poukazuje na to, že řešení strategických nedostatků EU a potřeba zvýšit vojenskou mobilitu jsou o to naléhavější v kontextu ruské útočné války proti Ukrajině; </w:t>
      </w:r>
    </w:p>
    <w:p w14:paraId="04EC4EE6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2.</w:t>
      </w:r>
      <w:r w:rsidRPr="00AF591B">
        <w:tab/>
        <w:t xml:space="preserve">s potěšením konstatuje, že EU a členské státy jsou v rámci příslušných politik EU a společné bezpečnostní a obranné politiky (SBOP) a v kontextu NATO připraveny výrazně zvýšit svou obrannou připravenost, snížit strategické závislosti, řešit nedostatky ve schopnostech a posílit evropskou technologickou a průmyslovou základnu obrany; vítá spolupráci EU a NATO na zlepšování vojenské mobility; domnívá se nicméně, že nastal čas, aby se stanovené společné cíle EU a NATO urychleně proměnily ve skutečné výsledky; </w:t>
      </w:r>
    </w:p>
    <w:p w14:paraId="789B8440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3.</w:t>
      </w:r>
      <w:r w:rsidRPr="00AF591B">
        <w:tab/>
        <w:t xml:space="preserve">oceňuje společnou snahu o pomoc Ukrajině; trvá na tom, že z útočné války Ruska proti Ukrajině je nutné systematicky vyvozovat ponaučení, mimo jiné o vojenské mobilitě, přičemž by se mělo vycházet zejména ze zkušeností ukrajinských ozbrojených sil a také ze zkušeností získaných během celostátních a mezinárodních vojenských cvičení; zdůrazňuje, že je důležité zajistit logistické pohotovostní rezervy a záložní plány a identifikovat slabá a chybějící spojení; zdůrazňuje význam včasné a účinné koordinace se strategickými partnery, především s NATO; </w:t>
      </w:r>
    </w:p>
    <w:p w14:paraId="012D7C05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4.</w:t>
      </w:r>
      <w:r w:rsidRPr="00AF591B">
        <w:tab/>
        <w:t xml:space="preserve">zdůrazňuje, že Rusko představuje vážnou hrozbu pro bezpečnost EU a že je naprosto nezbytné vybudovat schopnosti pro rychlé nasazení jednotek a vojenských schopností na východním křídle EU; </w:t>
      </w:r>
    </w:p>
    <w:p w14:paraId="48FB8D87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5.</w:t>
      </w:r>
      <w:r w:rsidRPr="00AF591B">
        <w:tab/>
        <w:t xml:space="preserve">zdůrazňuje, že ve všech členských státech podél čtyř prioritních koridorů EU pro vojenskou mobilitu (severního, východního, </w:t>
      </w:r>
      <w:proofErr w:type="spellStart"/>
      <w:r w:rsidRPr="00AF591B">
        <w:t>středojižního</w:t>
      </w:r>
      <w:proofErr w:type="spellEnd"/>
      <w:r w:rsidRPr="00AF591B">
        <w:t xml:space="preserve"> a </w:t>
      </w:r>
      <w:proofErr w:type="spellStart"/>
      <w:r w:rsidRPr="00AF591B">
        <w:t>středoseverního</w:t>
      </w:r>
      <w:proofErr w:type="spellEnd"/>
      <w:r w:rsidRPr="00AF591B">
        <w:t xml:space="preserve">) jsou zapotřebí strategické investice, protože větší a efektivnější vojenská mobilita má zásadní význam pro bezpečnost všech členských států a všech evropských občanů; </w:t>
      </w:r>
    </w:p>
    <w:p w14:paraId="75715958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6.</w:t>
      </w:r>
      <w:r w:rsidRPr="00AF591B">
        <w:tab/>
        <w:t xml:space="preserve">zdůrazňuje, že větší vojenská mobilita posílí SBOP EU a její mise a operace; vyzývá EU a členské státy, aby se shodly na společné vizi, jak by měly pokračovat s posilováním vojenské mobility, a aby formulovaly konkrétní cíle, které by měly být zahrnuty do Strategického kompasu EU; naléhavě vyzývá ke konkrétní připravenosti v oblasti vojenské mobility, a to tak, že se k vojenské logistice bude přistupovat komplexně, tj. bude pamatováno na zabezpečení kritické infrastruktury, dopravní uzly, údržbu, skladování, doplňování paliva, opravy a munici; </w:t>
      </w:r>
    </w:p>
    <w:p w14:paraId="187D8074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7.</w:t>
      </w:r>
      <w:r w:rsidRPr="00AF591B">
        <w:tab/>
        <w:t xml:space="preserve">zdůrazňuje, že vojenská mobilita se neomezuje pouze na pohyb jednotek, zbraní a vybavení, ale týká se také humanitární pomoci a projevů solidarity; zdůrazňuje, že podpora vojenské mobility může být velmi přínosná i pro občany, neboť schopnost rychle nasadit vojenské síly může usnadnit promptnější poskytování humanitární a lékařské pomoci a opravu infrastruktury v případě přírodních katastrof, pandemií nebo jiných krizí; dále zdůrazňuje, že z investic EU do infrastruktury pro vojenskou mobilitu mohou plynout hmatatelné výhody pro místní komunity a dopravní propojení, díky němuž se zvýší odolnost regionů, hospodářská integrace, tvorba pracovních míst a podpora evropské bezpečnostní agendy ze strany veřejnosti; </w:t>
      </w:r>
    </w:p>
    <w:p w14:paraId="21B5A2CE" w14:textId="77777777" w:rsidR="008B35A2" w:rsidRPr="00AF591B" w:rsidRDefault="008B35A2" w:rsidP="008B35A2">
      <w:pPr>
        <w:pStyle w:val="Normal12a24b"/>
      </w:pPr>
      <w:r w:rsidRPr="00AF591B">
        <w:rPr>
          <w:rStyle w:val="BoldItalic"/>
        </w:rPr>
        <w:t>Řešení finančních otázek</w:t>
      </w:r>
    </w:p>
    <w:p w14:paraId="5033894F" w14:textId="77777777" w:rsidR="008B35A2" w:rsidRPr="00AF591B" w:rsidRDefault="008B35A2" w:rsidP="008B35A2">
      <w:pPr>
        <w:pStyle w:val="NormalHanging12a"/>
      </w:pPr>
      <w:r w:rsidRPr="00AF591B">
        <w:t>8.</w:t>
      </w:r>
      <w:r w:rsidRPr="00AF591B">
        <w:tab/>
        <w:t xml:space="preserve">zdůrazňuje, že v příštím víceletém finančním rámci (VFR) musí pokračovat centrálně řízený a specializovaný nástroj EU pro financování dopravy, jako je Nástroj pro </w:t>
      </w:r>
      <w:r w:rsidRPr="00AF591B">
        <w:lastRenderedPageBreak/>
        <w:t xml:space="preserve">propojení Evropy, který by byl hlavním zdrojem spolehlivého financování vojenské mobility, a že jeho celkový rozpočet na dopravu musí být výrazně zvýšen; proto vítá návrh, aby byl v příštím VFR zvýšen rozpočet na vojenskou mobilitu, a s uspokojením konstatuje, že v rámci Nástroje pro propojení Evropy na období 2028 až 2034 má být na dopravu vyčleněno 50 miliard EUR, z toho 17 miliard EUR na vojenskou mobilitu; </w:t>
      </w:r>
    </w:p>
    <w:p w14:paraId="642778AF" w14:textId="24490CA1" w:rsidR="008B35A2" w:rsidRPr="00AF591B" w:rsidRDefault="008B35A2" w:rsidP="008B35A2">
      <w:pPr>
        <w:pStyle w:val="NormalHanging12a"/>
        <w:rPr>
          <w:bCs/>
          <w:iCs/>
        </w:rPr>
      </w:pPr>
      <w:r w:rsidRPr="00AF591B">
        <w:t>9.</w:t>
      </w:r>
      <w:r w:rsidRPr="00AF591B">
        <w:tab/>
        <w:t>připomíná, že Rada ve VFR na období 20</w:t>
      </w:r>
      <w:r w:rsidR="00195FCE">
        <w:t>21</w:t>
      </w:r>
      <w:r w:rsidRPr="00AF591B">
        <w:t xml:space="preserve"> až 2027 bezprecedentně snížila finanční prostředky na vojenskou mobilitu o 75 % ve srovnání s postojem Parlamentu a Komise, a zdůrazňuje, že taková situace se nesmí opakovat; zdůrazňuje, že financování rozpočtu na vojenskou mobilitu muselo být kvůli plošné invazi Ruska na Ukrajinu předsunuto a že finanční prostředky byly zcela vyčerpány na začátku roku 2024; trvá na tom, aby byly v příštím VFR výrazně navýšeny prostředky určené na vojenskou mobilitu, tak aby odpovídaly odhadovaným potřebným investicím ve výši minimálně 100 miliard EUR do určených 500 kritických bodů v EU, které nutně potřebují modernizovat</w:t>
      </w:r>
      <w:r w:rsidRPr="00AF591B">
        <w:rPr>
          <w:bCs/>
          <w:iCs/>
          <w:vertAlign w:val="superscript"/>
        </w:rPr>
        <w:footnoteReference w:id="13"/>
      </w:r>
      <w:r w:rsidRPr="00AF591B">
        <w:t>;</w:t>
      </w:r>
    </w:p>
    <w:p w14:paraId="594DBB5F" w14:textId="77777777" w:rsidR="008B35A2" w:rsidRPr="00AF591B" w:rsidRDefault="008B35A2" w:rsidP="008B35A2">
      <w:pPr>
        <w:pStyle w:val="NormalHanging12a"/>
      </w:pPr>
      <w:r w:rsidRPr="00AF591B">
        <w:t>10.</w:t>
      </w:r>
      <w:r w:rsidRPr="00AF591B">
        <w:tab/>
        <w:t>vzhledem k této investiční potřebě a k doporučením uvedeným v </w:t>
      </w:r>
      <w:proofErr w:type="spellStart"/>
      <w:r w:rsidRPr="00AF591B">
        <w:t>Draghiho</w:t>
      </w:r>
      <w:proofErr w:type="spellEnd"/>
      <w:r w:rsidRPr="00AF591B">
        <w:t xml:space="preserve"> zprávě trvá na tom, že při nadcházejících jednáních o celkovém stropu VFR je důležité zachovat alespoň uvedených 17 miliard EUR a zároveň zabezpečit prostředky vyčleněné na dokončení sítě TEN-T; zdůrazňuje, že Rada nesmí navrhnout jakékoli snížení tohoto financování, a domnívá se, že nasměrování těchto prostředků ve prospěch vojenské mobility bude třeba pečlivě sledovat; </w:t>
      </w:r>
    </w:p>
    <w:p w14:paraId="161A17A3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11.</w:t>
      </w:r>
      <w:r w:rsidRPr="00AF591B">
        <w:tab/>
        <w:t>zdůrazňuje, že je nutné efektivně podporovat spolupráci členských států a sladění jejich přeshraničních a rozsáhlých dopravních projektů a budování infrastruktury dvojího užití, aby byla v celé EU zajištěna rychlá a účinná rozsáhlá mobilizace a přesuny vojenských jednotek, vybavení a prostředků;</w:t>
      </w:r>
    </w:p>
    <w:p w14:paraId="02097FD1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12.</w:t>
      </w:r>
      <w:r w:rsidRPr="00AF591B">
        <w:tab/>
        <w:t xml:space="preserve">znovu opakuje, že iniciativy v oblasti vojenské mobility a jejich financování by neměly bránit celkové realizaci opatření souvisejících s dokončením inteligentní, odolné, interoperabilní, </w:t>
      </w:r>
      <w:proofErr w:type="spellStart"/>
      <w:r w:rsidRPr="00AF591B">
        <w:t>bezuhlíkové</w:t>
      </w:r>
      <w:proofErr w:type="spellEnd"/>
      <w:r w:rsidRPr="00AF591B">
        <w:t xml:space="preserve"> a udržitelné sítě TENT-T; připomíná, že do roku 2030 má být dokončena hlavní síť TENT-T, včetně spuštění evropského systému řízení železničního provozu (ERTMS), a do roku 2040 rozšířená hlavní síť;</w:t>
      </w:r>
    </w:p>
    <w:p w14:paraId="41791FDC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13.</w:t>
      </w:r>
      <w:r w:rsidRPr="00AF591B">
        <w:tab/>
        <w:t xml:space="preserve">zdůrazňuje, že včasné dokončení projektů přeshraniční dopravní infrastruktury v rámci sítě TEN-T je nezbytným předpokladem pro úspěšné splnění cílů v oblasti dvojího využití a vojenské mobility v Evropě; připomíná, že podle stanoviska koordinátorů sítě TEN-T z dubna 2024 budou během příštích 15 let na dokončení hlavní a rozšířené hlavní sítě TEN-T zapotřebí investice v celkové výši 845 miliard EUR a že jen projekty s nejvyšší přidanou hodnotou pro EU budou podle odhadů vyžadovat ještě minimálně 210 miliard EUR; </w:t>
      </w:r>
    </w:p>
    <w:p w14:paraId="5EC817D5" w14:textId="77777777" w:rsidR="008B35A2" w:rsidRPr="00AF591B" w:rsidRDefault="008B35A2" w:rsidP="008B35A2">
      <w:pPr>
        <w:pStyle w:val="NormalHanging12a"/>
      </w:pPr>
      <w:r w:rsidRPr="00AF591B">
        <w:t>14.</w:t>
      </w:r>
      <w:r w:rsidRPr="00AF591B">
        <w:tab/>
        <w:t>připomíná, že na realizaci velkých projektů dopravní infrastruktury, které mají zásadní význam pro vojenskou mobilitu, budou vzhledem k povaze těchto projektů nutné dlouhodobé investice;</w:t>
      </w:r>
    </w:p>
    <w:p w14:paraId="3D474036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lastRenderedPageBreak/>
        <w:t>15.</w:t>
      </w:r>
      <w:r w:rsidRPr="00AF591B">
        <w:tab/>
        <w:t>zdůrazňuje, že v příštím VFR je třeba zefektivnit a zjednodušit postupy získávání finančních prostředků na projekty infrastruktury dvojího užití v rámci složky vojenské mobility Nástroje pro propojení Evropy;</w:t>
      </w:r>
    </w:p>
    <w:p w14:paraId="71773ECA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16.</w:t>
      </w:r>
      <w:r w:rsidRPr="00AF591B">
        <w:tab/>
        <w:t>vítá počáteční půjčky Evropské investiční banky (EIB) na investice do projektů infrastruktury dvojího užití, které mají posílit vojenskou mobilitu; vyzývá k trvalému zapojení EIB do financování dalších projektů zaměřených na infrastrukturu a schopnosti dvojího užití;</w:t>
      </w:r>
    </w:p>
    <w:p w14:paraId="06B0D029" w14:textId="77777777" w:rsidR="008B35A2" w:rsidRPr="00AF591B" w:rsidRDefault="008B35A2" w:rsidP="008B35A2">
      <w:pPr>
        <w:pStyle w:val="NormalHanging12a"/>
      </w:pPr>
      <w:r w:rsidRPr="00AF591B">
        <w:t>17.</w:t>
      </w:r>
      <w:r w:rsidRPr="00AF591B">
        <w:tab/>
        <w:t>žádá, aby bylo prozkoumáno případné vytvoření dalších finančních mechanismů, například banky pro obranu, bezpečnost a odolnost, které by řešily potřeby financování v oblasti bezpečnosti, obrany a odolnosti;</w:t>
      </w:r>
    </w:p>
    <w:p w14:paraId="36A35EFB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18.</w:t>
      </w:r>
      <w:r w:rsidRPr="00AF591B">
        <w:tab/>
        <w:t xml:space="preserve">připomíná, že členské státy mohou využívat maximální výši finančních prostředků dostupných v rámci současného VFR, včetně nedávno zavedených opatření na přerozdělování zdrojů v Evropském fondu pro regionální rozvoj a Fondu soudržnosti, i urychleně přesměrovat nevyužité prostředky z Nástroje pro oživení a odolnost do investic do obrany, včetně infrastruktury dvojího užití a mobilních prostředků s cílem podpořit vojenskou mobilitu, včetně vojenské </w:t>
      </w:r>
      <w:proofErr w:type="spellStart"/>
      <w:r w:rsidRPr="00AF591B">
        <w:t>kontramobility</w:t>
      </w:r>
      <w:proofErr w:type="spellEnd"/>
      <w:r w:rsidRPr="00AF591B">
        <w:t>;</w:t>
      </w:r>
    </w:p>
    <w:p w14:paraId="347F81E6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19.</w:t>
      </w:r>
      <w:r w:rsidRPr="00AF591B">
        <w:tab/>
        <w:t>žádá ujištění, že vyhrazené rozpočty v rámci Programu pro evropský obranný průmysl (EDIP), Evropského obranného fondu, programu SAFE a opatření přijatých v rámci souhrnného balíčku o obranné připravenosti a dalších obranných iniciativ mohou být využity na podporu rozšiřování a modernizace fyzické i digitální infrastruktury dvojího užití a společného a předvídatelného nabývání základních kapacit pro obranu, a to i v oblasti vojenské mobility, s cílem posílit skutečnou evropskou obrannou unii;</w:t>
      </w:r>
    </w:p>
    <w:p w14:paraId="1AA72FAC" w14:textId="77777777" w:rsidR="008B35A2" w:rsidRPr="00AF591B" w:rsidRDefault="008B35A2" w:rsidP="008B35A2">
      <w:pPr>
        <w:pStyle w:val="Normal12a24b"/>
      </w:pPr>
      <w:r w:rsidRPr="00AF591B">
        <w:rPr>
          <w:rStyle w:val="BoldItalic"/>
        </w:rPr>
        <w:t>Odstranění překážek bránících vojenské mobilitě a přechod k </w:t>
      </w:r>
      <w:r w:rsidRPr="00AF591B">
        <w:t>„</w:t>
      </w:r>
      <w:r w:rsidRPr="00AF591B">
        <w:rPr>
          <w:rStyle w:val="BoldItalic"/>
        </w:rPr>
        <w:t>vojenskému schengenskému prostoru</w:t>
      </w:r>
      <w:r w:rsidRPr="00AF591B">
        <w:t>“</w:t>
      </w:r>
    </w:p>
    <w:p w14:paraId="1ADC882B" w14:textId="77777777" w:rsidR="008B35A2" w:rsidRPr="00AF591B" w:rsidRDefault="008B35A2" w:rsidP="008B35A2">
      <w:pPr>
        <w:pStyle w:val="NormalHanging12a"/>
      </w:pPr>
      <w:r w:rsidRPr="00AF591B">
        <w:t>20.</w:t>
      </w:r>
      <w:r w:rsidRPr="00AF591B">
        <w:tab/>
        <w:t>znovu vyzývá k vytvoření „vojenského schengenského prostoru“ a vybízí Komisi, aby bezodkladně předložila plán, jak k tomuto cíli dospět;</w:t>
      </w:r>
    </w:p>
    <w:p w14:paraId="19609352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21.</w:t>
      </w:r>
      <w:r w:rsidRPr="00AF591B">
        <w:tab/>
        <w:t xml:space="preserve">opět vyjadřuje hluboké znepokojení nad současnou nedostatečnou </w:t>
      </w:r>
      <w:proofErr w:type="spellStart"/>
      <w:r w:rsidRPr="00AF591B">
        <w:t>reakceschopností</w:t>
      </w:r>
      <w:proofErr w:type="spellEnd"/>
      <w:r w:rsidRPr="00AF591B">
        <w:t xml:space="preserve"> a účinností vojenské mobility vyplývající ze složitosti řízení a regulace a nedostatečné harmonizace, což má za následek pomalou koordinaci a časové ztráty;</w:t>
      </w:r>
    </w:p>
    <w:p w14:paraId="29005F06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22.</w:t>
      </w:r>
      <w:r w:rsidRPr="00AF591B">
        <w:tab/>
        <w:t xml:space="preserve">vyzývá Komisi a členské státy, aby k vojenské mobilitě zaujaly „celospolečenský“ přístup, který bude zahrnovat všechny příslušné zúčastněné strany, včetně veřejného, soukromého a občanského sektoru, a bude spočívat v informování o přijatých opatřeních a jejich vysvětlování; </w:t>
      </w:r>
    </w:p>
    <w:p w14:paraId="0E4A1F6E" w14:textId="77777777" w:rsidR="008B35A2" w:rsidRPr="00AF591B" w:rsidRDefault="008B35A2" w:rsidP="008B35A2">
      <w:pPr>
        <w:pStyle w:val="NormalHanging12a"/>
      </w:pPr>
      <w:r w:rsidRPr="00AF591B">
        <w:t>23.</w:t>
      </w:r>
      <w:r w:rsidRPr="00AF591B">
        <w:tab/>
        <w:t>žádá Komisi a členské státy, aby urychleně plně provedly 13 závazků přijatých v rámci závazku v oblasti vojenské mobility 2024 a zaměřily se při tom na investice do dopravní infrastruktury a dopravních prostředků, harmonizaci regulace, rychlejší povolování přeshraničních přesunů a posilování SBOP a spolupráce mezi EU a NATO;</w:t>
      </w:r>
    </w:p>
    <w:p w14:paraId="4CA485EB" w14:textId="77777777" w:rsidR="008B35A2" w:rsidRPr="00AF591B" w:rsidRDefault="008B35A2" w:rsidP="008B35A2">
      <w:pPr>
        <w:pStyle w:val="NormalHanging12a"/>
      </w:pPr>
      <w:r w:rsidRPr="00AF591B">
        <w:t>24.</w:t>
      </w:r>
      <w:r w:rsidRPr="00AF591B">
        <w:tab/>
        <w:t xml:space="preserve">naléhavě vyzývá Komisi, aby při navrhování dalších opatření zaujala horizontální přístup tím, že bude harmonizovat a zjednodušovat právní předpisy a postupy s cílem urychleně integrovat a koordinovat přístup EU k odstranění všech stávajících </w:t>
      </w:r>
      <w:r w:rsidRPr="00AF591B">
        <w:lastRenderedPageBreak/>
        <w:t>administrativních, diplomatických, logistických a infrastrukturních překážek bránících vojenské mobilitě;</w:t>
      </w:r>
    </w:p>
    <w:p w14:paraId="5EB262BC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25.</w:t>
      </w:r>
      <w:r w:rsidRPr="00AF591B">
        <w:tab/>
        <w:t xml:space="preserve">vyzývá k vytvoření evropského digitálního jednotného kontaktního místa pro vydávání povolení k přeshraničním přesunům vojenského vybavení, včetně kodifikovaného systému priorit a databáze sdílené s NATO; </w:t>
      </w:r>
    </w:p>
    <w:p w14:paraId="7C82A261" w14:textId="77777777" w:rsidR="008B35A2" w:rsidRPr="00AF591B" w:rsidRDefault="008B35A2" w:rsidP="008B35A2">
      <w:pPr>
        <w:pStyle w:val="NormalHanging12a"/>
      </w:pPr>
      <w:r w:rsidRPr="00AF591B">
        <w:t>26.</w:t>
      </w:r>
      <w:r w:rsidRPr="00AF591B">
        <w:tab/>
        <w:t>zdůrazňuje, že je třeba zefektivnit složitá, zdlouhavá a rozdílná vnitrostátní pravidla a postupy; trvá na tom, aby připravovaný balíček týkající se vojenské mobility navrhl zjednodušené, harmonizované, jednotné a digitalizované postupy pro všechny dopravní prostředky, a to i v oblasti cel, přepravy nebezpečných věcí, přepravy nadměrného nákladu, diplomatických povolení a používání totožných povolení, například pro nabídky/kredity týkající se přeshraničních přesunů a dokumentaci EU/NATO na formuláři 302, které by měly být uznávány a používány všemi členskými státy; dále vyzývá k rozvoji vojenského celního systému, který by digitalizoval celní formality a snižoval administrativní zátěž a náklady, a to s ohledem na stávající projekty EU, jako je bezpečný digitální systém pro vojenskou mobilitu;</w:t>
      </w:r>
    </w:p>
    <w:p w14:paraId="3A9C6C82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27.</w:t>
      </w:r>
      <w:r w:rsidRPr="00AF591B">
        <w:tab/>
        <w:t xml:space="preserve">zdůrazňuje, že je důležité odstranit administrativní a infrastrukturní překážky, s nimiž se potýkají společnosti, které provozují silniční přepravu nadměrného vojenského vybavení a jeřábů pro projekty kritické infrastruktury; vyzývá proto k další harmonizaci pravidel pro silniční přepravu nadměrného nákladu v rámci probíhající revize směrnice o hmotnostech a rozměrech; </w:t>
      </w:r>
    </w:p>
    <w:p w14:paraId="1DFB8814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28.</w:t>
      </w:r>
      <w:r w:rsidRPr="00AF591B">
        <w:tab/>
        <w:t>zdůrazňuje, že pojištění válečných rizik pro poskytovatele vysoce rizikových logistických služeb může pro společnosti sloužit jako pobídka, neboť přispívá ke zmírnění provozních rizik;</w:t>
      </w:r>
    </w:p>
    <w:p w14:paraId="55A01A5E" w14:textId="77777777" w:rsidR="008B35A2" w:rsidRPr="00AF591B" w:rsidRDefault="008B35A2" w:rsidP="008B35A2">
      <w:pPr>
        <w:pStyle w:val="NormalHanging12a"/>
      </w:pPr>
      <w:r w:rsidRPr="00AF591B">
        <w:t>29.</w:t>
      </w:r>
      <w:r w:rsidRPr="00AF591B">
        <w:tab/>
        <w:t>zdůrazňuje, že harmonizace postupů a účinná interoperabilita posílí vzájemnou důvěru mezi členskými státy a podpoří přeshraniční propojení;</w:t>
      </w:r>
    </w:p>
    <w:p w14:paraId="7A205D57" w14:textId="77777777" w:rsidR="008B35A2" w:rsidRPr="00AF591B" w:rsidRDefault="008B35A2" w:rsidP="008B35A2">
      <w:pPr>
        <w:pStyle w:val="NormalHanging12a"/>
      </w:pPr>
      <w:r w:rsidRPr="00AF591B">
        <w:t>30.</w:t>
      </w:r>
      <w:r w:rsidRPr="00AF591B">
        <w:tab/>
        <w:t>vítá cíl zjednodušit právní a správní rámce, jak je navrženo v souhrnném balíčku o obranné připravenosti a v připravovaném společném sdělení o vojenské mobilitě 2025, a vyzývá k jeho urychlenému vstupu v platnost a provádění;</w:t>
      </w:r>
    </w:p>
    <w:p w14:paraId="46A9C09A" w14:textId="77777777" w:rsidR="008B35A2" w:rsidRPr="00AF591B" w:rsidRDefault="008B35A2" w:rsidP="008B35A2">
      <w:pPr>
        <w:pStyle w:val="NormalHanging12a"/>
        <w:spacing w:before="360"/>
        <w:rPr>
          <w:b/>
          <w:i/>
        </w:rPr>
      </w:pPr>
      <w:r w:rsidRPr="00AF591B">
        <w:rPr>
          <w:b/>
          <w:i/>
        </w:rPr>
        <w:t>Krizový rámec</w:t>
      </w:r>
    </w:p>
    <w:p w14:paraId="794EA04B" w14:textId="77777777" w:rsidR="008B35A2" w:rsidRPr="00AF591B" w:rsidRDefault="008B35A2" w:rsidP="008B35A2">
      <w:pPr>
        <w:pStyle w:val="NormalHanging12a"/>
      </w:pPr>
      <w:r w:rsidRPr="00AF591B">
        <w:t>31.</w:t>
      </w:r>
      <w:r w:rsidRPr="00AF591B">
        <w:tab/>
        <w:t>naléhavě vyzývá Komisi, aby předložila právní a operační rámec pro řešení „krizových situací“, který by jasně rozlišoval mezi alespoň třemi „fázemi“, jako je „doba míru“, „mezidobí“ a „doba války“, a zahrnoval by pravidla pro každou fázi, s cílem zajistit interoperabilitu a přednostní přístup ozbrojených sil k dopravním zařízením, sítím a prostředkům, a to s racionalizovaným pohybem vojenského personálu v rámci vojenských koridorů a napříč nimi; žádá, aby tento rámec obsahoval jasné definice „nouzových situací“ a „nouzových řešení“ s cílem zaručit kontinuitu vojenské dopravy v případě narušení, jakož i pokyny pro členské státy týkající se pověřování různých zajišťovatelů bezpečnosti dohledem nad kritickou infrastrukturou a její ochranou;</w:t>
      </w:r>
    </w:p>
    <w:p w14:paraId="586860F8" w14:textId="77777777" w:rsidR="008B35A2" w:rsidRPr="00AF591B" w:rsidRDefault="008B35A2" w:rsidP="008B35A2">
      <w:pPr>
        <w:pStyle w:val="NormalHanging12a"/>
      </w:pPr>
      <w:r w:rsidRPr="00AF591B">
        <w:t>32.</w:t>
      </w:r>
      <w:r w:rsidRPr="00AF591B">
        <w:tab/>
        <w:t xml:space="preserve">očekává, že připravovaný právní rámec vytvoří účinný a jasný systém komunikace a koordinace mezi vojenskými a veřejnými orgány, včetně NATO, také pro výměnu informací podle zásady „vědět jen to nejnutnější“ s provozovateli infrastruktury a dopravci způsobilými poskytovat vojenské logistické služby a podporovat odolnost </w:t>
      </w:r>
      <w:r w:rsidRPr="00AF591B">
        <w:lastRenderedPageBreak/>
        <w:t>celých sítí pro každou fázi; konstatuje zejména nedostatečnou spolupráci a omezenou komunikaci mezi přístavními orgány a vojenskými nebo příslušnými aktéry v oblasti budování obrany; chápe citlivost postupů sdílení informací, zejména v případě řídících orgánů evropských přístavů, které jsou v zahraničním vlastnictví; zdůrazňuje však, že spolehlivý a bezpečný kanál pro výměnu konkrétních informací je nezbytný;</w:t>
      </w:r>
    </w:p>
    <w:p w14:paraId="375CF086" w14:textId="77777777" w:rsidR="008B35A2" w:rsidRPr="00AF591B" w:rsidRDefault="008B35A2" w:rsidP="008B35A2">
      <w:pPr>
        <w:pStyle w:val="NormalHanging12a"/>
      </w:pPr>
      <w:r w:rsidRPr="00AF591B">
        <w:t>33.</w:t>
      </w:r>
      <w:r w:rsidRPr="00AF591B">
        <w:tab/>
        <w:t>zdůrazňuje, že je třeba zavést stálý rozhodovací mechanismus, který hlavám států a předsedům vlád umožní přijímat okamžitá opatření v „krizových“ a „válečných“ fázích;</w:t>
      </w:r>
    </w:p>
    <w:p w14:paraId="038403C6" w14:textId="77777777" w:rsidR="008B35A2" w:rsidRPr="00AF591B" w:rsidRDefault="008B35A2" w:rsidP="008B35A2">
      <w:pPr>
        <w:pStyle w:val="NormalHanging12a"/>
      </w:pPr>
      <w:r w:rsidRPr="00AF591B">
        <w:t>34.</w:t>
      </w:r>
      <w:r w:rsidRPr="00AF591B">
        <w:tab/>
        <w:t xml:space="preserve">vyzývá Komisi, aby zřídila pracovní skupinu pro vojenskou mobilitu, v níž by byly zastoupeny všechny příslušné orgány EU a která by horizontálním způsobem zefektivnila přípravu, provádění a monitorování všech iniciativ týkajících se vojenské mobility, a současně vyzývá k určení vnitrostátních kontaktních bodů, které umožní zlepšit celkové řízení a koordinaci vojenské mobility; </w:t>
      </w:r>
    </w:p>
    <w:p w14:paraId="7A917428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35.</w:t>
      </w:r>
      <w:r w:rsidRPr="00AF591B">
        <w:tab/>
        <w:t>naléhavě vyzývá Komisi, aby zohledňovala všechna doporučení Evropského účetního dvora týkající se řízení v rámci všech budoucích iniciativ v oblasti vojenské mobility;</w:t>
      </w:r>
    </w:p>
    <w:p w14:paraId="39220955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36.</w:t>
      </w:r>
      <w:r w:rsidRPr="00AF591B">
        <w:tab/>
        <w:t xml:space="preserve">uznává klíčovou úlohu pracovníků v dopravě, pokud jde o vojenskou mobilitu a zjednodušování dodavatelských řetězců; vyzývá Komisi a členské státy, aby řešily nedostatek pracovních sil, investovaly do pracovníků v dopravě, zlepšily pracovní podmínky a možnosti odborné přípravy s cílem vybavit pracovníky dovednostmi potřebnými pro vojenskou mobilitu a zvýšit atraktivitu tohoto odvětví; </w:t>
      </w:r>
    </w:p>
    <w:p w14:paraId="69CCE3CF" w14:textId="77777777" w:rsidR="008B35A2" w:rsidRPr="00AF591B" w:rsidRDefault="008B35A2" w:rsidP="008B35A2">
      <w:pPr>
        <w:pStyle w:val="Normal12a24b"/>
      </w:pPr>
      <w:r w:rsidRPr="00AF591B">
        <w:rPr>
          <w:rStyle w:val="BoldItalic"/>
        </w:rPr>
        <w:t>Zlepšovat</w:t>
      </w:r>
      <w:r w:rsidRPr="00AF591B">
        <w:t xml:space="preserve"> a </w:t>
      </w:r>
      <w:r w:rsidRPr="00AF591B">
        <w:rPr>
          <w:b/>
          <w:bCs/>
          <w:i/>
          <w:iCs/>
        </w:rPr>
        <w:t xml:space="preserve">budovat infrastrukturu </w:t>
      </w:r>
      <w:r w:rsidRPr="00AF591B">
        <w:rPr>
          <w:rStyle w:val="BoldItalic"/>
        </w:rPr>
        <w:t>dvojího užití</w:t>
      </w:r>
    </w:p>
    <w:p w14:paraId="744C658C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37.</w:t>
      </w:r>
      <w:r w:rsidRPr="00AF591B">
        <w:tab/>
        <w:t>vítá skutečnost, že Rada přijala čtyři prioritní koridory vojenské mobility v EU pro rozsáhlé přesuny ve velmi krátké době, které byly vytvořeny ve spolupráci s NATO, a že probíhá identifikace 500 hotspotů, jež bude třeba urychleně modernizovat; zdůrazňuje, že více než 94 % těchto koridorů je součástí sítě TEN-T, což podtrhuje úzkou vazbu mezi civilní a vojenskou infrastrukturou; vyzývá k přesnému vyhodnocení finančních potřeb pro dokončení těchto koridorů vojenské mobility;</w:t>
      </w:r>
    </w:p>
    <w:p w14:paraId="31E09489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38.</w:t>
      </w:r>
      <w:r w:rsidRPr="00AF591B">
        <w:tab/>
        <w:t xml:space="preserve">zdůrazňuje, že je třeba urychlit rozvoj dopravní infrastruktury a posílit fyzickou i kybernetickou ochranu jejích kritických složek podél čtyř prioritních koridorů vojenské mobility; </w:t>
      </w:r>
    </w:p>
    <w:p w14:paraId="0FAF1C2C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39.</w:t>
      </w:r>
      <w:r w:rsidRPr="00AF591B">
        <w:tab/>
        <w:t xml:space="preserve">zdůrazňuje, že nejslabší články a úzká místa mají řetězové účinky na fungování a efektivní kontinuitu celých koridorů a dopravní sítě jako celku; vyzývá proto Komisi a členské státy, aby vyčlenily odpovídající zdroje na zajištění dobře propojené sítě vojenské mobility, včetně lepší údržby, modernizace a interoperability stávající infrastruktury; </w:t>
      </w:r>
    </w:p>
    <w:p w14:paraId="4BD873A3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40.</w:t>
      </w:r>
      <w:r w:rsidRPr="00AF591B">
        <w:tab/>
        <w:t>vyzývá Komisi a členské státy, aby posoudily, zda je pro každý prioritní koridor vojenské mobility třeba jmenovat specializovaného evropského koordinátora, který by usnadňoval jeho fungování a byl by členem pracovní skupiny pro vojenskou mobilitu;</w:t>
      </w:r>
    </w:p>
    <w:p w14:paraId="49D92222" w14:textId="77777777" w:rsidR="008B35A2" w:rsidRPr="00AF591B" w:rsidRDefault="008B35A2" w:rsidP="008B35A2">
      <w:pPr>
        <w:pStyle w:val="NormalHanging12a"/>
      </w:pPr>
      <w:r w:rsidRPr="00AF591B">
        <w:t>41.</w:t>
      </w:r>
      <w:r w:rsidRPr="00AF591B">
        <w:tab/>
        <w:t xml:space="preserve">připomíná, že důležitou součástí vojenské mobility je také infrastruktura </w:t>
      </w:r>
      <w:proofErr w:type="spellStart"/>
      <w:r w:rsidRPr="00AF591B">
        <w:t>kontramobility</w:t>
      </w:r>
      <w:proofErr w:type="spellEnd"/>
      <w:r w:rsidRPr="00AF591B">
        <w:t xml:space="preserve">, včetně překážek dvojího užití, opevnění a systémů rychlého nasazení k posílení obrany hranic a území; vyzývá Komisi a členské státy, aby důkladně a koordinovaně plánovaly </w:t>
      </w:r>
      <w:r w:rsidRPr="00AF591B">
        <w:lastRenderedPageBreak/>
        <w:t xml:space="preserve">a připravovaly infrastrukturu </w:t>
      </w:r>
      <w:proofErr w:type="spellStart"/>
      <w:r w:rsidRPr="00AF591B">
        <w:t>kontramobility</w:t>
      </w:r>
      <w:proofErr w:type="spellEnd"/>
      <w:r w:rsidRPr="00AF591B">
        <w:t xml:space="preserve"> ve čtyřech prioritních koridorech vojenské mobility se zvláštním zaměřením na východní a severní koridor;</w:t>
      </w:r>
    </w:p>
    <w:p w14:paraId="29FF5E1A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42.</w:t>
      </w:r>
      <w:r w:rsidRPr="00AF591B">
        <w:tab/>
        <w:t>připomíná, že železnice jsou páteří systému pozemní mobility pro přesun velkého množství nadrozměrných, těžkých, rizikových a nebezpečných vojenských prostředků; trvá na tom, že prioritou by měla být okamžitá a krátkodobá řešení, jako je odstranění administrativní zátěže pro vojenský personál při pohybu přes hranice; vyzývá Komisi, aby zajistila posílení kapacit, zejména v dopravních uzlech a klíčových oblastech v souladu se čtyřmi prioritními koridory vojenské mobility;</w:t>
      </w:r>
    </w:p>
    <w:p w14:paraId="44C9C690" w14:textId="77777777" w:rsidR="008B35A2" w:rsidRPr="00AF591B" w:rsidRDefault="008B35A2" w:rsidP="008B35A2">
      <w:pPr>
        <w:pStyle w:val="NormalHanging12a"/>
      </w:pPr>
      <w:r w:rsidRPr="00AF591B">
        <w:t>43.</w:t>
      </w:r>
      <w:r w:rsidRPr="00AF591B">
        <w:tab/>
        <w:t xml:space="preserve">zdůrazňuje klíčovou úlohu interoperability železnic při zajišťování plynulého provozu ve všech členských státech; vyjadřuje hluboké znepokojení nad přetrvávající nedostatečnou interoperabilitou železnic způsobenou rozdíly v rozchodu kolejí v rámci EU, jako jsou rozchody v pobaltských státech, Finsku a na Iberském poloostrově, což ovlivňuje přeshraniční pohyb jednotek, vybavení a prostředků, a vede k nepostradatelnosti silniční dopravy; žádá Komisi, aby i nadále řešila různé překážky bránící plynulému železničnímu provozu v celé EU, mimo jiné pomalé zavádění systému ERTMS a digitálního automatického spřahování (DAC) a rozdíly v rozchodu kolejí; připomíná požadavek nařízení o TEN-T, aby dotčené členské státy předložily do července 2026 plány na přechod svých sítí na standardní evropský nominální rozchod kolejí; vítá v této souvislosti projekt </w:t>
      </w:r>
      <w:proofErr w:type="spellStart"/>
      <w:r w:rsidRPr="00AF591B">
        <w:t>Rail</w:t>
      </w:r>
      <w:proofErr w:type="spellEnd"/>
      <w:r w:rsidRPr="00AF591B">
        <w:t xml:space="preserve"> </w:t>
      </w:r>
      <w:proofErr w:type="spellStart"/>
      <w:r w:rsidRPr="00AF591B">
        <w:t>Baltica</w:t>
      </w:r>
      <w:proofErr w:type="spellEnd"/>
      <w:r w:rsidRPr="00AF591B">
        <w:t xml:space="preserve">, jehož cílem je připojit pobaltské státy k železniční síti EU úpravou rozchodu kolejí; považuje tyto projekty za strategické pro civilní i vojenskou mobilitu, neboť zajišťují interoperabilní, udržitelné a vysokokapacitní železniční spojení na východním křídle EU; </w:t>
      </w:r>
    </w:p>
    <w:p w14:paraId="0BD36838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44.</w:t>
      </w:r>
      <w:r w:rsidRPr="00AF591B">
        <w:tab/>
        <w:t xml:space="preserve">konstatuje, že digitální technologie, které jsou důležité pro zvýšení kapacity civilních železnic, jako jsou ERTMS a DAC, jsou také důležité pro vojenskou mobilitu a je třeba je zlepšovat; upozorňuje, že systém ERTMS byl vyvinut v odlišném geostrategickém kontextu, a požaduje posouzení jeho robustnosti a odolnosti v oblasti kybernetické bezpečnosti; zdůrazňuje, že vzhledem k závislosti na rádiové technologii by případná nedostupnost sítě z důvodu rušení nebo jiných faktorů vedla k okamžitému zastavení železniční dopravy; vyzývá k obdobnému posouzení v rámci vývoje budoucího mobilního železničního komunikačního systému (FRMCS); </w:t>
      </w:r>
    </w:p>
    <w:p w14:paraId="4851E105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45.</w:t>
      </w:r>
      <w:r w:rsidRPr="00AF591B">
        <w:tab/>
        <w:t xml:space="preserve">konstatuje, že silniční a železniční spojení s přístavy a nákladními terminály jsou často klíčem k usnadnění poslední fáze přesunu vojenského vybavení do požadovaných oblastí a jako takové jsou pro úspěšnou vojenskou mobilitu velmi důležité; připomíná, že je třeba urychleně modernizovat všechny strategické body silniční dopravy, jako jsou parkoviště, čerpací stanice a mycí stanice, aby v nich v případě nouze bylo možné ubytovat velké množství vojenských dopravních jednotek a personálu; proto vyzývá k tomu, aby investice do klíčových silničních infrastruktur podél čtyř prioritních koridorů vojenské mobility patřily mezi priority, s cílem co nejefektivněji usnadnit vojenskou mobilitu; </w:t>
      </w:r>
    </w:p>
    <w:p w14:paraId="08324AE5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46.</w:t>
      </w:r>
      <w:r w:rsidRPr="00AF591B">
        <w:tab/>
        <w:t xml:space="preserve">vyzývá k vytvoření harmonizovaného evropského rámce, který by usnadnil pohyb vojenských konvojů provozovaných oprávněnými civilními poskytovateli, jako jsou přepravci nadměrného nákladu, specializovaných jeřábů a těžkého vybavení, prostřednictvím čtyř prioritních koridorů vojenské mobility a zároveň zajistil bezpečnost civilních obyvatel; </w:t>
      </w:r>
    </w:p>
    <w:p w14:paraId="0C6FF103" w14:textId="77777777" w:rsidR="008B35A2" w:rsidRPr="00AF591B" w:rsidRDefault="008B35A2" w:rsidP="008B35A2">
      <w:pPr>
        <w:pStyle w:val="NormalHanging12a"/>
      </w:pPr>
      <w:r w:rsidRPr="00AF591B">
        <w:lastRenderedPageBreak/>
        <w:t>47.</w:t>
      </w:r>
      <w:r w:rsidRPr="00AF591B">
        <w:tab/>
        <w:t xml:space="preserve">zdůrazňuje, že přístavy hrají v síti vojenské mobility strategickou úlohu jako kritické uzly, slouží jako vstupní a výstupní body pro rozsáhlé vojenské nasazení, umožňují integraci námořní a pozemní dopravy, zejména pro transatlantickou spolupráci, a zajišťují odolnost strategických hospodářských zájmů Unie; konstatuje, že námořní infrastruktura trpí strukturálními nedostatky a mnoho terminálů v EU není uzpůsobeno k odbavování vojenského nákladu; zdůrazňuje, že je třeba zajistit dostatečnou kapacitu pro vojenské dodávky a vypracovat pohotovostní plány pro případné přesměrování civilního nákladu; </w:t>
      </w:r>
    </w:p>
    <w:p w14:paraId="3D7DADF2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48.</w:t>
      </w:r>
      <w:r w:rsidRPr="00AF591B">
        <w:tab/>
        <w:t xml:space="preserve">zdůrazňuje, že vlastnictví a kontrola některých kritických námořních infrastruktur vyžaduje okamžitá opatření a přísnější pravidla, jak je zdůrazněno v bílé knize o evropské obraně – připravenost 2030; </w:t>
      </w:r>
    </w:p>
    <w:p w14:paraId="1986FD0D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49.</w:t>
      </w:r>
      <w:r w:rsidRPr="00AF591B">
        <w:tab/>
        <w:t>vyzývá k investicím do přístavní infrastruktury a k úpravě požadavků pro přístup k finančním nástrojům, a to jak pro námořní, tak pro vnitrozemské přístavy, aby se posílila jejich integrace s koridory sítě TEN-T a posílila se politika EU v oblasti energetické bezpečnosti; vyzývá Komisi, aby vytvořila a prováděla strategie na zvyšování schopností a budování kapacit přístavů; zdůrazňuje povrchový i podpovrchový rozměr námořní oblasti a vyzývá k začlenění plavidel typu ro-ro (</w:t>
      </w:r>
      <w:proofErr w:type="spellStart"/>
      <w:r w:rsidRPr="00AF591B">
        <w:t>Roll</w:t>
      </w:r>
      <w:proofErr w:type="spellEnd"/>
      <w:r w:rsidRPr="00AF591B">
        <w:t>-On/</w:t>
      </w:r>
      <w:proofErr w:type="spellStart"/>
      <w:r w:rsidRPr="00AF591B">
        <w:t>Roll-Off</w:t>
      </w:r>
      <w:proofErr w:type="spellEnd"/>
      <w:r w:rsidRPr="00AF591B">
        <w:t>) a typu ro-pax (</w:t>
      </w:r>
      <w:proofErr w:type="spellStart"/>
      <w:r w:rsidRPr="00AF591B">
        <w:t>Roll</w:t>
      </w:r>
      <w:proofErr w:type="spellEnd"/>
      <w:r w:rsidRPr="00AF591B">
        <w:t>-On/</w:t>
      </w:r>
      <w:proofErr w:type="spellStart"/>
      <w:r w:rsidRPr="00AF591B">
        <w:t>Roll-Off</w:t>
      </w:r>
      <w:proofErr w:type="spellEnd"/>
      <w:r w:rsidRPr="00AF591B">
        <w:t xml:space="preserve"> </w:t>
      </w:r>
      <w:proofErr w:type="spellStart"/>
      <w:r w:rsidRPr="00AF591B">
        <w:t>Passenger</w:t>
      </w:r>
      <w:proofErr w:type="spellEnd"/>
      <w:r w:rsidRPr="00AF591B">
        <w:t xml:space="preserve">) jako mobilních prostředků dvojího užití do oblasti působnosti strategie vojenské mobility EU; </w:t>
      </w:r>
    </w:p>
    <w:p w14:paraId="6AA690EB" w14:textId="77777777" w:rsidR="008B35A2" w:rsidRPr="00AF591B" w:rsidRDefault="008B35A2" w:rsidP="008B35A2">
      <w:pPr>
        <w:pStyle w:val="NormalHanging12a"/>
      </w:pPr>
      <w:r w:rsidRPr="00AF591B">
        <w:t>50.</w:t>
      </w:r>
      <w:r w:rsidRPr="00AF591B">
        <w:tab/>
        <w:t xml:space="preserve">konstatuje, že vnitrozemské vodní cesty jsou rovněž důležitým prvkem vojenské mobility, protože nabízejí plynulé a udržitelné prostředky dvojího užití, a to díky své dostupné kapacitě, intermodální komplementaritě a menší zranitelnosti vůči oportunistickému zpravodajství; bere na vědomí stávající kapacitu vodní sítě pro přepravu nadrozměrných vojenských prostředků, nebezpečného zboží a pohonných hmot pro pravidelné zásobování, jakož i pro poskytování záložních řešení v rámci nouzového plánování; navrhuje posoudit, zda je potřeba dále rozšířit stávající plavební komory a zvýšit dostupnost jeřábů a vodní flotily; </w:t>
      </w:r>
    </w:p>
    <w:p w14:paraId="1312863A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51.</w:t>
      </w:r>
      <w:r w:rsidRPr="00AF591B">
        <w:tab/>
        <w:t xml:space="preserve">zdůrazňuje, že je důležité vytvořit podél čtyř prioritních koridorů vojenské mobility další logistické uzly a překládkové terminály; vyzývá k tomu, aby stávající logistické uzly a komerční překládkové terminály relevantní pro vojenskou dopravu podél koridorů vojenské mobility byly odpovídajícím způsobem uzpůsobeny a označeny jako infrastruktura dvojího užití a byly v tomto směru vhodně vybaveny, například nakládacími plošinami s přímým přístupem a rampami vhodnými pro vojenské prostředky; </w:t>
      </w:r>
    </w:p>
    <w:p w14:paraId="48B42667" w14:textId="77777777" w:rsidR="008B35A2" w:rsidRPr="00AF591B" w:rsidRDefault="008B35A2" w:rsidP="008B35A2">
      <w:pPr>
        <w:pStyle w:val="NormalHanging12a"/>
      </w:pPr>
      <w:r w:rsidRPr="00AF591B">
        <w:t>52.</w:t>
      </w:r>
      <w:r w:rsidRPr="00AF591B">
        <w:tab/>
        <w:t xml:space="preserve">zdůrazňuje, že je důležité vytvořit podél čtyř prioritních koridorů vojenské mobility síť strategicky umístěných logistických uzlů, včetně vnitrozemských přístavů, které budou schopny poskytovat nezbytnou infrastrukturu pro údržbu, skladování a opravy s cílem zajistit rychlé intermodální převody mezi silniční, železniční, námořní, vnitrozemskou vodní a letištní infrastrukturou a vojenskými zařízeními; zdůrazňuje v tomto ohledu, že tyto uzly by měly poskytovat nezbytnou energetickou infrastrukturu dvojího užití, jako jsou čerpací stanice a stanice pro doplňování energie, které jsou nezbytné pro podporu potřeb mobility a zabezpečení dodávek; </w:t>
      </w:r>
    </w:p>
    <w:p w14:paraId="42321443" w14:textId="77777777" w:rsidR="008B35A2" w:rsidRPr="00AF591B" w:rsidRDefault="008B35A2" w:rsidP="008B35A2">
      <w:pPr>
        <w:pStyle w:val="NormalHanging12a"/>
      </w:pPr>
      <w:r w:rsidRPr="00AF591B">
        <w:t>53.</w:t>
      </w:r>
      <w:r w:rsidRPr="00AF591B">
        <w:tab/>
        <w:t xml:space="preserve">zdůrazňuje, že logistické uzly by měly poskytovat prostor, kapacitu a infrastrukturu pro projíždějící jednotky, zejména pokud jde o přístřeší, potraviny a dodávky paliva; </w:t>
      </w:r>
    </w:p>
    <w:p w14:paraId="164015D3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lastRenderedPageBreak/>
        <w:t>54.</w:t>
      </w:r>
      <w:r w:rsidRPr="00AF591B">
        <w:tab/>
        <w:t xml:space="preserve">vyzývá k podpoře rozvoje logistických center také v rámci příslušných evropských průmyslových programů s cílem posílit odolnost evropské průmyslové a technologické základny; připomíná, že je třeba přijmout opatření v oblasti digitalizace logistických procesů s cílem zajistit odolnost a bezpečnost strategické infrastruktury; </w:t>
      </w:r>
    </w:p>
    <w:p w14:paraId="3391FE12" w14:textId="77777777" w:rsidR="008B35A2" w:rsidRPr="00AF591B" w:rsidRDefault="008B35A2" w:rsidP="008B35A2">
      <w:pPr>
        <w:pStyle w:val="NormalHanging12a"/>
      </w:pPr>
      <w:r w:rsidRPr="00AF591B">
        <w:t>55.</w:t>
      </w:r>
      <w:r w:rsidRPr="00AF591B">
        <w:tab/>
        <w:t xml:space="preserve">považuje za velmi důležité rozšířit dopravní koridory, včetně koridorů vojenské mobility, na Ukrajinu, Moldavskou republiku a západní Balkán, s cílem zvýšit interoperabilitu a operační </w:t>
      </w:r>
      <w:proofErr w:type="spellStart"/>
      <w:r w:rsidRPr="00AF591B">
        <w:t>reakceschopnost</w:t>
      </w:r>
      <w:proofErr w:type="spellEnd"/>
      <w:r w:rsidRPr="00AF591B">
        <w:t xml:space="preserve">, a v případě potřeby podporovat partnery v jejich odporu proti ruské agresi a dalším hybridním hrozbám v regionu, a odrazovat od budoucí agrese na území EU; bere na vědomí využívání tras solidarity pro vojenskou mobilitu a domnívá se, že je důležité je posílit s cílem zvýšit bezpečnost a odolnost Ukrajiny; </w:t>
      </w:r>
    </w:p>
    <w:p w14:paraId="02CCB7C8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56.</w:t>
      </w:r>
      <w:r w:rsidRPr="00AF591B">
        <w:tab/>
        <w:t xml:space="preserve">zdůrazňuje, že přesné, bezpečné a aktuální digitální modelování, digitální mapy, geografické informační systémy a služby geoprostorových dat jsou nepostradatelné pro plánování civilní a vojenské infrastruktury a tras, přeshraniční koordinaci a rychlé nasazení jednotek a vybavení; zdůrazňuje, že ochrana dat a komunikací během vojenských přesunů je nesmírně důležitá pro bezpečnost civilního obyvatelstva a vojenského personálu i pro zachování kapacit; zdůrazňuje, že všechny dopravní informační služby používané pro vojenské a obranné účely by měly být řádně zabezpečeny a právně chráněny, aby se zabránilo digitálnímu úniku citlivých informací týkajících se vojenských mobilních operací a hospodářských údajů; naléhavě vyzývá Komisi, aby koordinovala digitální a elektronická bezpečnostní opatření podél čtyř prioritních koridorů vojenské mobility; </w:t>
      </w:r>
    </w:p>
    <w:p w14:paraId="02B332D3" w14:textId="77777777" w:rsidR="008B35A2" w:rsidRPr="00AF591B" w:rsidRDefault="008B35A2" w:rsidP="008B35A2">
      <w:pPr>
        <w:pStyle w:val="NormalHanging12a"/>
        <w:rPr>
          <w:iCs/>
        </w:rPr>
      </w:pPr>
      <w:r w:rsidRPr="00AF591B">
        <w:t>57.</w:t>
      </w:r>
      <w:r w:rsidRPr="00AF591B">
        <w:tab/>
        <w:t xml:space="preserve">zdůrazňuje, že celá Evropská unie je zranitelná vůči kybernetickým útokům a digitálnímu vniknutí; zdůrazňuje, že kybernetické útoky se přednostně zaměřují na digitální systémy, které řídí fyzické dopravní infrastruktury a prostředky; vyzývá proto EU a členské státy, aby podporovaly vývoj a zavádění inovativních evropských svrchovaných digitálních technologií, včetně Galilea, s cílem posílit kybernetickou bezpečnost i odolnost těchto infrastruktur a prostředků; v této souvislosti zdůrazňuje potenciál umělé inteligence a vybízí k dalšímu úsilí v oblasti výzkumu a vývoje s cílem rozvíjet digitální schopnosti nové generace; </w:t>
      </w:r>
    </w:p>
    <w:p w14:paraId="2FB180DA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58.</w:t>
      </w:r>
      <w:r w:rsidRPr="00AF591B">
        <w:tab/>
        <w:t>vyjadřuje vážné znepokojení nad nárůstem ruských kybernetických útoků na navigační systémy v oblasti Baltského moře; vyzývá Komisi, aby do svého nadcházejícího souhrnného balíčku zahrnula a v jeho rámci řešila povahu hybridních hrozeb, jakož i rušení a </w:t>
      </w:r>
      <w:proofErr w:type="spellStart"/>
      <w:r w:rsidRPr="00AF591B">
        <w:t>spoofing</w:t>
      </w:r>
      <w:proofErr w:type="spellEnd"/>
      <w:r w:rsidRPr="00AF591B">
        <w:t xml:space="preserve"> (falšování) signálu globálních družicových navigačních systémů (GNSS), jež představují hybridní útok na evropskou námořní a leteckou dopravu; </w:t>
      </w:r>
    </w:p>
    <w:p w14:paraId="47A8FE83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59.</w:t>
      </w:r>
      <w:r w:rsidRPr="00AF591B">
        <w:tab/>
        <w:t>zdůrazňuje, že je třeba urychlit provedení a uplatňování směrnice NIS2</w:t>
      </w:r>
      <w:r w:rsidRPr="00AF591B">
        <w:rPr>
          <w:bCs/>
          <w:iCs/>
          <w:vertAlign w:val="superscript"/>
        </w:rPr>
        <w:footnoteReference w:id="14"/>
      </w:r>
      <w:r w:rsidRPr="00AF591B">
        <w:t xml:space="preserve"> a posílit spolupráci mezi odvětvovými dopravními orgány, příslušnými agenturami pro kybernetickou bezpečnost, týmy pro reakce na počítačové bezpečnostní incidenty (sítě CSIRT) a Evropskou sítí styčných organizací pro řešení kybernetických krizí (EU-</w:t>
      </w:r>
      <w:proofErr w:type="spellStart"/>
      <w:r w:rsidRPr="00AF591B">
        <w:t>CyCLONe</w:t>
      </w:r>
      <w:proofErr w:type="spellEnd"/>
      <w:r w:rsidRPr="00AF591B">
        <w:t xml:space="preserve">); zdůrazňuje, že do posouzení kybernetických bezpečnostních rizik na </w:t>
      </w:r>
      <w:r w:rsidRPr="00AF591B">
        <w:lastRenderedPageBreak/>
        <w:t>úrovni EU a na vnitrostátní úrovni je důležité zahrnovat konkrétní opatření zaměřená na aspekty vojenské mobility;</w:t>
      </w:r>
    </w:p>
    <w:p w14:paraId="3938B930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60.</w:t>
      </w:r>
      <w:r w:rsidRPr="00AF591B">
        <w:tab/>
        <w:t xml:space="preserve">zdůrazňuje význam ochrany a zvyšování odolnosti kritické dopravní infrastruktury, a to i proti kybernetickým útokům a hybridním hrozbám, které ohrožují civilní leteckou, námořní a pozemní dopravu; připomíná, že kritická infrastruktura pro energetiku a komunikace (vzdušná, povrchová, podmořská nebo podvodní, včetně GNSS) také přímo ovlivňuje úspěšnost činností vojenské mobility; </w:t>
      </w:r>
    </w:p>
    <w:p w14:paraId="502538DC" w14:textId="77777777" w:rsidR="008B35A2" w:rsidRPr="00AF591B" w:rsidRDefault="008B35A2" w:rsidP="008B35A2">
      <w:pPr>
        <w:pStyle w:val="NormalHanging12a"/>
      </w:pPr>
      <w:r w:rsidRPr="00AF591B">
        <w:t>61.</w:t>
      </w:r>
      <w:r w:rsidRPr="00AF591B">
        <w:tab/>
        <w:t xml:space="preserve">vyzývá k vytvoření evropského mechanismu pro monitorování a zajišťování rychlé reakce v případě kybernetických nebo hybridních útoků na kritickou dopravní, energetickou a komunikační infrastrukturu, který bude vybudován v úzké spolupráci s NATO; </w:t>
      </w:r>
    </w:p>
    <w:p w14:paraId="3F032245" w14:textId="77777777" w:rsidR="008B35A2" w:rsidRPr="00AF591B" w:rsidRDefault="008B35A2" w:rsidP="008B35A2">
      <w:pPr>
        <w:pStyle w:val="NormalHanging12a"/>
      </w:pPr>
      <w:r w:rsidRPr="00AF591B">
        <w:t>62.</w:t>
      </w:r>
      <w:r w:rsidRPr="00AF591B">
        <w:tab/>
        <w:t>žádá Komisi, aby urychleně přijala opatření, kterými zjednoduší a urychlí postupy v případě investic pro účely vojenské mobility, zejména aby stanovila cílené výjimky ze stávajících pravidel pro zadávání veřejných zakázek pro infrastrukturu vojenské mobility a prostředky s významnou vojenskou složkou nebo složkou dvojího užití; zdůrazňuje, že projekty strategického evropského zájmu je třeba provádět bez zbytečného zpoždění, a přitom zajistit transparentnost, spravedlivou hospodářskou soutěž a právo na řádný postup;</w:t>
      </w:r>
    </w:p>
    <w:p w14:paraId="76467C71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63.</w:t>
      </w:r>
      <w:r w:rsidRPr="00AF591B">
        <w:tab/>
        <w:t xml:space="preserve">upozorňuje na význam, který má pro vojenskou mobilitu partnerství veřejného a soukromého sektoru; vybízí EU a členské státy, aby podporovaly a stimulovaly civilně-vojenskou spolupráci v oblasti vojenské mobility; zdůrazňuje význam předvídatelnosti, pokud jde o poptávku po schopnostech vojenské mobility, v kombinaci s dostatečným financováním a zjednodušenými pravidly pro zadávání veřejných zakázek, což by dodavatelskému průmyslu umožnilo navýšit a udržet úroveň výroby; </w:t>
      </w:r>
    </w:p>
    <w:p w14:paraId="0920F0EB" w14:textId="77777777" w:rsidR="008B35A2" w:rsidRPr="00AF591B" w:rsidRDefault="008B35A2" w:rsidP="008B35A2">
      <w:pPr>
        <w:pStyle w:val="NormalHanging12a"/>
      </w:pPr>
      <w:bookmarkStart w:id="7" w:name="_Hlk213407983"/>
      <w:r w:rsidRPr="00AF591B">
        <w:t>64.</w:t>
      </w:r>
      <w:r w:rsidRPr="00AF591B">
        <w:tab/>
        <w:t>domnívá se, že v rámci snah EU o posílení strategické autonomie a odolnosti by měla být prioritou zásada evropské preference, a přitom by měla být uznána svoboda členských států budovat vlastní vojenské kapacity, aby mohly reagovat na hrozby v krátkodobém horizontu; připomíná, že tato zásada by měla být uplatňována, aby se zajistilo, že finanční prostředky EU investované do obrany a bezpečnosti prostřednictvím programů, jako je SAFE, EDIP a EDIRPA, zejména do technologií souvisejících s kritickou infrastrukturou dvojího užití, budou podporovat EDTIB;</w:t>
      </w:r>
      <w:bookmarkEnd w:id="7"/>
    </w:p>
    <w:p w14:paraId="4FC71035" w14:textId="5C9345D1" w:rsidR="008B35A2" w:rsidRPr="00AF591B" w:rsidRDefault="008B35A2" w:rsidP="008B35A2">
      <w:pPr>
        <w:pStyle w:val="NormalHanging12a"/>
        <w:rPr>
          <w:bCs/>
          <w:iCs/>
        </w:rPr>
      </w:pPr>
      <w:r w:rsidRPr="00AF591B">
        <w:t>65.</w:t>
      </w:r>
      <w:r w:rsidRPr="00AF591B">
        <w:tab/>
        <w:t>opakuje, že odolnost kritické infrastruktury vyžaduje harmonizovanější a důkladnější prověřování přímých zahraničních investic v EU; zdůrazňuje, že revize nařízení (EU) 2019/452 o prověřování přímých zahraničních investic představuje zásadní krok směrem ke koherentnějšímu a efektivnějšímu evropskému rámci pro ochranu bezpečnosti a veřejného pořádku a zároveň zachování otevřenosti a transparentnosti; v této souvislosti vítá návrh Komise na přezkum nařízení (EU) 2019/4</w:t>
      </w:r>
      <w:r w:rsidR="00682C7F">
        <w:t>5</w:t>
      </w:r>
      <w:r w:rsidRPr="00AF591B">
        <w:t>2 o prověřování přímých zahraničních investic, jehož cílem by mělo být zajistit odpovídající rovnováhu mezi investičními potřebami a ochranou základních bezpečnostních zájmů a obranných kapacit EU;</w:t>
      </w:r>
    </w:p>
    <w:p w14:paraId="22C59ADF" w14:textId="77777777" w:rsidR="008B35A2" w:rsidRPr="00AF591B" w:rsidRDefault="008B35A2" w:rsidP="008B35A2">
      <w:pPr>
        <w:pStyle w:val="NormalHanging12a"/>
      </w:pPr>
      <w:r w:rsidRPr="00AF591B">
        <w:t>66.</w:t>
      </w:r>
      <w:r w:rsidRPr="00AF591B">
        <w:tab/>
        <w:t xml:space="preserve">zdůrazňuje, že i navzdory pokroku v dekarbonizaci dopravy bude v příštím desetiletí využívání fosilních paliv v rámci vojenské mobility i nadále kriticky důležité, například </w:t>
      </w:r>
      <w:r w:rsidRPr="00AF591B">
        <w:lastRenderedPageBreak/>
        <w:t>používání lokomotiv s duálním režimem a lokomotiv se spalovacím motorem, což je jediné provozní řešení v případě rozsáhlého nedostatku elektrické energie;</w:t>
      </w:r>
    </w:p>
    <w:p w14:paraId="11D319C8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67.</w:t>
      </w:r>
      <w:r w:rsidRPr="00AF591B">
        <w:tab/>
        <w:t>upozorňuje, že je třeba rozšířit dodavatelské řetězce pro paliva pro ozbrojené síly podél čtyř prioritních koridorů vojenské mobility; zdůrazňuje, že energetická infrastruktura na východním křídle vyžaduje rozvoj na podporu aktivit vojenské mobility, a vyzývá Komisi, aby řešila nedostatek paliva; podporuje vytváření zásob strategických rezerv energie, které by mohly být zvláště důležité pro regiony s nedostatečnou infrastrukturou produktovodů a kapacitou pro skladování paliv; vyzývá v této souvislosti Komisi, aby přezkoumala směrnici o zásobách ropy</w:t>
      </w:r>
      <w:r w:rsidRPr="00AF591B">
        <w:rPr>
          <w:bCs/>
          <w:iCs/>
          <w:vertAlign w:val="superscript"/>
        </w:rPr>
        <w:footnoteReference w:id="15"/>
      </w:r>
      <w:r w:rsidRPr="00AF591B">
        <w:t xml:space="preserve"> s ohledem na nedávné geopolitické změny, aby se zvýšila energetická bezpečnost a odolnost vůči nově vznikajícím hrozbám; </w:t>
      </w:r>
    </w:p>
    <w:p w14:paraId="6A90CD0B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68.</w:t>
      </w:r>
      <w:r w:rsidRPr="00AF591B">
        <w:tab/>
        <w:t xml:space="preserve">připomíná, že vzhledem k tomu, že železniční systém je závislý na elektrické energii, která umožňuje pohyb vlaků, vyžaduje železniční provoz, aby se zvýšila odolnost energetických sítí a aby byla v případě výpadku nebo nedostatku elektřina rychle obnovena; </w:t>
      </w:r>
    </w:p>
    <w:p w14:paraId="50171276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69.</w:t>
      </w:r>
      <w:r w:rsidRPr="00AF591B">
        <w:tab/>
        <w:t>se znepokojením konstatuje, že EU je vysoce závislá na dovozu surové ropy a ropných produktů; vyzývá Komisi, aby uznala, že spolehlivá evropská strategie vojenské mobility vyžaduje odolné a převážně evropské kapacity na výrobu a rafinování paliv a alternativních paliv, aby se zvýšila i strategická autonomie; vyzývá k okamžitému rozvoji komplexní sítě distribuce a skladování paliv a k diverzifikaci dodávek energie, aby byla zaručena energetická bezpečnost; zdůrazňuje, že včasné provádění ustanovení a cílů nařízení o infrastruktuře pro alternativní paliva</w:t>
      </w:r>
      <w:r w:rsidRPr="00AF591B">
        <w:rPr>
          <w:bCs/>
          <w:iCs/>
          <w:vertAlign w:val="superscript"/>
        </w:rPr>
        <w:footnoteReference w:id="16"/>
      </w:r>
      <w:r w:rsidRPr="00AF591B">
        <w:t xml:space="preserve"> může rovněž sehrát relevantní roli při diverzifikaci možností dodávek energie pro vojenskou mobilitu a přispět k obecným cílům EU v oblasti dekarbonizace dopravy; </w:t>
      </w:r>
    </w:p>
    <w:p w14:paraId="202C0F30" w14:textId="77777777" w:rsidR="008B35A2" w:rsidRPr="00AF591B" w:rsidRDefault="008B35A2" w:rsidP="008B35A2">
      <w:pPr>
        <w:pStyle w:val="NormalHanging12a"/>
      </w:pPr>
      <w:r w:rsidRPr="00AF591B">
        <w:t>70.</w:t>
      </w:r>
      <w:r w:rsidRPr="00AF591B">
        <w:tab/>
        <w:t xml:space="preserve">vyzývá tudíž Komisi, aby při rozvíjení energetického systému EU zohlednila schopnosti a potřeby vojenské mobility, a přitom vzala v úvahu i cíle pro dekarbonizaci a potřebu strategické autonomie a odolnosti; </w:t>
      </w:r>
    </w:p>
    <w:p w14:paraId="554F6181" w14:textId="77777777" w:rsidR="008B35A2" w:rsidRPr="00AF591B" w:rsidRDefault="008B35A2" w:rsidP="008B35A2">
      <w:pPr>
        <w:pStyle w:val="NormalHanging12a"/>
        <w:spacing w:before="360"/>
      </w:pPr>
      <w:r w:rsidRPr="00AF591B">
        <w:rPr>
          <w:b/>
          <w:i/>
        </w:rPr>
        <w:t>Východní křídlo</w:t>
      </w:r>
    </w:p>
    <w:p w14:paraId="615C6D20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71.</w:t>
      </w:r>
      <w:r w:rsidRPr="00AF591B">
        <w:tab/>
        <w:t xml:space="preserve">zdůrazňuje, že vzhledem k ruské válečné agresi proti Ukrajině bylo východní křídlo EU opakovaně cílem kybernetických útoků, hybridních hrozeb a sabotáží, včetně incidentů namířených proti provozovatelům dopravy; vyzývá proto EU, aby zintenzivnila úsilí na podporu členských států s cílem zajistit, aby byla kritická dopravní infrastruktura na východním křídle plně chráněna a odolná, a to i prostřednictvím rychlých mechanismů pro posílení a zvýšenou kybernetickou obranu železnic, silnic, přístavů a uzlů pro dodávky energie; upozorňuje v tomto ohledu na mimořádnou zranitelnost pobaltských států, zejména kvůli </w:t>
      </w:r>
      <w:proofErr w:type="spellStart"/>
      <w:r w:rsidRPr="00AF591B">
        <w:t>Suvalskému</w:t>
      </w:r>
      <w:proofErr w:type="spellEnd"/>
      <w:r w:rsidRPr="00AF591B">
        <w:t xml:space="preserve"> koridoru, a zdůrazňuje, že v případě ruské agrese by byla zapotřebí urychlená reakce a rychlejší přesuny vojsk; </w:t>
      </w:r>
    </w:p>
    <w:p w14:paraId="31D3479B" w14:textId="77777777" w:rsidR="008B35A2" w:rsidRPr="00AF591B" w:rsidRDefault="008B35A2" w:rsidP="008B35A2">
      <w:pPr>
        <w:pStyle w:val="NormalHanging12a"/>
      </w:pPr>
      <w:r w:rsidRPr="00AF591B">
        <w:lastRenderedPageBreak/>
        <w:t>72.</w:t>
      </w:r>
      <w:r w:rsidRPr="00AF591B">
        <w:tab/>
        <w:t>připomíná, že čtyři prioritní koridory vojenské mobility hrají zásadní roli v bezpečnosti a obraně EU; domnívá se, že umožnění rychlého a efektivního fungování všech identifikovaných prioritních koridorů vojenské mobility zajistí účinnou bezpečnost členských států, které jsou v současné době nejvíce vystaveny hrozbám ze strany Ruska; upozorňuje na skutečnost, že čtyři prioritní koridory vojenské mobility EU také zajišťují schopnost NATO rychle posílit a účinně bránit východní křídlo, a tím posilují kolektivní bezpečnost, odrazení a odolnost celé aliance;</w:t>
      </w:r>
    </w:p>
    <w:p w14:paraId="116EDD21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73.</w:t>
      </w:r>
      <w:r w:rsidRPr="00AF591B">
        <w:rPr>
          <w:b/>
        </w:rPr>
        <w:tab/>
      </w:r>
      <w:r w:rsidRPr="00AF591B">
        <w:t>konstatuje, že pro bezpečnost celého východního křídla je zásadní vojenská mobilita směrem do Polska a z Polska; upozorňuje na přidanou hodnotu multimodálních logistických uzlů umístěných v západní Evropě pro zajištění rychlého přesunu evropských a spojeneckých vojsk a těžké techniky do východní Evropy;</w:t>
      </w:r>
    </w:p>
    <w:p w14:paraId="6525E9F7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74.</w:t>
      </w:r>
      <w:r w:rsidRPr="00AF591B">
        <w:tab/>
        <w:t>vítá iniciativu paktu pro východní regiony, kterou nedávno oznámila Komise a jejímž cílem je poskytnout členským státům podél východní hranice EU individuálně přizpůsobenou podporu, aby se zlepšila infrastruktura a zvýšila odolnost příhraničních regionů; upozorňuje na zásadní význam projektu „Štít na východní hranici“ jako strategického kroku, jehož cílem je posílit bezpečnost Evropy, a to i ochranou relevantních vojenských koridorů, aby byla zachována kapacita reakce, a všímá si jeho začlenění do bílé knihy o obranné připravenosti; vyzývá k poskytnutí odpovídajících finančních prostředků na zajištění jeho provádění;</w:t>
      </w:r>
    </w:p>
    <w:p w14:paraId="7A8DA4A9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75.</w:t>
      </w:r>
      <w:r w:rsidRPr="00AF591B">
        <w:tab/>
        <w:t>připomíná, že projekty infrastruktury pro vojenskou mobilitu musí být v rámci evropského semestru v oblasti obrany neustále přehodnocovány a aktualizovány v souladu s nejnovějšími vojenskými hrozbami a schopnostmi, a to nad rámec územního rozšiřování přístavů, aby zahrnovaly školení zaměstnanců a lepší řízení námořní dopravy, schopnosti co se týče odolnosti vůči rychle se vyvíjejícím hrozbám, jako je detekce podvodních dronů;</w:t>
      </w:r>
    </w:p>
    <w:p w14:paraId="26F2D1DF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76.</w:t>
      </w:r>
      <w:r w:rsidRPr="00AF591B">
        <w:tab/>
        <w:t xml:space="preserve">podporuje Iniciativu pro evropskou </w:t>
      </w:r>
      <w:proofErr w:type="spellStart"/>
      <w:r w:rsidRPr="00AF591B">
        <w:t>dronovou</w:t>
      </w:r>
      <w:proofErr w:type="spellEnd"/>
      <w:r w:rsidRPr="00AF591B">
        <w:t xml:space="preserve"> obranu vzhledem k nedávnému opakovanému narušování evropského vzdušného prostoru bezpilotními drony; vyzývá ke zlepšení a zvýšení </w:t>
      </w:r>
      <w:proofErr w:type="spellStart"/>
      <w:r w:rsidRPr="00AF591B">
        <w:t>dronových</w:t>
      </w:r>
      <w:proofErr w:type="spellEnd"/>
      <w:r w:rsidRPr="00AF591B">
        <w:t xml:space="preserve"> schopností ve všech členských státech ve spolupráci s NATO a na základě zkušeností ukrajinských ozbrojených sil z bojiště; zdůrazňuje, že tyto evropské </w:t>
      </w:r>
      <w:proofErr w:type="spellStart"/>
      <w:r w:rsidRPr="00AF591B">
        <w:t>dronové</w:t>
      </w:r>
      <w:proofErr w:type="spellEnd"/>
      <w:r w:rsidRPr="00AF591B">
        <w:t xml:space="preserve"> schopnosti by měly vycházet z poznatků získaných na Ukrajině, pokud jde o klíčovou hodnotu vytváření inovativních </w:t>
      </w:r>
      <w:proofErr w:type="spellStart"/>
      <w:r w:rsidRPr="00AF591B">
        <w:t>dronových</w:t>
      </w:r>
      <w:proofErr w:type="spellEnd"/>
      <w:r w:rsidRPr="00AF591B">
        <w:t xml:space="preserve"> a </w:t>
      </w:r>
      <w:proofErr w:type="spellStart"/>
      <w:r w:rsidRPr="00AF591B">
        <w:t>protidronových</w:t>
      </w:r>
      <w:proofErr w:type="spellEnd"/>
      <w:r w:rsidRPr="00AF591B">
        <w:t xml:space="preserve"> ekosystémů, propojování výzkumu a vývoje s výrobou a spoléhání na rozšiřitelnou výrobní kapacitu a neustálý technologický vývoj, počínaje podvodními, průzkumnými a bojovými drony až po obranné a </w:t>
      </w:r>
      <w:proofErr w:type="spellStart"/>
      <w:r w:rsidRPr="00AF591B">
        <w:t>protidronové</w:t>
      </w:r>
      <w:proofErr w:type="spellEnd"/>
      <w:r w:rsidRPr="00AF591B">
        <w:t xml:space="preserve"> schopnosti; </w:t>
      </w:r>
    </w:p>
    <w:p w14:paraId="4C6A0FD5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77.</w:t>
      </w:r>
      <w:r w:rsidRPr="00AF591B">
        <w:tab/>
        <w:t xml:space="preserve">připomíná, že </w:t>
      </w:r>
      <w:proofErr w:type="spellStart"/>
      <w:r w:rsidRPr="00AF591B">
        <w:t>protidronová</w:t>
      </w:r>
      <w:proofErr w:type="spellEnd"/>
      <w:r w:rsidRPr="00AF591B">
        <w:t xml:space="preserve"> síť by se mohla upravit pro účely dvojího užití a pomoci řešit hrozby nesouvisející s obranou či jiná nebezpečí společná všem hranicím EU, včetně ochrany hranic, účelového využívání migrace, ochrany kritické infrastruktury a nadnárodní organizované trestné činnosti;</w:t>
      </w:r>
    </w:p>
    <w:p w14:paraId="1BEE4495" w14:textId="77777777" w:rsidR="008B35A2" w:rsidRPr="00AF591B" w:rsidRDefault="008B35A2" w:rsidP="008B35A2">
      <w:pPr>
        <w:pStyle w:val="Normal12a24b"/>
      </w:pPr>
      <w:r w:rsidRPr="00AF591B">
        <w:rPr>
          <w:rStyle w:val="BoldItalic"/>
        </w:rPr>
        <w:t xml:space="preserve">Zlepšení schopností </w:t>
      </w:r>
    </w:p>
    <w:p w14:paraId="1EC9D8AE" w14:textId="77777777" w:rsidR="008B35A2" w:rsidRPr="00AF591B" w:rsidRDefault="008B35A2" w:rsidP="008B35A2">
      <w:pPr>
        <w:pStyle w:val="NormalHanging12a"/>
      </w:pPr>
      <w:r w:rsidRPr="00AF591B">
        <w:t>78.</w:t>
      </w:r>
      <w:r w:rsidRPr="00AF591B">
        <w:tab/>
        <w:t xml:space="preserve">opakuje, že pozemní dopravní systémy jsou hlavními druhy dopravy pro přesun vojenských prostředků, které jsou obvykle těžké, mají nadměrnou velikost a obsahují nebezpečný náklad; </w:t>
      </w:r>
    </w:p>
    <w:p w14:paraId="408A48CD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lastRenderedPageBreak/>
        <w:t>79.</w:t>
      </w:r>
      <w:r w:rsidRPr="00AF591B">
        <w:tab/>
        <w:t xml:space="preserve">se znepokojením upozorňuje na současný nedostatek určitého vybavení pro vojenskou mobilitu, jako jsou plošinové vagóny, a na pokles jeho výroby od období studené války; vyzývá k podpoře jeho vývoje v rámci evropských průmyslových programů; upozorňuje na naléhavou potřebu toho, aby veřejní a soukromí aktéři spolupracovali na využití a maximalizaci potenciálu dostupných železničních zdrojů pro vojenskou mobilitu, a vybízí k využití rezervních smluv; </w:t>
      </w:r>
    </w:p>
    <w:p w14:paraId="1417C627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80.</w:t>
      </w:r>
      <w:r w:rsidRPr="00AF591B">
        <w:tab/>
        <w:t xml:space="preserve">zdůrazňuje, že je nutné naléhavě řešit nedostatek kolejových vozidel v evropských železničních organizacích; upozorňuje na důležitost harmonizovaného postupu schvalování kolejových vozidel řízeného Agenturou EU pro železnice; připomíná potřebu nahradit vnitrostátní předpisy technickými specifikacemi pro interoperabilitu, aby se zvýšila dostupnost přeshraničních kolejových vozidel pro vojenské a civilní účely; </w:t>
      </w:r>
    </w:p>
    <w:p w14:paraId="6F198C4C" w14:textId="77777777" w:rsidR="008B35A2" w:rsidRPr="00AF591B" w:rsidRDefault="008B35A2" w:rsidP="008B35A2">
      <w:pPr>
        <w:pStyle w:val="NormalHanging12a"/>
      </w:pPr>
      <w:r w:rsidRPr="00AF591B">
        <w:t>81.</w:t>
      </w:r>
      <w:r w:rsidRPr="00AF591B">
        <w:tab/>
        <w:t xml:space="preserve">požaduje koordinovaný přístup k pořizování železničních kolejových vozidel, aby se maximalizovalo efektivní využívání dostupné výrobní kapacity; zdůrazňuje, že je třeba podporovat společný nákup těchto vozidel; </w:t>
      </w:r>
    </w:p>
    <w:p w14:paraId="42284069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82.</w:t>
      </w:r>
      <w:r w:rsidRPr="00AF591B">
        <w:tab/>
        <w:t>konstatuje, že vedle pozemní dopravy představuje letecká doprava nejrychlejší způsob, jak přesunout první vojenské prostředky a logistický materiál; upozorňuje, že je nutné vytvořit evropskou rezervu pro strategickou vzdušnou přepravu a posílit strategické podpůrné schopnosti pro leteckou vojenskou mobilitu, jako jsou těžké transportní letouny;</w:t>
      </w:r>
    </w:p>
    <w:p w14:paraId="1D3BDF47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83.</w:t>
      </w:r>
      <w:r w:rsidRPr="00AF591B">
        <w:tab/>
        <w:t xml:space="preserve">bere na vědomí rostoucí využívání autonomních vozidel při dodávkách vojenských zásob, což představuje řešení pro nedostatek personálu ve vojenských logistických jednotkách a minimalizuje lidské ztráty v době konfliktu; vyzývá k úpravě právních a jiných předpisů EU a členských států, aby bylo možno do koridorů vojenské mobility zavést </w:t>
      </w:r>
      <w:proofErr w:type="spellStart"/>
      <w:r w:rsidRPr="00AF591B">
        <w:t>poloautonomní</w:t>
      </w:r>
      <w:proofErr w:type="spellEnd"/>
      <w:r w:rsidRPr="00AF591B">
        <w:t xml:space="preserve"> logistiku;</w:t>
      </w:r>
    </w:p>
    <w:p w14:paraId="1CF1662F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84.</w:t>
      </w:r>
      <w:r w:rsidRPr="00AF591B">
        <w:tab/>
        <w:t>vyzývá k zamyšlení nad dostupností a přiměřeností schopností EU pro zdravotní přepravu několika pacientů pro zraněný personál, aby byla zajištěna jeho včasná evakuace a odpovídající péče;</w:t>
      </w:r>
    </w:p>
    <w:p w14:paraId="73E9E62C" w14:textId="77777777" w:rsidR="008B35A2" w:rsidRPr="00AF591B" w:rsidRDefault="008B35A2" w:rsidP="008B35A2">
      <w:pPr>
        <w:pStyle w:val="Normal12a24b"/>
        <w:spacing w:before="0"/>
        <w:ind w:left="567" w:hanging="567"/>
      </w:pPr>
      <w:r w:rsidRPr="00AF591B">
        <w:t>85.</w:t>
      </w:r>
      <w:r w:rsidRPr="00AF591B">
        <w:tab/>
        <w:t xml:space="preserve">zdůrazňuje, že je třeba vyhodnotit a shromáždit poptávku jednotlivých členských států, aby se zajistila trvalá dostupnost a dodávky prostředků dvojího užití, jako jsou lokomotivy, plavidla, nákladní vozidla, přívěsy vhodné pro nadměrné náklady, strategické transportní letouny, systémy pro doplňování paliva za letu a pevné a mobilní jeřáby; </w:t>
      </w:r>
    </w:p>
    <w:p w14:paraId="6F3022AA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</w:rPr>
      </w:pPr>
      <w:r w:rsidRPr="00AF591B">
        <w:t>86.</w:t>
      </w:r>
      <w:r w:rsidRPr="00AF591B">
        <w:tab/>
        <w:t xml:space="preserve">zdůrazňuje, že je důležité zaregistrovat výše uvedené dopravní prostředky v civilně-vojenském „rezervoáru solidarity“, aby mohly být co nejefektivněji využívány, kdykoli a kdekoli je to nezbytné, a vycházet přitom z příkladu strategických rezerv mechanismu </w:t>
      </w:r>
      <w:proofErr w:type="spellStart"/>
      <w:r w:rsidRPr="00AF591B">
        <w:t>rescEU</w:t>
      </w:r>
      <w:proofErr w:type="spellEnd"/>
      <w:r w:rsidRPr="00AF591B">
        <w:t xml:space="preserve"> v rámci evropských schopností v oblasti reakce na krize; vyzývá Komisi, aby zajistila koordinaci na úrovni EU s členskými státy, která umožní předvídatelnost a plánování pro dodavatelský průmysl; </w:t>
      </w:r>
    </w:p>
    <w:p w14:paraId="24AEB731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87.</w:t>
      </w:r>
      <w:r w:rsidRPr="00AF591B">
        <w:tab/>
        <w:t xml:space="preserve">zdůrazňuje, že je třeba zajistit </w:t>
      </w:r>
      <w:proofErr w:type="spellStart"/>
      <w:r w:rsidRPr="00AF591B">
        <w:t>koherentnost</w:t>
      </w:r>
      <w:proofErr w:type="spellEnd"/>
      <w:r w:rsidRPr="00AF591B">
        <w:t xml:space="preserve"> mezi prioritami akčního plánu vojenské mobility a přípravou Programu pro evropský obranný průmysl (EDIP) a zajistit, aby se při určování priorit pro financování vycházelo z posouzení nedostatků ve schopnostech (plán rozvoje schopností a koordinovaný každoroční přezkum v oblasti obrany); žádá </w:t>
      </w:r>
      <w:r w:rsidRPr="00AF591B">
        <w:lastRenderedPageBreak/>
        <w:t xml:space="preserve">Komisi, aby motivovala evropskou technologickou a průmyslovou základnu obrany (EDTIB), aby tyto nedostatky řešila; konstatuje, že je třeba podporovat investice do nákupu, oprav, údržby a sdílení dopravních prostředků prostřednictvím celounijních nástrojů financování; zdůrazňuje, že je důležitá předvídatelnost, pokud jde o poptávku po schopnostech vojenské mobility, v kombinaci s dostatečným financováním a zjednodušenými pravidly pro zadávání veřejných zakázek, což by dodavatelskému průmyslu umožnilo navýšit a udržet úroveň výroby; </w:t>
      </w:r>
    </w:p>
    <w:p w14:paraId="5DB687C6" w14:textId="77777777" w:rsidR="008B35A2" w:rsidRPr="00AF591B" w:rsidRDefault="008B35A2" w:rsidP="008B35A2">
      <w:pPr>
        <w:pStyle w:val="Normal12a24b"/>
        <w:spacing w:before="0"/>
        <w:ind w:left="567" w:hanging="567"/>
        <w:rPr>
          <w:bCs/>
          <w:iCs/>
        </w:rPr>
      </w:pPr>
      <w:r w:rsidRPr="00AF591B">
        <w:t>88.</w:t>
      </w:r>
      <w:r w:rsidRPr="00AF591B">
        <w:tab/>
        <w:t xml:space="preserve">vyzývá k investování do výzkumu a vývoje v zájmu podpory schopností dvojího užití; upozorňuje na důležitost podpory EU pro povzbuzení inovací v technologiích pro vozidla dvojího užití, včetně modulárních platforem přizpůsobitelných pro civilní i vojenské použití, i v civilních námořních a leteckých průmyslových odvětvích na podporu nových technologií; </w:t>
      </w:r>
    </w:p>
    <w:p w14:paraId="3E83A0E1" w14:textId="77777777" w:rsidR="008B35A2" w:rsidRPr="00AF591B" w:rsidRDefault="008B35A2" w:rsidP="008B35A2">
      <w:pPr>
        <w:pStyle w:val="Normal12a24b"/>
      </w:pPr>
      <w:r w:rsidRPr="00AF591B">
        <w:rPr>
          <w:rStyle w:val="BoldItalic"/>
        </w:rPr>
        <w:t>Posílení spolupráce mezi EU a NATO</w:t>
      </w:r>
    </w:p>
    <w:p w14:paraId="5ABFAB6F" w14:textId="77777777" w:rsidR="008B35A2" w:rsidRPr="00AF591B" w:rsidRDefault="008B35A2" w:rsidP="008B35A2">
      <w:pPr>
        <w:pStyle w:val="NormalHanging12a"/>
      </w:pPr>
      <w:r w:rsidRPr="00AF591B">
        <w:t>89.</w:t>
      </w:r>
      <w:r w:rsidRPr="00AF591B">
        <w:tab/>
        <w:t>domnívá se, že zlepšená vojenská mobilita posiluje SBOP i transatlantickou alianci; zdůrazňuje, že NATO se při přesouvání vojenských jednotek a vybavení spoléhá na infrastrukturu členských států EU; souhlasně konstatuje, že díky pokroku ve spolupráci mezi EU a NATO, mimo jiné prostřednictvím strukturovaného dialogu mezi EU a NATO o vojenské mobilitě, jsou příslušné vojenské požadavky EU v souladu s technickými a geografickými požadavky NATO, a to přibližně na 95 %;</w:t>
      </w:r>
    </w:p>
    <w:p w14:paraId="0620970C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90.</w:t>
      </w:r>
      <w:r w:rsidRPr="00AF591B">
        <w:tab/>
        <w:t>vyzývá členské státy, aby posílily vzájemnou spolupráci i spolupráci s NATO, zejména v rámci stávajícího středoevropského potrubního systému (</w:t>
      </w:r>
      <w:proofErr w:type="spellStart"/>
      <w:r w:rsidRPr="00AF591B">
        <w:t>Central</w:t>
      </w:r>
      <w:proofErr w:type="spellEnd"/>
      <w:r w:rsidRPr="00AF591B">
        <w:t xml:space="preserve"> </w:t>
      </w:r>
      <w:proofErr w:type="spellStart"/>
      <w:r w:rsidRPr="00AF591B">
        <w:t>Europe</w:t>
      </w:r>
      <w:proofErr w:type="spellEnd"/>
      <w:r w:rsidRPr="00AF591B">
        <w:t xml:space="preserve"> </w:t>
      </w:r>
      <w:proofErr w:type="spellStart"/>
      <w:r w:rsidRPr="00AF591B">
        <w:t>Pipeline</w:t>
      </w:r>
      <w:proofErr w:type="spellEnd"/>
      <w:r w:rsidRPr="00AF591B">
        <w:t xml:space="preserve"> </w:t>
      </w:r>
      <w:proofErr w:type="spellStart"/>
      <w:r w:rsidRPr="00AF591B">
        <w:t>System</w:t>
      </w:r>
      <w:proofErr w:type="spellEnd"/>
      <w:r w:rsidRPr="00AF591B">
        <w:t xml:space="preserve">) a programu bezpečnostních investic NATO, aby byla zajištěna interoperabilita, kybernetická bezpečnost a dostatečné přepravní a skladovací kapacity pro vojenské operace EU a NATO; </w:t>
      </w:r>
    </w:p>
    <w:p w14:paraId="2B4F530B" w14:textId="77777777" w:rsidR="008B35A2" w:rsidRPr="00AF591B" w:rsidRDefault="008B35A2" w:rsidP="008B35A2">
      <w:pPr>
        <w:pStyle w:val="NormalHanging12a"/>
      </w:pPr>
      <w:r w:rsidRPr="00AF591B">
        <w:t>91.</w:t>
      </w:r>
      <w:r w:rsidRPr="00AF591B">
        <w:tab/>
        <w:t>vyjadřuje politování nad přetrvávajícími politickými a procesními překážkami, které brání sdílení utajovaných informací o logistických sítích mezi NATO a EU, a naléhavě vyzývá ke společnému porozumění v tomto ohledu s cílem dosáhnout synergií; zdůrazňuje, že tyto překážky, zejména neexistence dohody s NATO o výměně utajovaných informací, výrazně snižují efektivitu obranného úsilí obou organizací; žádá, aby se členské státy EU opravdu snažily překonat tyto politické překážky, které brání dohodě o výměně utajovaných informací; požaduje, aby byla zřízena stálá platforma EU-NATO pro sdílení informací, která by podpořila činnost společného velitelství NATO pro podporu a rychlé přesuny;</w:t>
      </w:r>
    </w:p>
    <w:p w14:paraId="1D31A2DE" w14:textId="77777777" w:rsidR="008B35A2" w:rsidRPr="00AF591B" w:rsidRDefault="008B35A2" w:rsidP="008B35A2">
      <w:pPr>
        <w:pStyle w:val="NormalHanging12a"/>
      </w:pPr>
      <w:r w:rsidRPr="00AF591B">
        <w:t>92.</w:t>
      </w:r>
      <w:r w:rsidRPr="00AF591B">
        <w:tab/>
        <w:t xml:space="preserve">vyzývá k pořádání pravidelných společných cvičení a zátěžových testů EU-NATO za účasti ozbrojených sil, civilní ochrany, správců infrastruktury a provozovatelů dopravy, aby se zlepšila komunikace a koordinace, zefektivnily postupy a identifikovaly a odstranily překážky pro vojenskou mobilitu; </w:t>
      </w:r>
    </w:p>
    <w:p w14:paraId="1441D845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93.</w:t>
      </w:r>
      <w:r w:rsidRPr="00AF591B">
        <w:tab/>
        <w:t xml:space="preserve">vyzývá Komisi a NATO, aby prohloubily koordinaci v oblasti námořní mobility, zajistily standardy interoperability pro námořní dopravu, přístup do přístavů a ochranu námořních komunikačních tras, a přitom věnovaly zvláštní pozornost Atlantiku, Středomoří a nejvzdálenějším regionům; naléhavě vyzývá k úzké spolupráci mezi EU a NATO v oblasti zajištění transatlantických dodávek vojenského vybavení a zásob po moři a vzduchem, a to s ohledem na jejich důležitost; uznává důležitou roli, kterou hraje Turecko při zabezpečování dopravních tras a celkové vojenské mobilitě EU a NATO, </w:t>
      </w:r>
      <w:r w:rsidRPr="00AF591B">
        <w:lastRenderedPageBreak/>
        <w:t xml:space="preserve">zejména jeho rozhodnutí uzavřít v únoru 2022 úžiny v Černém moři, které Rusku zabránilo v posílení námořní přítomnosti v tomto moři; </w:t>
      </w:r>
    </w:p>
    <w:p w14:paraId="3D129CB1" w14:textId="77777777" w:rsidR="008B35A2" w:rsidRPr="00AF591B" w:rsidRDefault="008B35A2" w:rsidP="008B35A2">
      <w:pPr>
        <w:pStyle w:val="NormalHanging12a"/>
      </w:pPr>
      <w:r w:rsidRPr="00AF591B">
        <w:t>94.</w:t>
      </w:r>
      <w:r w:rsidRPr="00AF591B">
        <w:tab/>
        <w:t>konstatuje, že časový rámec plánování na operační úrovni NATO je tři dny; trvá proto na dodržení závazku splnit cíl nejvýše tří až pěti dnů pro dokončení příslušných postupů pro povolení překročit hranice a přepravovat nadměrný či mimořádně těžký náklad a spoléhat přitom na zefektivněné, harmonizované a digitální postupy; požaduje, aby se tato lhůta u jednotek rychlé reakce zkrátila na tři dny v době míru a na 24 hodin v krizové situaci; vyzývá ke sloučení dvou formulářů 302 používaných NATO a EU do jednoho, aby se snížila zbytečná duplicita a usnadnily rychlejší přeshraniční přesuny; v zájmu urychlení povolovacích postupů požaduje v rámci balíčku vojenské mobility zavedení automatického uznávání analýz tras a mostů v rámci členských států a přes hranice a zrychleného režimu na základě oznámení pro certifikované provozovatele, kteří provádějí vojenskou nebo mimořádnou přepravu;</w:t>
      </w:r>
    </w:p>
    <w:p w14:paraId="0E121309" w14:textId="77777777" w:rsidR="008B35A2" w:rsidRPr="00AF591B" w:rsidRDefault="008B35A2" w:rsidP="008B35A2">
      <w:pPr>
        <w:pStyle w:val="NormalHanging12a"/>
      </w:pPr>
      <w:r w:rsidRPr="00AF591B">
        <w:t>95.</w:t>
      </w:r>
      <w:r w:rsidRPr="00AF591B">
        <w:tab/>
        <w:t>vyzývá členské státy, aby naléhavě rozvíjely nezbytné obranné schopnosti pro vojenskou přepravu, včetně rozšíření sítí potrubí NATO a schopností strategické vzdušné přepravy, na základě výsledků koordinovaného každoročního přezkumu v oblasti obrany a priorit rozvoje schopností EU pro rok 2023; považuje za důležité splnit vojenské požadavky, případně po konzultaci s NATO, a zmenšit technické a geografické nedostatky;</w:t>
      </w:r>
    </w:p>
    <w:p w14:paraId="667106DA" w14:textId="77777777" w:rsidR="008B35A2" w:rsidRPr="00AF591B" w:rsidRDefault="008B35A2" w:rsidP="008B35A2">
      <w:pPr>
        <w:pStyle w:val="NormalHanging12a"/>
      </w:pPr>
      <w:r w:rsidRPr="00AF591B">
        <w:t>96.</w:t>
      </w:r>
      <w:r w:rsidRPr="00AF591B">
        <w:tab/>
        <w:t>zdůrazňuje přidanou hodnotu výjimečné účasti USA, Kanady, Spojeného království, Norska a Švýcarska a dalších podobně smýšlejících partnerů v projektu vojenské mobility v rámci stálé strukturované spolupráce (PESCO); vyzývá k uplatňování cílů týkajících se schopností a k rozšíření účasti na strategické partnerské země, jako je Ukrajina a Moldavská republika, v souladu s pravidly PESCO;</w:t>
      </w:r>
    </w:p>
    <w:p w14:paraId="1920B715" w14:textId="77777777" w:rsidR="008B35A2" w:rsidRPr="00AF591B" w:rsidRDefault="008B35A2" w:rsidP="008B35A2">
      <w:pPr>
        <w:pStyle w:val="NormalHanging12a"/>
      </w:pPr>
      <w:r w:rsidRPr="00AF591B">
        <w:t>97.</w:t>
      </w:r>
      <w:r w:rsidRPr="00AF591B">
        <w:tab/>
        <w:t xml:space="preserve">upozorňuje na potřebu interoperability i s klíčovými regionálními partnery a kandidátskými zeměmi, jako je Ukrajina, Moldavská republika a západní Balkán; vyzývá ke konkrétní pomoci Moldavské republice, aby byla odolnější vůči hybridním hrozbám a lépe napojená na dopravní a bezpečnostní systémy EU; zdůrazňuje, že je důležité posílit koordinaci s regionálními partnery v oblasti technických norem, bezpečnosti kritické infrastruktury a ochrany sítí před hybridními hrozbami a útoky; domnívá se, že v oblasti interoperability se třetími zeměmi je třeba provádět pravidelné hodnocení; </w:t>
      </w:r>
    </w:p>
    <w:p w14:paraId="171C6AF6" w14:textId="77777777" w:rsidR="008B35A2" w:rsidRPr="00AF591B" w:rsidRDefault="008B35A2" w:rsidP="008B35A2">
      <w:pPr>
        <w:pStyle w:val="NormalHanging12a"/>
        <w:rPr>
          <w:bCs/>
          <w:iCs/>
        </w:rPr>
      </w:pPr>
      <w:r w:rsidRPr="00AF591B">
        <w:t>98.</w:t>
      </w:r>
      <w:r w:rsidRPr="00AF591B">
        <w:tab/>
        <w:t xml:space="preserve">upozorňuje na význam Parlamentu nejen jako </w:t>
      </w:r>
      <w:proofErr w:type="spellStart"/>
      <w:r w:rsidRPr="00AF591B">
        <w:t>spolunormotvůrce</w:t>
      </w:r>
      <w:proofErr w:type="spellEnd"/>
      <w:r w:rsidRPr="00AF591B">
        <w:t xml:space="preserve"> v politice vojenské mobility v rámci snahy EU zajistit do roku 2030 obrannou připravenost, ale také v jeho roli v rámci demokratického dohledu na činností EU; žádá tudíž Komisi, aby zajišťovala systematičtější navazující opatření a přísnější podávání zpráv v souvislosti s opatřeními v oblasti vojenské mobility, jejího provádění a financování, a to i pokud jde o spolupráci mezi EU a NATO a PESCO;</w:t>
      </w:r>
    </w:p>
    <w:p w14:paraId="38401A09" w14:textId="77777777" w:rsidR="008B35A2" w:rsidRDefault="008B35A2" w:rsidP="008B35A2">
      <w:pPr>
        <w:pStyle w:val="NormalHanging12a"/>
      </w:pPr>
    </w:p>
    <w:p w14:paraId="4DCED0F9" w14:textId="1233B282" w:rsidR="00F153A1" w:rsidRDefault="00F153A1" w:rsidP="00F153A1">
      <w:pPr>
        <w:pStyle w:val="NormalHanging12a"/>
        <w:ind w:left="0" w:firstLine="0"/>
        <w:jc w:val="center"/>
      </w:pPr>
      <w:r>
        <w:t>°</w:t>
      </w:r>
    </w:p>
    <w:p w14:paraId="7F14E9EA" w14:textId="605EA9FF" w:rsidR="00F153A1" w:rsidRDefault="00F153A1" w:rsidP="00F153A1">
      <w:pPr>
        <w:pStyle w:val="NormalHanging12a"/>
        <w:ind w:left="0" w:firstLine="0"/>
        <w:jc w:val="center"/>
      </w:pPr>
      <w:r>
        <w:t>°     °</w:t>
      </w:r>
    </w:p>
    <w:p w14:paraId="62CC6D48" w14:textId="28574AC1" w:rsidR="00AF591B" w:rsidRPr="00AF591B" w:rsidRDefault="008B35A2" w:rsidP="00AF591B">
      <w:pPr>
        <w:pStyle w:val="NormalHanging12a"/>
      </w:pPr>
      <w:r w:rsidRPr="00AF591B">
        <w:lastRenderedPageBreak/>
        <w:t>99.</w:t>
      </w:r>
      <w:r w:rsidRPr="00AF591B">
        <w:tab/>
        <w:t>pověřuje svou předsedkyni, aby předala toto usnesení Radě, Komisi, NATO, Parlamentnímu shromáždění NATO, agenturám EU působícím v oblasti bezpečnosti a obrany a vládám a parlamentům členských států.</w:t>
      </w:r>
    </w:p>
    <w:p w14:paraId="25756CE7" w14:textId="6E08D3B1" w:rsidR="00E365E1" w:rsidRPr="00AF591B" w:rsidRDefault="00E365E1" w:rsidP="00DD0048"/>
    <w:sectPr w:rsidR="00E365E1" w:rsidRPr="00AF591B" w:rsidSect="00AF59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E442A" w14:textId="77777777" w:rsidR="00DD0048" w:rsidRPr="00AF591B" w:rsidRDefault="00DD0048">
      <w:r w:rsidRPr="00AF591B">
        <w:separator/>
      </w:r>
    </w:p>
  </w:endnote>
  <w:endnote w:type="continuationSeparator" w:id="0">
    <w:p w14:paraId="4B104073" w14:textId="77777777" w:rsidR="00DD0048" w:rsidRPr="00AF591B" w:rsidRDefault="00DD0048">
      <w:r w:rsidRPr="00AF59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0654E" w14:textId="77777777" w:rsidR="00064002" w:rsidRPr="00AF59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ED60" w14:textId="77777777" w:rsidR="00064002" w:rsidRPr="00AF59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5C70D" w14:textId="77777777" w:rsidR="00064002" w:rsidRPr="00AF59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199E" w14:textId="77777777" w:rsidR="00DD0048" w:rsidRPr="00AF591B" w:rsidRDefault="00DD0048">
      <w:r w:rsidRPr="00AF591B">
        <w:separator/>
      </w:r>
    </w:p>
  </w:footnote>
  <w:footnote w:type="continuationSeparator" w:id="0">
    <w:p w14:paraId="5DAC2880" w14:textId="77777777" w:rsidR="00DD0048" w:rsidRPr="00AF591B" w:rsidRDefault="00DD0048">
      <w:r w:rsidRPr="00AF591B">
        <w:continuationSeparator/>
      </w:r>
    </w:p>
  </w:footnote>
  <w:footnote w:id="1">
    <w:p w14:paraId="4BAD1DFE" w14:textId="6ACC53AA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proofErr w:type="spellStart"/>
      <w:r w:rsidRPr="00AF591B">
        <w:rPr>
          <w:sz w:val="24"/>
          <w:lang w:val="cs-CZ"/>
        </w:rPr>
        <w:t>Úř</w:t>
      </w:r>
      <w:proofErr w:type="spellEnd"/>
      <w:r w:rsidRPr="00AF591B">
        <w:rPr>
          <w:sz w:val="24"/>
          <w:lang w:val="cs-CZ"/>
        </w:rPr>
        <w:t xml:space="preserve">. </w:t>
      </w:r>
      <w:proofErr w:type="spellStart"/>
      <w:r w:rsidRPr="00AF591B">
        <w:rPr>
          <w:sz w:val="24"/>
          <w:lang w:val="cs-CZ"/>
        </w:rPr>
        <w:t>věst</w:t>
      </w:r>
      <w:proofErr w:type="spellEnd"/>
      <w:r w:rsidRPr="00AF591B">
        <w:rPr>
          <w:sz w:val="24"/>
          <w:lang w:val="cs-CZ"/>
        </w:rPr>
        <w:t xml:space="preserve">. L, 2024/1679, 28.6.2024, </w:t>
      </w:r>
      <w:hyperlink r:id="rId1" w:history="1">
        <w:r w:rsidRPr="00F153A1">
          <w:rPr>
            <w:rStyle w:val="Hyperlink"/>
            <w:sz w:val="24"/>
            <w:lang w:val="cs-CZ"/>
          </w:rPr>
          <w:t>ELI: http://data.europa.eu/eli/reg/2024/1679/oj</w:t>
        </w:r>
      </w:hyperlink>
      <w:r w:rsidRPr="00AF591B">
        <w:rPr>
          <w:sz w:val="24"/>
          <w:lang w:val="cs-CZ"/>
        </w:rPr>
        <w:t>.</w:t>
      </w:r>
    </w:p>
  </w:footnote>
  <w:footnote w:id="2">
    <w:p w14:paraId="4B646E2B" w14:textId="5329DBFC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proofErr w:type="spellStart"/>
      <w:r w:rsidRPr="00AF591B">
        <w:rPr>
          <w:sz w:val="24"/>
          <w:lang w:val="cs-CZ"/>
        </w:rPr>
        <w:t>Úř</w:t>
      </w:r>
      <w:proofErr w:type="spellEnd"/>
      <w:r w:rsidRPr="00AF591B">
        <w:rPr>
          <w:sz w:val="24"/>
          <w:lang w:val="cs-CZ"/>
        </w:rPr>
        <w:t xml:space="preserve">. </w:t>
      </w:r>
      <w:proofErr w:type="spellStart"/>
      <w:r w:rsidRPr="00AF591B">
        <w:rPr>
          <w:sz w:val="24"/>
          <w:lang w:val="cs-CZ"/>
        </w:rPr>
        <w:t>věst</w:t>
      </w:r>
      <w:proofErr w:type="spellEnd"/>
      <w:r w:rsidRPr="00AF591B">
        <w:rPr>
          <w:sz w:val="24"/>
          <w:lang w:val="cs-CZ"/>
        </w:rPr>
        <w:t xml:space="preserve">. L 249, 14.7.2021, s. 38, </w:t>
      </w:r>
      <w:hyperlink r:id="rId2" w:history="1">
        <w:r w:rsidRPr="00F153A1">
          <w:rPr>
            <w:rStyle w:val="Hyperlink"/>
            <w:sz w:val="24"/>
            <w:lang w:val="cs-CZ"/>
          </w:rPr>
          <w:t>ELI: http://data.europa.eu/eli/reg/2021/1153/oj</w:t>
        </w:r>
      </w:hyperlink>
      <w:r w:rsidRPr="00AF591B">
        <w:rPr>
          <w:sz w:val="24"/>
          <w:lang w:val="cs-CZ"/>
        </w:rPr>
        <w:t xml:space="preserve">. </w:t>
      </w:r>
    </w:p>
  </w:footnote>
  <w:footnote w:id="3">
    <w:p w14:paraId="66E339BE" w14:textId="7D1ED50F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proofErr w:type="spellStart"/>
      <w:r w:rsidRPr="00AF591B">
        <w:rPr>
          <w:sz w:val="24"/>
          <w:lang w:val="cs-CZ"/>
        </w:rPr>
        <w:t>Úř</w:t>
      </w:r>
      <w:proofErr w:type="spellEnd"/>
      <w:r w:rsidRPr="00AF591B">
        <w:rPr>
          <w:sz w:val="24"/>
          <w:lang w:val="cs-CZ"/>
        </w:rPr>
        <w:t xml:space="preserve">. věst. L 288, 11.8.2021, s. 37, ELI: </w:t>
      </w:r>
      <w:hyperlink r:id="rId3" w:history="1">
        <w:r w:rsidRPr="00F153A1">
          <w:rPr>
            <w:rStyle w:val="Hyperlink"/>
            <w:sz w:val="24"/>
            <w:lang w:val="cs-CZ"/>
          </w:rPr>
          <w:t>http://data.europa.eu/eli/reg_impl/2021/1328/oj</w:t>
        </w:r>
      </w:hyperlink>
      <w:r w:rsidRPr="00AF591B">
        <w:rPr>
          <w:sz w:val="24"/>
          <w:lang w:val="cs-CZ"/>
        </w:rPr>
        <w:t>.</w:t>
      </w:r>
    </w:p>
  </w:footnote>
  <w:footnote w:id="4">
    <w:p w14:paraId="362B0ADC" w14:textId="66B7A6CC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Přijaté texty, P10_TA(2025)0058.</w:t>
      </w:r>
    </w:p>
  </w:footnote>
  <w:footnote w:id="5">
    <w:p w14:paraId="2C4C75C9" w14:textId="0760CE5A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Přijaté texty, P10_TA(2025)0034.</w:t>
      </w:r>
    </w:p>
  </w:footnote>
  <w:footnote w:id="6">
    <w:p w14:paraId="0C4F6E06" w14:textId="059697D9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 xml:space="preserve">Úř. věst. C, C/2024/5716, 17.10.2024, ELI: </w:t>
      </w:r>
      <w:hyperlink r:id="rId4" w:history="1">
        <w:r w:rsidRPr="00F153A1">
          <w:rPr>
            <w:rStyle w:val="Hyperlink"/>
            <w:sz w:val="24"/>
            <w:lang w:val="cs-CZ"/>
          </w:rPr>
          <w:t>http://data.europa.eu/eli/C/2024/5716/oj</w:t>
        </w:r>
      </w:hyperlink>
      <w:r w:rsidRPr="00AF591B">
        <w:rPr>
          <w:sz w:val="24"/>
          <w:lang w:val="cs-CZ"/>
        </w:rPr>
        <w:t>.</w:t>
      </w:r>
    </w:p>
  </w:footnote>
  <w:footnote w:id="7">
    <w:p w14:paraId="5E3C9307" w14:textId="1C8727CA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Úř. věst. C 465, 6.12.2022, s. 164.</w:t>
      </w:r>
    </w:p>
  </w:footnote>
  <w:footnote w:id="8">
    <w:p w14:paraId="54E14BE2" w14:textId="23684ABD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Úř. věst. C 99, 1.3.2022, s. 105.</w:t>
      </w:r>
    </w:p>
  </w:footnote>
  <w:footnote w:id="9">
    <w:p w14:paraId="6228FCDC" w14:textId="162CC12B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Úř. věst. C 388, 13.11.2020, s. 22.</w:t>
      </w:r>
    </w:p>
  </w:footnote>
  <w:footnote w:id="10">
    <w:p w14:paraId="59796301" w14:textId="5DEAEE68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Nařízení Evropského parlamentu a Rady (EU) 2023/2418 ze dne 18. října 2023, kterým se zřizuje nástroj na posílení evropského obranného průmyslu prostřednictvím kolaborativního zadávání veřejných zakázek (EDIRPA) (Úř. věst. L, 2023/2418, 26.10.</w:t>
      </w:r>
      <w:r w:rsidRPr="00195FCE">
        <w:rPr>
          <w:sz w:val="24"/>
          <w:szCs w:val="24"/>
          <w:lang w:val="cs-CZ"/>
        </w:rPr>
        <w:t xml:space="preserve">2023, ELI: </w:t>
      </w:r>
      <w:hyperlink r:id="rId5" w:history="1">
        <w:r w:rsidR="00195FCE" w:rsidRPr="00427F5B">
          <w:rPr>
            <w:rStyle w:val="Hyperlink"/>
            <w:sz w:val="24"/>
            <w:szCs w:val="24"/>
            <w:lang w:val="cs-CZ"/>
          </w:rPr>
          <w:t>http://data.europa.eu/eli/reg/2023/2418/oj</w:t>
        </w:r>
      </w:hyperlink>
      <w:r w:rsidR="00195FCE" w:rsidRPr="00427F5B">
        <w:rPr>
          <w:sz w:val="24"/>
          <w:lang w:val="cs-CZ"/>
        </w:rPr>
        <w:t>).</w:t>
      </w:r>
    </w:p>
  </w:footnote>
  <w:footnote w:id="11">
    <w:p w14:paraId="20D80A76" w14:textId="28B814FC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Nařízení Evropského parlamentu a Rady (EU) 2019/452 ze dne 19. března 2019, kterým se stanoví rámec pro prověřování přímých zahraničních investic směřujících do Unie (Úř. věst. L 79</w:t>
      </w:r>
      <w:r w:rsidR="00AF07D3">
        <w:rPr>
          <w:sz w:val="24"/>
          <w:lang w:val="cs-CZ"/>
        </w:rPr>
        <w:t xml:space="preserve"> </w:t>
      </w:r>
      <w:r w:rsidRPr="00AF591B">
        <w:rPr>
          <w:sz w:val="24"/>
          <w:lang w:val="cs-CZ"/>
        </w:rPr>
        <w:t>I, 21.3.2019, s. 1</w:t>
      </w:r>
      <w:r w:rsidRPr="00195FCE">
        <w:rPr>
          <w:sz w:val="24"/>
          <w:lang w:val="cs-CZ"/>
        </w:rPr>
        <w:t>, ELI</w:t>
      </w:r>
      <w:r w:rsidRPr="00195FCE">
        <w:rPr>
          <w:sz w:val="24"/>
          <w:szCs w:val="24"/>
          <w:lang w:val="cs-CZ"/>
        </w:rPr>
        <w:t xml:space="preserve">: </w:t>
      </w:r>
      <w:hyperlink r:id="rId6" w:history="1">
        <w:r w:rsidR="00195FCE" w:rsidRPr="00427F5B">
          <w:rPr>
            <w:rStyle w:val="Hyperlink"/>
            <w:sz w:val="24"/>
            <w:szCs w:val="24"/>
            <w:lang w:val="fi-FI"/>
          </w:rPr>
          <w:t>http://data.europa.eu/eli/reg/2019/452/oj</w:t>
        </w:r>
      </w:hyperlink>
      <w:r w:rsidR="00195FCE" w:rsidRPr="00427F5B">
        <w:rPr>
          <w:sz w:val="24"/>
          <w:szCs w:val="24"/>
          <w:lang w:val="fi-FI"/>
        </w:rPr>
        <w:t>).</w:t>
      </w:r>
    </w:p>
  </w:footnote>
  <w:footnote w:id="12">
    <w:p w14:paraId="1B161654" w14:textId="6244B659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Přijaté texty, P10_TA(2025)0102.</w:t>
      </w:r>
    </w:p>
  </w:footnote>
  <w:footnote w:id="13">
    <w:p w14:paraId="3963569A" w14:textId="6105159D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>Společné sdělení Komise a vysoké představitelky Unie pro zahraniční věci a bezpečnostní politiku ze dne 16. října 2025 „Zachování míru – Plán obranné připravenosti 2030“, JOIN(2025)0027)</w:t>
      </w:r>
    </w:p>
  </w:footnote>
  <w:footnote w:id="14">
    <w:p w14:paraId="32FE33BA" w14:textId="6B826E27" w:rsidR="008B35A2" w:rsidRPr="00AF591B" w:rsidRDefault="008B35A2" w:rsidP="00AF591B">
      <w:pPr>
        <w:pStyle w:val="FootnoteText"/>
        <w:ind w:left="567" w:hanging="567"/>
        <w:rPr>
          <w:rFonts w:eastAsiaTheme="minorHAnsi"/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 xml:space="preserve">Směrnice Evropského parlamentu a Rady (EU) 2022/2555 ze dne 14. prosince 2022 o opatřeních k zajištění vysoké společné úrovně kybernetické bezpečnosti v Unii a o změně nařízení (EU) č. 910/2014 a směrnice (EU) 2018/1972 a o zrušení směrnice (EU) 2016/1148 (směrnice NIS 2) (Úř. věst. L 333, 27.12.2022, s. 80, ELI: </w:t>
      </w:r>
      <w:hyperlink r:id="rId7" w:history="1">
        <w:r w:rsidRPr="00F153A1">
          <w:rPr>
            <w:rStyle w:val="Hyperlink"/>
            <w:sz w:val="24"/>
            <w:lang w:val="cs-CZ"/>
          </w:rPr>
          <w:t>http://data.europa.eu/eli/dir/2022/2555/oj</w:t>
        </w:r>
      </w:hyperlink>
      <w:r w:rsidRPr="00AF591B">
        <w:rPr>
          <w:sz w:val="24"/>
          <w:lang w:val="cs-CZ"/>
        </w:rPr>
        <w:t>).</w:t>
      </w:r>
    </w:p>
  </w:footnote>
  <w:footnote w:id="15">
    <w:p w14:paraId="5D1341FB" w14:textId="57118E1D" w:rsidR="008B35A2" w:rsidRPr="00AF591B" w:rsidRDefault="008B35A2" w:rsidP="00AF591B">
      <w:pPr>
        <w:pStyle w:val="FootnoteText"/>
        <w:ind w:left="567" w:hanging="567"/>
        <w:rPr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 xml:space="preserve">Směrnice Rady 2009/119/ES ze dne 14. září 2009, kterou se členským státům ukládá povinnost udržovat minimální zásoby ropy nebo ropných produktů (Úř. věst. L 265, 9.10.2009, s. 9, ELI: </w:t>
      </w:r>
      <w:hyperlink r:id="rId8" w:history="1">
        <w:r w:rsidRPr="00F153A1">
          <w:rPr>
            <w:rStyle w:val="Hyperlink"/>
            <w:sz w:val="24"/>
            <w:lang w:val="cs-CZ"/>
          </w:rPr>
          <w:t>http://data.europa.eu/eli/dir/2009/119/oj</w:t>
        </w:r>
      </w:hyperlink>
      <w:r w:rsidRPr="00AF591B">
        <w:rPr>
          <w:sz w:val="24"/>
          <w:lang w:val="cs-CZ"/>
        </w:rPr>
        <w:t>).</w:t>
      </w:r>
    </w:p>
  </w:footnote>
  <w:footnote w:id="16">
    <w:p w14:paraId="46D72B1A" w14:textId="21706A5F" w:rsidR="008B35A2" w:rsidRPr="00AF591B" w:rsidRDefault="008B35A2" w:rsidP="00AF591B">
      <w:pPr>
        <w:pStyle w:val="FootnoteText"/>
        <w:ind w:left="567" w:hanging="567"/>
        <w:rPr>
          <w:rFonts w:eastAsiaTheme="minorHAnsi"/>
          <w:sz w:val="24"/>
          <w:lang w:val="cs-CZ"/>
        </w:rPr>
      </w:pPr>
      <w:r w:rsidRPr="00AF591B">
        <w:rPr>
          <w:rStyle w:val="FootnoteReference"/>
          <w:sz w:val="24"/>
          <w:lang w:val="cs-CZ"/>
        </w:rPr>
        <w:footnoteRef/>
      </w:r>
      <w:r w:rsidR="00AF591B" w:rsidRPr="00AF591B">
        <w:rPr>
          <w:sz w:val="24"/>
          <w:lang w:val="cs-CZ"/>
        </w:rPr>
        <w:t xml:space="preserve"> </w:t>
      </w:r>
      <w:r w:rsidR="00AF591B" w:rsidRPr="00AF591B">
        <w:rPr>
          <w:sz w:val="24"/>
          <w:lang w:val="cs-CZ"/>
        </w:rPr>
        <w:tab/>
      </w:r>
      <w:r w:rsidRPr="00AF591B">
        <w:rPr>
          <w:sz w:val="24"/>
          <w:lang w:val="cs-CZ"/>
        </w:rPr>
        <w:t xml:space="preserve">Nařízení Evropského parlamentu a Rady (EU) 2023/1804 ze dne 13. září 2023 o zavádění infrastruktury pro alternativní paliva a o zrušení směrnice 2014/94/EU (Úř. věst. L 234, 22.9.2023, s. 1, ELI: </w:t>
      </w:r>
      <w:hyperlink r:id="rId9" w:history="1">
        <w:r w:rsidRPr="00F153A1">
          <w:rPr>
            <w:rStyle w:val="Hyperlink"/>
            <w:sz w:val="24"/>
            <w:lang w:val="cs-CZ"/>
          </w:rPr>
          <w:t>http://data.europa.eu/eli/reg/2023/1804/oj</w:t>
        </w:r>
      </w:hyperlink>
      <w:r w:rsidRPr="00AF591B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DD967" w14:textId="77777777" w:rsidR="00064002" w:rsidRPr="00AF59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0450" w14:textId="77777777" w:rsidR="00064002" w:rsidRPr="00AF59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0C4F9" w14:textId="77777777" w:rsidR="00064002" w:rsidRPr="00AF59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0276A268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F677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6A50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AB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4229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00E8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8AB3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414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8435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F926F22A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30E164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7B82C9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ED86FD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5C295D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DF2237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4AD86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7321D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CBACA3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90159560">
    <w:abstractNumId w:val="9"/>
  </w:num>
  <w:num w:numId="2" w16cid:durableId="863205264">
    <w:abstractNumId w:val="9"/>
  </w:num>
  <w:num w:numId="3" w16cid:durableId="1252197159">
    <w:abstractNumId w:val="7"/>
  </w:num>
  <w:num w:numId="4" w16cid:durableId="552931920">
    <w:abstractNumId w:val="7"/>
  </w:num>
  <w:num w:numId="5" w16cid:durableId="1671643294">
    <w:abstractNumId w:val="6"/>
  </w:num>
  <w:num w:numId="6" w16cid:durableId="752510236">
    <w:abstractNumId w:val="6"/>
  </w:num>
  <w:num w:numId="7" w16cid:durableId="206452458">
    <w:abstractNumId w:val="5"/>
  </w:num>
  <w:num w:numId="8" w16cid:durableId="611088695">
    <w:abstractNumId w:val="5"/>
  </w:num>
  <w:num w:numId="9" w16cid:durableId="1316951304">
    <w:abstractNumId w:val="4"/>
  </w:num>
  <w:num w:numId="10" w16cid:durableId="1314406377">
    <w:abstractNumId w:val="4"/>
  </w:num>
  <w:num w:numId="11" w16cid:durableId="1519851920">
    <w:abstractNumId w:val="8"/>
  </w:num>
  <w:num w:numId="12" w16cid:durableId="1684630933">
    <w:abstractNumId w:val="8"/>
  </w:num>
  <w:num w:numId="13" w16cid:durableId="746734955">
    <w:abstractNumId w:val="3"/>
  </w:num>
  <w:num w:numId="14" w16cid:durableId="366150905">
    <w:abstractNumId w:val="3"/>
  </w:num>
  <w:num w:numId="15" w16cid:durableId="1739130482">
    <w:abstractNumId w:val="2"/>
  </w:num>
  <w:num w:numId="16" w16cid:durableId="2143309934">
    <w:abstractNumId w:val="2"/>
  </w:num>
  <w:num w:numId="17" w16cid:durableId="20712239">
    <w:abstractNumId w:val="1"/>
  </w:num>
  <w:num w:numId="18" w16cid:durableId="1822457374">
    <w:abstractNumId w:val="1"/>
  </w:num>
  <w:num w:numId="19" w16cid:durableId="1408579145">
    <w:abstractNumId w:val="0"/>
  </w:num>
  <w:num w:numId="20" w16cid:durableId="1136601646">
    <w:abstractNumId w:val="0"/>
  </w:num>
  <w:num w:numId="21" w16cid:durableId="1019047183">
    <w:abstractNumId w:val="9"/>
  </w:num>
  <w:num w:numId="22" w16cid:durableId="1413359853">
    <w:abstractNumId w:val="7"/>
  </w:num>
  <w:num w:numId="23" w16cid:durableId="376054580">
    <w:abstractNumId w:val="6"/>
  </w:num>
  <w:num w:numId="24" w16cid:durableId="1889610355">
    <w:abstractNumId w:val="5"/>
  </w:num>
  <w:num w:numId="25" w16cid:durableId="855340028">
    <w:abstractNumId w:val="4"/>
  </w:num>
  <w:num w:numId="26" w16cid:durableId="1077094010">
    <w:abstractNumId w:val="8"/>
  </w:num>
  <w:num w:numId="27" w16cid:durableId="1502432718">
    <w:abstractNumId w:val="3"/>
  </w:num>
  <w:num w:numId="28" w16cid:durableId="1017924907">
    <w:abstractNumId w:val="2"/>
  </w:num>
  <w:num w:numId="29" w16cid:durableId="1003166489">
    <w:abstractNumId w:val="1"/>
  </w:num>
  <w:num w:numId="30" w16cid:durableId="360282155">
    <w:abstractNumId w:val="0"/>
  </w:num>
  <w:num w:numId="31" w16cid:durableId="1236624465">
    <w:abstractNumId w:val="9"/>
  </w:num>
  <w:num w:numId="32" w16cid:durableId="772751768">
    <w:abstractNumId w:val="7"/>
  </w:num>
  <w:num w:numId="33" w16cid:durableId="444468000">
    <w:abstractNumId w:val="6"/>
  </w:num>
  <w:num w:numId="34" w16cid:durableId="788860101">
    <w:abstractNumId w:val="5"/>
  </w:num>
  <w:num w:numId="35" w16cid:durableId="1341587867">
    <w:abstractNumId w:val="4"/>
  </w:num>
  <w:num w:numId="36" w16cid:durableId="147479804">
    <w:abstractNumId w:val="8"/>
  </w:num>
  <w:num w:numId="37" w16cid:durableId="2100518080">
    <w:abstractNumId w:val="3"/>
  </w:num>
  <w:num w:numId="38" w16cid:durableId="662781921">
    <w:abstractNumId w:val="2"/>
  </w:num>
  <w:num w:numId="39" w16cid:durableId="1847480950">
    <w:abstractNumId w:val="1"/>
  </w:num>
  <w:num w:numId="40" w16cid:durableId="1918633652">
    <w:abstractNumId w:val="0"/>
  </w:num>
  <w:num w:numId="41" w16cid:durableId="1768696349">
    <w:abstractNumId w:val="10"/>
  </w:num>
  <w:num w:numId="42" w16cid:durableId="1537154250">
    <w:abstractNumId w:val="10"/>
  </w:num>
  <w:num w:numId="43" w16cid:durableId="1829898881">
    <w:abstractNumId w:val="10"/>
  </w:num>
  <w:num w:numId="44" w16cid:durableId="466825072">
    <w:abstractNumId w:val="11"/>
  </w:num>
  <w:num w:numId="45" w16cid:durableId="1235819932">
    <w:abstractNumId w:val="12"/>
  </w:num>
  <w:num w:numId="46" w16cid:durableId="2041048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2/2025"/>
    <w:docVar w:name="dvlangue" w:val="CS"/>
    <w:docVar w:name="dvnumam" w:val="0"/>
    <w:docVar w:name="dvpe" w:val="774.374"/>
    <w:docVar w:name="dvrapporteur" w:val="Zpravodajové: "/>
    <w:docVar w:name="dvtitre" w:val="Usnesení Evropského parlamentu ze dne.... 2025 o vojenské mobilitě(2025/2090(INI))"/>
  </w:docVars>
  <w:rsids>
    <w:rsidRoot w:val="00DD0048"/>
    <w:rsid w:val="00002272"/>
    <w:rsid w:val="00064002"/>
    <w:rsid w:val="000677B9"/>
    <w:rsid w:val="000831BA"/>
    <w:rsid w:val="000A42CC"/>
    <w:rsid w:val="000E162B"/>
    <w:rsid w:val="000E7DD9"/>
    <w:rsid w:val="0010095E"/>
    <w:rsid w:val="00125B37"/>
    <w:rsid w:val="00187494"/>
    <w:rsid w:val="00195FCE"/>
    <w:rsid w:val="001F32AE"/>
    <w:rsid w:val="0027048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F5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2C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5A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7D3"/>
    <w:rsid w:val="00AF3B82"/>
    <w:rsid w:val="00AF591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394"/>
    <w:rsid w:val="00C941CB"/>
    <w:rsid w:val="00CC2357"/>
    <w:rsid w:val="00CF071A"/>
    <w:rsid w:val="00D058B8"/>
    <w:rsid w:val="00D56C11"/>
    <w:rsid w:val="00D67656"/>
    <w:rsid w:val="00D834A0"/>
    <w:rsid w:val="00D872DF"/>
    <w:rsid w:val="00D91E21"/>
    <w:rsid w:val="00DA7FCD"/>
    <w:rsid w:val="00DD004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3A1"/>
    <w:rsid w:val="00F5134D"/>
    <w:rsid w:val="00F74202"/>
    <w:rsid w:val="00F87713"/>
    <w:rsid w:val="00FA51F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EAF9D"/>
  <w15:chartTrackingRefBased/>
  <w15:docId w15:val="{BB91214F-4C17-4375-87B7-84B8550C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B35A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B35A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B35A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B35A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B35A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B35A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8B35A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8B35A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8B35A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8B35A2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8B35A2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8B35A2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8B35A2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8B35A2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8B35A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8B35A2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8B35A2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8B35A2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8B35A2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8B35A2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rsid w:val="008B35A2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8B35A2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8B35A2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8B35A2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8B35A2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8B35A2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8B35A2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8B35A2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8B35A2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8B35A2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8B35A2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8B35A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8B35A2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8B35A2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8B35A2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8B35A2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8B35A2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8B35A2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8B35A2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8B35A2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8B35A2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8B35A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8B35A2"/>
    <w:pPr>
      <w:spacing w:before="240" w:after="240"/>
      <w:jc w:val="right"/>
    </w:pPr>
  </w:style>
  <w:style w:type="paragraph" w:customStyle="1" w:styleId="AnnexWPDate">
    <w:name w:val="AnnexWPDate"/>
    <w:basedOn w:val="Normal"/>
    <w:rsid w:val="008B35A2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8B35A2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8B35A2"/>
    <w:pPr>
      <w:spacing w:before="120" w:after="120"/>
    </w:pPr>
  </w:style>
  <w:style w:type="paragraph" w:customStyle="1" w:styleId="AnnexWPSmall">
    <w:name w:val="AnnexWPSmall"/>
    <w:basedOn w:val="Normal"/>
    <w:rsid w:val="008B35A2"/>
    <w:rPr>
      <w:smallCaps/>
      <w:sz w:val="20"/>
    </w:rPr>
  </w:style>
  <w:style w:type="paragraph" w:customStyle="1" w:styleId="AnnexWPTabs">
    <w:name w:val="AnnexWPTabs"/>
    <w:basedOn w:val="Normal"/>
    <w:rsid w:val="008B35A2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8B35A2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8B35A2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8B35A2"/>
    <w:pPr>
      <w:spacing w:after="240"/>
      <w:ind w:left="1418"/>
    </w:pPr>
  </w:style>
  <w:style w:type="paragraph" w:customStyle="1" w:styleId="Confidential">
    <w:name w:val="Confidential"/>
    <w:basedOn w:val="Normal"/>
    <w:rsid w:val="008B35A2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8B35A2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8B35A2"/>
    <w:pPr>
      <w:spacing w:before="240" w:after="1200"/>
    </w:pPr>
  </w:style>
  <w:style w:type="paragraph" w:customStyle="1" w:styleId="CoverDocType">
    <w:name w:val="CoverDocType"/>
    <w:basedOn w:val="Normal"/>
    <w:rsid w:val="008B35A2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8B35A2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8B35A2"/>
    <w:pPr>
      <w:spacing w:after="240"/>
      <w:jc w:val="center"/>
    </w:pPr>
  </w:style>
  <w:style w:type="paragraph" w:customStyle="1" w:styleId="Normal6a">
    <w:name w:val="Normal6a"/>
    <w:basedOn w:val="Normal"/>
    <w:rsid w:val="008B35A2"/>
    <w:pPr>
      <w:spacing w:after="120"/>
    </w:pPr>
  </w:style>
  <w:style w:type="paragraph" w:customStyle="1" w:styleId="NormalBold12b">
    <w:name w:val="NormalBold12b"/>
    <w:basedOn w:val="Normal"/>
    <w:rsid w:val="008B35A2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8B35A2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8B35A2"/>
    <w:rPr>
      <w:b/>
    </w:rPr>
  </w:style>
  <w:style w:type="character" w:customStyle="1" w:styleId="BoldItalic">
    <w:name w:val="BoldItalic"/>
    <w:uiPriority w:val="1"/>
    <w:rsid w:val="008B35A2"/>
    <w:rPr>
      <w:b/>
      <w:i/>
      <w:u w:val="none"/>
    </w:rPr>
  </w:style>
  <w:style w:type="character" w:customStyle="1" w:styleId="BoldItalicUnderline">
    <w:name w:val="BoldItalicUnderline"/>
    <w:uiPriority w:val="1"/>
    <w:rsid w:val="008B35A2"/>
    <w:rPr>
      <w:b/>
      <w:i/>
      <w:u w:val="single"/>
    </w:rPr>
  </w:style>
  <w:style w:type="character" w:customStyle="1" w:styleId="BoldUnderline">
    <w:name w:val="BoldUnderline"/>
    <w:uiPriority w:val="1"/>
    <w:rsid w:val="008B35A2"/>
    <w:rPr>
      <w:b/>
      <w:u w:val="single"/>
    </w:rPr>
  </w:style>
  <w:style w:type="paragraph" w:customStyle="1" w:styleId="CoverNormalLeft">
    <w:name w:val="CoverNormalLeft"/>
    <w:basedOn w:val="CoverNormal"/>
    <w:qFormat/>
    <w:rsid w:val="008B35A2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8B35A2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8B35A2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8B35A2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8B35A2"/>
    <w:rPr>
      <w:i/>
    </w:rPr>
  </w:style>
  <w:style w:type="character" w:customStyle="1" w:styleId="ItalicUnderline">
    <w:name w:val="ItalicUnderline"/>
    <w:uiPriority w:val="1"/>
    <w:rsid w:val="008B35A2"/>
    <w:rPr>
      <w:i/>
      <w:u w:val="single"/>
    </w:rPr>
  </w:style>
  <w:style w:type="paragraph" w:customStyle="1" w:styleId="LegendSign">
    <w:name w:val="LegendSign"/>
    <w:basedOn w:val="Normal"/>
    <w:qFormat/>
    <w:rsid w:val="008B35A2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8B35A2"/>
    <w:pPr>
      <w:ind w:left="0" w:firstLine="0"/>
    </w:pPr>
  </w:style>
  <w:style w:type="paragraph" w:customStyle="1" w:styleId="LegendTitle">
    <w:name w:val="LegendTitle"/>
    <w:basedOn w:val="Normal"/>
    <w:qFormat/>
    <w:rsid w:val="008B35A2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8B35A2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8B35A2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8B35A2"/>
    <w:pPr>
      <w:spacing w:after="240"/>
    </w:pPr>
  </w:style>
  <w:style w:type="paragraph" w:customStyle="1" w:styleId="Normal12b">
    <w:name w:val="Normal12b"/>
    <w:basedOn w:val="Normal"/>
    <w:qFormat/>
    <w:rsid w:val="008B35A2"/>
    <w:pPr>
      <w:spacing w:before="240"/>
    </w:pPr>
  </w:style>
  <w:style w:type="paragraph" w:customStyle="1" w:styleId="NormalBoldUnderline24b">
    <w:name w:val="NormalBoldUnderline24b"/>
    <w:basedOn w:val="Normal"/>
    <w:qFormat/>
    <w:rsid w:val="008B35A2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8B35A2"/>
    <w:pPr>
      <w:spacing w:after="240"/>
    </w:pPr>
  </w:style>
  <w:style w:type="paragraph" w:customStyle="1" w:styleId="Normal12aBullet1">
    <w:name w:val="Normal12aBullet1"/>
    <w:basedOn w:val="Normal"/>
    <w:qFormat/>
    <w:rsid w:val="008B35A2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8B35A2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8B35A2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8B35A2"/>
    <w:pPr>
      <w:ind w:left="1417"/>
    </w:pPr>
  </w:style>
  <w:style w:type="paragraph" w:customStyle="1" w:styleId="NormalHanging12a3">
    <w:name w:val="NormalHanging12a3"/>
    <w:basedOn w:val="NormalHanging12a2"/>
    <w:qFormat/>
    <w:rsid w:val="008B35A2"/>
    <w:pPr>
      <w:ind w:left="1843"/>
    </w:pPr>
  </w:style>
  <w:style w:type="paragraph" w:customStyle="1" w:styleId="NormalHanging12a4">
    <w:name w:val="NormalHanging12a4"/>
    <w:basedOn w:val="NormalHanging12a3"/>
    <w:qFormat/>
    <w:rsid w:val="008B35A2"/>
    <w:pPr>
      <w:ind w:left="2268"/>
    </w:pPr>
  </w:style>
  <w:style w:type="paragraph" w:customStyle="1" w:styleId="NormalHanging12a5">
    <w:name w:val="NormalHanging12a5"/>
    <w:basedOn w:val="NormalHanging12a4"/>
    <w:qFormat/>
    <w:rsid w:val="008B35A2"/>
    <w:pPr>
      <w:ind w:left="2693"/>
    </w:pPr>
  </w:style>
  <w:style w:type="paragraph" w:customStyle="1" w:styleId="NormalHanging12a6">
    <w:name w:val="NormalHanging12a6"/>
    <w:basedOn w:val="NormalHanging12a5"/>
    <w:qFormat/>
    <w:rsid w:val="008B35A2"/>
    <w:pPr>
      <w:ind w:left="3118"/>
    </w:pPr>
  </w:style>
  <w:style w:type="paragraph" w:customStyle="1" w:styleId="NormalHanging12a7">
    <w:name w:val="NormalHanging12a7"/>
    <w:basedOn w:val="NormalHanging12a6"/>
    <w:qFormat/>
    <w:rsid w:val="008B35A2"/>
    <w:pPr>
      <w:ind w:left="3544"/>
    </w:pPr>
  </w:style>
  <w:style w:type="paragraph" w:customStyle="1" w:styleId="NormalHangingCenter">
    <w:name w:val="NormalHangingCenter"/>
    <w:basedOn w:val="Normal"/>
    <w:qFormat/>
    <w:rsid w:val="008B35A2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8B35A2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8B35A2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8B35A2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8B35A2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8B35A2"/>
    <w:rPr>
      <w:b/>
      <w:i/>
    </w:rPr>
  </w:style>
  <w:style w:type="paragraph" w:customStyle="1" w:styleId="NormalBoldItalicCenter6a">
    <w:name w:val="NormalBoldItalicCenter6a"/>
    <w:basedOn w:val="Normal6a"/>
    <w:qFormat/>
    <w:rsid w:val="008B35A2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8B35A2"/>
    <w:rPr>
      <w:i/>
    </w:rPr>
  </w:style>
  <w:style w:type="paragraph" w:customStyle="1" w:styleId="PageHeadingNotTOC">
    <w:name w:val="PageHeadingNotTOC"/>
    <w:basedOn w:val="PageHeading"/>
    <w:rsid w:val="008B35A2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8B35A2"/>
    <w:rPr>
      <w:vertAlign w:val="subscript"/>
    </w:rPr>
  </w:style>
  <w:style w:type="character" w:customStyle="1" w:styleId="SubBold">
    <w:name w:val="SubBold"/>
    <w:uiPriority w:val="1"/>
    <w:qFormat/>
    <w:rsid w:val="008B35A2"/>
    <w:rPr>
      <w:b/>
      <w:vertAlign w:val="subscript"/>
    </w:rPr>
  </w:style>
  <w:style w:type="character" w:customStyle="1" w:styleId="SubBoldItalic">
    <w:name w:val="SubBoldItalic"/>
    <w:uiPriority w:val="1"/>
    <w:rsid w:val="008B35A2"/>
    <w:rPr>
      <w:b/>
      <w:i/>
      <w:vertAlign w:val="subscript"/>
    </w:rPr>
  </w:style>
  <w:style w:type="character" w:customStyle="1" w:styleId="SubItalic">
    <w:name w:val="SubItalic"/>
    <w:uiPriority w:val="1"/>
    <w:qFormat/>
    <w:rsid w:val="008B35A2"/>
    <w:rPr>
      <w:b/>
      <w:i/>
      <w:vertAlign w:val="subscript"/>
    </w:rPr>
  </w:style>
  <w:style w:type="character" w:customStyle="1" w:styleId="Sup">
    <w:name w:val="Sup"/>
    <w:uiPriority w:val="1"/>
    <w:rsid w:val="008B35A2"/>
    <w:rPr>
      <w:vertAlign w:val="superscript"/>
    </w:rPr>
  </w:style>
  <w:style w:type="character" w:customStyle="1" w:styleId="SupBoldItalic">
    <w:name w:val="SupBoldItalic"/>
    <w:uiPriority w:val="1"/>
    <w:qFormat/>
    <w:rsid w:val="008B35A2"/>
    <w:rPr>
      <w:b/>
      <w:i/>
      <w:vertAlign w:val="superscript"/>
    </w:rPr>
  </w:style>
  <w:style w:type="character" w:customStyle="1" w:styleId="Underline">
    <w:name w:val="Underline"/>
    <w:uiPriority w:val="1"/>
    <w:rsid w:val="008B35A2"/>
    <w:rPr>
      <w:u w:val="single"/>
    </w:rPr>
  </w:style>
  <w:style w:type="paragraph" w:customStyle="1" w:styleId="NormalBoldCenter">
    <w:name w:val="NormalBoldCenter"/>
    <w:basedOn w:val="Normal"/>
    <w:rsid w:val="008B35A2"/>
    <w:pPr>
      <w:jc w:val="center"/>
    </w:pPr>
    <w:rPr>
      <w:b/>
    </w:rPr>
  </w:style>
  <w:style w:type="paragraph" w:customStyle="1" w:styleId="ProcedureTable">
    <w:name w:val="ProcedureTable"/>
    <w:basedOn w:val="Normal"/>
    <w:rsid w:val="008B35A2"/>
    <w:rPr>
      <w:sz w:val="20"/>
    </w:rPr>
  </w:style>
  <w:style w:type="paragraph" w:customStyle="1" w:styleId="ProcedureTableBold">
    <w:name w:val="ProcedureTableBold"/>
    <w:basedOn w:val="Normal"/>
    <w:rsid w:val="008B35A2"/>
    <w:rPr>
      <w:b/>
      <w:sz w:val="20"/>
    </w:rPr>
  </w:style>
  <w:style w:type="paragraph" w:customStyle="1" w:styleId="NormalCenter">
    <w:name w:val="NormalCenter"/>
    <w:basedOn w:val="Normal"/>
    <w:rsid w:val="008B35A2"/>
    <w:pPr>
      <w:jc w:val="center"/>
    </w:pPr>
  </w:style>
  <w:style w:type="character" w:customStyle="1" w:styleId="SubBoldItalicUnderline">
    <w:name w:val="SubBoldItalicUnderline"/>
    <w:uiPriority w:val="1"/>
    <w:rsid w:val="008B35A2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8B35A2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8B35A2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8B35A2"/>
    <w:rPr>
      <w:u w:val="single"/>
      <w:vertAlign w:val="subscript"/>
    </w:rPr>
  </w:style>
  <w:style w:type="character" w:customStyle="1" w:styleId="SupBold">
    <w:name w:val="SupBold"/>
    <w:uiPriority w:val="1"/>
    <w:rsid w:val="008B35A2"/>
    <w:rPr>
      <w:b/>
      <w:vertAlign w:val="superscript"/>
    </w:rPr>
  </w:style>
  <w:style w:type="character" w:customStyle="1" w:styleId="SupBoldItalicUnderline">
    <w:name w:val="SupBoldItalicUnderline"/>
    <w:uiPriority w:val="1"/>
    <w:rsid w:val="008B35A2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8B35A2"/>
    <w:rPr>
      <w:b/>
      <w:u w:val="single"/>
      <w:vertAlign w:val="superscript"/>
    </w:rPr>
  </w:style>
  <w:style w:type="character" w:customStyle="1" w:styleId="SupItalic">
    <w:name w:val="SupItalic"/>
    <w:uiPriority w:val="1"/>
    <w:rsid w:val="008B35A2"/>
    <w:rPr>
      <w:i/>
      <w:vertAlign w:val="superscript"/>
    </w:rPr>
  </w:style>
  <w:style w:type="character" w:customStyle="1" w:styleId="SupItalicUnderline">
    <w:name w:val="SupItalicUnderline"/>
    <w:uiPriority w:val="1"/>
    <w:rsid w:val="008B35A2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8B35A2"/>
    <w:rPr>
      <w:u w:val="single"/>
      <w:vertAlign w:val="superscript"/>
    </w:rPr>
  </w:style>
  <w:style w:type="paragraph" w:customStyle="1" w:styleId="Normal24a">
    <w:name w:val="Normal24a"/>
    <w:basedOn w:val="Normal"/>
    <w:rsid w:val="008B35A2"/>
    <w:pPr>
      <w:spacing w:after="480"/>
    </w:pPr>
  </w:style>
  <w:style w:type="paragraph" w:customStyle="1" w:styleId="Normal12a24b">
    <w:name w:val="Normal12a24b"/>
    <w:basedOn w:val="Normal"/>
    <w:rsid w:val="008B35A2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8B35A2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rsid w:val="008B35A2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8B35A2"/>
    <w:rPr>
      <w:snapToGrid w:val="0"/>
      <w:sz w:val="24"/>
      <w:lang w:val="cs-CZ" w:eastAsia="en-US"/>
    </w:rPr>
  </w:style>
  <w:style w:type="paragraph" w:customStyle="1" w:styleId="RollCallVotes">
    <w:name w:val="RollCallVotes"/>
    <w:basedOn w:val="Normal"/>
    <w:rsid w:val="008B35A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8B35A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8B35A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8B35A2"/>
    <w:pPr>
      <w:spacing w:before="120" w:after="120"/>
    </w:pPr>
    <w:rPr>
      <w:snapToGrid w:val="0"/>
      <w:sz w:val="16"/>
      <w:lang w:val="en-GB" w:eastAsia="en-US"/>
    </w:rPr>
  </w:style>
  <w:style w:type="paragraph" w:styleId="Footer">
    <w:name w:val="footer"/>
    <w:basedOn w:val="Normal"/>
    <w:link w:val="FooterChar"/>
    <w:rsid w:val="008B35A2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8B35A2"/>
    <w:rPr>
      <w:snapToGrid w:val="0"/>
      <w:sz w:val="24"/>
      <w:lang w:val="cs-CZ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153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CS/ALL/?uri=CELEX:52025PC018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CS/ALL/?uri=CELEX:52025PC012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25PC0122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9/119/oj" TargetMode="External"/><Relationship Id="rId3" Type="http://schemas.openxmlformats.org/officeDocument/2006/relationships/hyperlink" Target="http://data.europa.eu/eli/reg_impl/2021/1328/oj" TargetMode="External"/><Relationship Id="rId7" Type="http://schemas.openxmlformats.org/officeDocument/2006/relationships/hyperlink" Target="http://data.europa.eu/eli/dir/2022/2555/oj" TargetMode="External"/><Relationship Id="rId2" Type="http://schemas.openxmlformats.org/officeDocument/2006/relationships/hyperlink" Target="ELI:%20http://data.europa.eu/eli/reg/2021/1153/oj" TargetMode="External"/><Relationship Id="rId1" Type="http://schemas.openxmlformats.org/officeDocument/2006/relationships/hyperlink" Target="ELI:%20http://data.europa.eu/eli/reg/2024/1679/oj" TargetMode="External"/><Relationship Id="rId6" Type="http://schemas.openxmlformats.org/officeDocument/2006/relationships/hyperlink" Target="http://data.europa.eu/eli/reg/2019/452/oj" TargetMode="External"/><Relationship Id="rId5" Type="http://schemas.openxmlformats.org/officeDocument/2006/relationships/hyperlink" Target="http://data.europa.eu/eli/reg/2023/2418/oj" TargetMode="External"/><Relationship Id="rId4" Type="http://schemas.openxmlformats.org/officeDocument/2006/relationships/hyperlink" Target="http://data.europa.eu/eli/C/2024/5716/oj" TargetMode="External"/><Relationship Id="rId9" Type="http://schemas.openxmlformats.org/officeDocument/2006/relationships/hyperlink" Target="http://data.europa.eu/eli/reg/2023/180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8221</Words>
  <Characters>50992</Characters>
  <Application>Microsoft Office Word</Application>
  <DocSecurity>4</DocSecurity>
  <Lines>424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GIRGINOV Kiril</cp:lastModifiedBy>
  <cp:revision>2</cp:revision>
  <cp:lastPrinted>2004-11-19T15:42:00Z</cp:lastPrinted>
  <dcterms:created xsi:type="dcterms:W3CDTF">2026-03-23T16:17:00Z</dcterms:created>
  <dcterms:modified xsi:type="dcterms:W3CDTF">2026-03-23T16:17:00Z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A10-0242/2025</vt:lpwstr>
  </property>
  <property fmtid="{D5CDD505-2E9C-101B-9397-08002B2CF9AE}" pid="4" name="&lt;Type&gt;">
    <vt:lpwstr>RR</vt:lpwstr>
  </property>
</Properties>
</file>