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7314" w14:paraId="70F83717" w14:textId="77777777" w:rsidTr="0010095E">
        <w:trPr>
          <w:trHeight w:hRule="exact" w:val="1418"/>
        </w:trPr>
        <w:tc>
          <w:tcPr>
            <w:tcW w:w="6804" w:type="dxa"/>
            <w:shd w:val="clear" w:color="auto" w:fill="auto"/>
            <w:vAlign w:val="center"/>
          </w:tcPr>
          <w:p w14:paraId="7B4A0B53" w14:textId="77777777" w:rsidR="00751A4A" w:rsidRPr="00CB7314" w:rsidRDefault="0063633B" w:rsidP="0010095E">
            <w:pPr>
              <w:pStyle w:val="EPName"/>
            </w:pPr>
            <w:r w:rsidRPr="00CB7314">
              <w:t>Ευρωπαϊκό Κοινοβούλιο</w:t>
            </w:r>
          </w:p>
          <w:p w14:paraId="62A1786B" w14:textId="77777777" w:rsidR="00751A4A" w:rsidRPr="00CB7314" w:rsidRDefault="005F1B17" w:rsidP="005F1B17">
            <w:pPr>
              <w:pStyle w:val="EPTerm"/>
              <w:rPr>
                <w:rStyle w:val="HideTWBExt"/>
                <w:noProof w:val="0"/>
                <w:vanish w:val="0"/>
                <w:color w:val="auto"/>
              </w:rPr>
            </w:pPr>
            <w:r w:rsidRPr="00CB7314">
              <w:t>2024</w:t>
            </w:r>
            <w:r w:rsidR="00817416" w:rsidRPr="00CB7314">
              <w:t>-202</w:t>
            </w:r>
            <w:r w:rsidRPr="00CB7314">
              <w:t>9</w:t>
            </w:r>
          </w:p>
        </w:tc>
        <w:tc>
          <w:tcPr>
            <w:tcW w:w="2268" w:type="dxa"/>
            <w:shd w:val="clear" w:color="auto" w:fill="auto"/>
          </w:tcPr>
          <w:p w14:paraId="67959814" w14:textId="77777777" w:rsidR="00751A4A" w:rsidRPr="00CB7314" w:rsidRDefault="00187494" w:rsidP="0010095E">
            <w:pPr>
              <w:pStyle w:val="EPLogo"/>
            </w:pPr>
            <w:r w:rsidRPr="00CB7314">
              <w:rPr>
                <w:noProof/>
                <w:lang w:eastAsia="ja-JP"/>
              </w:rPr>
              <w:drawing>
                <wp:inline distT="0" distB="0" distL="0" distR="0" wp14:anchorId="4D30B0E2" wp14:editId="5FFE9F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6668E9" w14:textId="77777777" w:rsidR="00D058B8" w:rsidRPr="00CB7314" w:rsidRDefault="00D058B8" w:rsidP="004C5D52">
      <w:pPr>
        <w:pStyle w:val="LineTop"/>
      </w:pPr>
    </w:p>
    <w:p w14:paraId="5CD3A0B6" w14:textId="77777777" w:rsidR="00680577" w:rsidRPr="00CB7314" w:rsidRDefault="0063633B" w:rsidP="00680577">
      <w:pPr>
        <w:pStyle w:val="EPBodyTA1"/>
      </w:pPr>
      <w:r w:rsidRPr="00CB7314">
        <w:t>ΚΕΙΜΕΝΑ ΠΟΥ ΕΓΚΡΙΘΗΚΑΝ</w:t>
      </w:r>
    </w:p>
    <w:p w14:paraId="3DC95FE0" w14:textId="77777777" w:rsidR="00D058B8" w:rsidRPr="00CB7314" w:rsidRDefault="00D058B8" w:rsidP="00D058B8">
      <w:pPr>
        <w:pStyle w:val="LineBottom"/>
      </w:pPr>
    </w:p>
    <w:p w14:paraId="716FF495" w14:textId="45319A15" w:rsidR="0063633B" w:rsidRPr="00CB7314" w:rsidRDefault="0063633B" w:rsidP="0063633B">
      <w:pPr>
        <w:pStyle w:val="ATHeading1"/>
      </w:pPr>
      <w:bookmarkStart w:id="0" w:name="TANumber"/>
      <w:r w:rsidRPr="00CB7314">
        <w:t>P10_TA(2025)0</w:t>
      </w:r>
      <w:r w:rsidR="008A6A7F" w:rsidRPr="00CB7314">
        <w:t>335</w:t>
      </w:r>
      <w:bookmarkEnd w:id="0"/>
    </w:p>
    <w:p w14:paraId="6F06DAA8" w14:textId="66C8F779" w:rsidR="0063633B" w:rsidRPr="00CB7314" w:rsidRDefault="00FC42C1" w:rsidP="0063633B">
      <w:pPr>
        <w:pStyle w:val="ATHeading2"/>
      </w:pPr>
      <w:bookmarkStart w:id="1" w:name="title"/>
      <w:r w:rsidRPr="00CB7314">
        <w:t>Στρατιωτική κινητικότητα</w:t>
      </w:r>
      <w:bookmarkEnd w:id="1"/>
    </w:p>
    <w:p w14:paraId="74FF59D6" w14:textId="77777777" w:rsidR="0063633B" w:rsidRPr="00CB7314" w:rsidRDefault="0063633B" w:rsidP="0063633B">
      <w:pPr>
        <w:rPr>
          <w:i/>
          <w:vanish/>
        </w:rPr>
      </w:pPr>
      <w:r w:rsidRPr="00CB7314">
        <w:rPr>
          <w:i/>
        </w:rPr>
        <w:fldChar w:fldCharType="begin"/>
      </w:r>
      <w:r w:rsidRPr="00CB7314">
        <w:rPr>
          <w:i/>
        </w:rPr>
        <w:instrText xml:space="preserve"> TC"(</w:instrText>
      </w:r>
      <w:bookmarkStart w:id="2" w:name="DocNumber"/>
      <w:r w:rsidRPr="00CB7314">
        <w:rPr>
          <w:i/>
        </w:rPr>
        <w:instrText>A10-0242/2025</w:instrText>
      </w:r>
      <w:bookmarkEnd w:id="2"/>
      <w:r w:rsidRPr="00CB7314">
        <w:rPr>
          <w:i/>
        </w:rPr>
        <w:instrText xml:space="preserve"> - Εισηγητές: Petras Auštrevičius, Roberts Zīle)"\l3 \n&gt; \* MERGEFORMAT </w:instrText>
      </w:r>
      <w:r w:rsidRPr="00CB7314">
        <w:rPr>
          <w:i/>
        </w:rPr>
        <w:fldChar w:fldCharType="end"/>
      </w:r>
    </w:p>
    <w:p w14:paraId="03265BDC" w14:textId="77777777" w:rsidR="0063633B" w:rsidRPr="00CB7314" w:rsidRDefault="0063633B" w:rsidP="0063633B">
      <w:pPr>
        <w:rPr>
          <w:vanish/>
        </w:rPr>
      </w:pPr>
      <w:bookmarkStart w:id="3" w:name="Commission"/>
      <w:r w:rsidRPr="00CB7314">
        <w:rPr>
          <w:vanish/>
        </w:rPr>
        <w:t>Επιτροπή Ασφάλειας και Άμυνας, Επιτροπή Μεταφορών και Τουρισμού</w:t>
      </w:r>
      <w:bookmarkEnd w:id="3"/>
    </w:p>
    <w:p w14:paraId="719EB6CC" w14:textId="77777777" w:rsidR="0063633B" w:rsidRPr="00CB7314" w:rsidRDefault="0063633B" w:rsidP="0063633B">
      <w:pPr>
        <w:rPr>
          <w:vanish/>
        </w:rPr>
      </w:pPr>
      <w:bookmarkStart w:id="4" w:name="PE"/>
      <w:r w:rsidRPr="00CB7314">
        <w:rPr>
          <w:vanish/>
        </w:rPr>
        <w:t>PE774.374</w:t>
      </w:r>
      <w:bookmarkEnd w:id="4"/>
    </w:p>
    <w:p w14:paraId="70D7B2EF" w14:textId="7D8076B0" w:rsidR="0063633B" w:rsidRPr="00CB7314" w:rsidRDefault="0063633B" w:rsidP="0063633B">
      <w:pPr>
        <w:pStyle w:val="ATHeading3"/>
      </w:pPr>
      <w:bookmarkStart w:id="5" w:name="Sujet"/>
      <w:r w:rsidRPr="00CB7314">
        <w:t xml:space="preserve">Ψήφισμα του Ευρωπαϊκού Κοινοβουλίου </w:t>
      </w:r>
      <w:r w:rsidR="00567E27" w:rsidRPr="00CB7314">
        <w:t xml:space="preserve">της </w:t>
      </w:r>
      <w:r w:rsidR="00FC42C1" w:rsidRPr="00CB7314">
        <w:t>17</w:t>
      </w:r>
      <w:r w:rsidR="00567E27" w:rsidRPr="00CB7314">
        <w:t xml:space="preserve">ης Δεκεμβρίου 2025 </w:t>
      </w:r>
      <w:r w:rsidRPr="00CB7314">
        <w:t>σχετικά με τη στρατιωτική κινητικότητα</w:t>
      </w:r>
      <w:bookmarkEnd w:id="5"/>
      <w:r w:rsidRPr="00CB7314">
        <w:t xml:space="preserve"> </w:t>
      </w:r>
      <w:bookmarkStart w:id="6" w:name="References"/>
      <w:r w:rsidRPr="00CB7314">
        <w:t>(2025/2090(INI))</w:t>
      </w:r>
      <w:bookmarkEnd w:id="6"/>
    </w:p>
    <w:p w14:paraId="7A6D13A9" w14:textId="77777777" w:rsidR="008E7C02" w:rsidRPr="00CB7314" w:rsidRDefault="008E7C02" w:rsidP="008E7C02">
      <w:pPr>
        <w:pStyle w:val="EPComma"/>
      </w:pPr>
      <w:r w:rsidRPr="00CB7314">
        <w:rPr>
          <w:rStyle w:val="Italic"/>
        </w:rPr>
        <w:t>Το Ευρωπαϊκό Κοινοβούλιο</w:t>
      </w:r>
      <w:r w:rsidRPr="00CB7314">
        <w:t>,</w:t>
      </w:r>
    </w:p>
    <w:p w14:paraId="459820F9" w14:textId="77777777" w:rsidR="008E7C02" w:rsidRPr="00CB7314" w:rsidRDefault="008E7C02" w:rsidP="00567E27">
      <w:pPr>
        <w:pStyle w:val="NormalHanging12a"/>
      </w:pPr>
      <w:r w:rsidRPr="00CB7314">
        <w:t>–</w:t>
      </w:r>
      <w:r w:rsidRPr="00CB7314">
        <w:tab/>
        <w:t>έχοντας υπόψη τη Συνθήκη για τη λειτουργία της Ευρωπαϊκής Ένωσης και ιδίως τους τίτλους VI και XVI,</w:t>
      </w:r>
    </w:p>
    <w:p w14:paraId="7835BD8E" w14:textId="77777777" w:rsidR="008E7C02" w:rsidRPr="00CB7314" w:rsidRDefault="008E7C02" w:rsidP="00567E27">
      <w:pPr>
        <w:pStyle w:val="NormalHanging12a"/>
      </w:pPr>
      <w:r w:rsidRPr="00CB7314">
        <w:t>–</w:t>
      </w:r>
      <w:r w:rsidRPr="00CB7314">
        <w:tab/>
        <w:t>έχοντας υπόψη τη Συνθήκη για την Ευρωπαϊκή Ένωση, ιδίως τον τίτλο V,</w:t>
      </w:r>
    </w:p>
    <w:p w14:paraId="40B5ED44" w14:textId="0DDFB176" w:rsidR="008E7C02" w:rsidRPr="00CB7314" w:rsidRDefault="008E7C02" w:rsidP="00567E27">
      <w:pPr>
        <w:pStyle w:val="NormalHanging12a"/>
      </w:pPr>
      <w:r w:rsidRPr="00CB7314">
        <w:t>–</w:t>
      </w:r>
      <w:r w:rsidRPr="00CB7314">
        <w:tab/>
        <w:t xml:space="preserve">έχοντας υπόψη τον </w:t>
      </w:r>
      <w:r w:rsidR="00FC42C1" w:rsidRPr="00CB7314">
        <w:t>κ</w:t>
      </w:r>
      <w:r w:rsidRPr="00CB7314">
        <w:t>ανονισμό (ΕΕ) 2024/1679 του Ευρωπαϊκού Κοινοβουλίου και του Συμβουλίου, της 13ης Ιουνίου 2024, περί των προσανατολισμών της Ένωσης για την ανάπτυξη του διευρωπαϊκού δικτύου μεταφορών, για την τροποποίηση των κανονισμών (ΕΕ) 2021/1153 και (ΕΕ) αριθ. 913/2010 και την κατάργηση του κανονισμού (ΕΕ) αριθ.</w:t>
      </w:r>
      <w:r w:rsidR="004D7211" w:rsidRPr="00CB7314">
        <w:t xml:space="preserve"> </w:t>
      </w:r>
      <w:r w:rsidRPr="00CB7314">
        <w:t>1315/2013</w:t>
      </w:r>
      <w:r w:rsidRPr="00CB7314">
        <w:rPr>
          <w:rStyle w:val="FootnoteReference"/>
        </w:rPr>
        <w:footnoteReference w:id="1"/>
      </w:r>
      <w:r w:rsidRPr="00CB7314">
        <w:t>,</w:t>
      </w:r>
    </w:p>
    <w:p w14:paraId="1E5C2D23" w14:textId="3AC01832" w:rsidR="008E7C02" w:rsidRPr="00CB7314" w:rsidRDefault="008E7C02" w:rsidP="00567E27">
      <w:pPr>
        <w:pStyle w:val="NormalHanging12a"/>
      </w:pPr>
      <w:r w:rsidRPr="00CB7314">
        <w:t>–</w:t>
      </w:r>
      <w:r w:rsidRPr="00CB7314">
        <w:tab/>
        <w:t>έχοντας υπόψη τον κανονισμό (ΕΕ) 2021/1153 του Ευρωπαϊκού Κοινοβουλίου και του Συμβουλίου, της 7ης Ιουλίου 2021, για τη σύσταση του μηχανισμού «Συνδέοντας την Ευρώπη» και την κατάργηση των κανονισμών (ΕΕ) αριθ. 1316/2013 και (ΕΕ) αριθ.</w:t>
      </w:r>
      <w:r w:rsidR="004D7211" w:rsidRPr="00CB7314">
        <w:t xml:space="preserve"> </w:t>
      </w:r>
      <w:r w:rsidRPr="00CB7314">
        <w:t>283/2014</w:t>
      </w:r>
      <w:r w:rsidRPr="00CB7314">
        <w:rPr>
          <w:rStyle w:val="FootnoteReference"/>
        </w:rPr>
        <w:footnoteReference w:id="2"/>
      </w:r>
      <w:r w:rsidRPr="00CB7314">
        <w:t>,</w:t>
      </w:r>
    </w:p>
    <w:p w14:paraId="513C4C9D" w14:textId="17CEFD64" w:rsidR="008E7C02" w:rsidRPr="00CB7314" w:rsidRDefault="008E7C02" w:rsidP="00567E27">
      <w:pPr>
        <w:pStyle w:val="NormalHanging12a"/>
      </w:pPr>
      <w:r w:rsidRPr="00CB7314">
        <w:t>–</w:t>
      </w:r>
      <w:r w:rsidRPr="00CB7314">
        <w:tab/>
        <w:t>έχοντας υπόψη τα συμπεράσματα του Ευρωπαϊκού Συμβουλίου, ιδίως εκείνα της 26ης</w:t>
      </w:r>
      <w:r w:rsidR="004D7211" w:rsidRPr="00CB7314">
        <w:t> </w:t>
      </w:r>
      <w:r w:rsidRPr="00CB7314">
        <w:t>Ιουνίου 2025, της 6ης Μαρτίου 2025, της 21ης και 22ας Μαρτίου 2024, της 14ης</w:t>
      </w:r>
      <w:r w:rsidR="004D7211" w:rsidRPr="00CB7314">
        <w:t> </w:t>
      </w:r>
      <w:r w:rsidRPr="00CB7314">
        <w:t>και 15ης Δεκεμβρίου 2023, της 29ης και 30ής Ιουνίου 2023, της 15ης Δεκεμβρίου 2022</w:t>
      </w:r>
      <w:r w:rsidR="006A0243" w:rsidRPr="00CB7314">
        <w:t>,</w:t>
      </w:r>
      <w:r w:rsidRPr="00CB7314">
        <w:t xml:space="preserve"> και της 30ής και 31ης Μαΐου 2022,</w:t>
      </w:r>
    </w:p>
    <w:p w14:paraId="11540605" w14:textId="34F7DC52" w:rsidR="008E7C02" w:rsidRPr="00CB7314" w:rsidRDefault="008E7C02" w:rsidP="00567E27">
      <w:pPr>
        <w:pStyle w:val="NormalHanging12a"/>
      </w:pPr>
      <w:r w:rsidRPr="00CB7314">
        <w:t>–</w:t>
      </w:r>
      <w:r w:rsidRPr="00CB7314">
        <w:tab/>
        <w:t>έχοντας υπόψη τα συμπεράσματα του Συμβουλίου της 6ης Δεκεμβρίου 2024, της 18ης</w:t>
      </w:r>
      <w:r w:rsidR="004D7211" w:rsidRPr="00CB7314">
        <w:t> </w:t>
      </w:r>
      <w:r w:rsidRPr="00CB7314">
        <w:t>Νοεμβρίου 2024, της 13ης Ιουνίου 2024, της 27ης Μαΐου 2024, της 24ης</w:t>
      </w:r>
      <w:r w:rsidR="004D7211" w:rsidRPr="00CB7314">
        <w:t> </w:t>
      </w:r>
      <w:r w:rsidRPr="00CB7314">
        <w:t>Οκτωβρίου 2023, της 24ης Ιανουαρίου 2022 και της 22ας Ιανουαρίου 2018,</w:t>
      </w:r>
    </w:p>
    <w:p w14:paraId="5F779F44" w14:textId="5C4BC812" w:rsidR="008E7C02" w:rsidRPr="00CB7314" w:rsidRDefault="008E7C02" w:rsidP="00567E27">
      <w:pPr>
        <w:pStyle w:val="NormalHanging12a"/>
      </w:pPr>
      <w:r w:rsidRPr="00CB7314">
        <w:t>–</w:t>
      </w:r>
      <w:r w:rsidRPr="00CB7314">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10ης</w:t>
      </w:r>
      <w:r w:rsidR="00FC42C1" w:rsidRPr="00CB7314">
        <w:t> </w:t>
      </w:r>
      <w:r w:rsidRPr="00CB7314">
        <w:t>Νοεμβρίου 2017, με τίτλο «Βελτίωση της στρατιωτικής κινητικότητας στην Ευρωπαϊκή Ένωση» (JOIN(2017)0041),</w:t>
      </w:r>
    </w:p>
    <w:p w14:paraId="0B25EF6A" w14:textId="77777777" w:rsidR="008E7C02" w:rsidRPr="00CB7314" w:rsidRDefault="008E7C02" w:rsidP="00567E27">
      <w:pPr>
        <w:pStyle w:val="NormalHanging12a"/>
      </w:pPr>
      <w:r w:rsidRPr="00CB7314">
        <w:lastRenderedPageBreak/>
        <w:t>–</w:t>
      </w:r>
      <w:r w:rsidRPr="00CB7314">
        <w:tab/>
        <w:t>έχοντας υπόψη τον Εκτελεστικό κανονισμό (ΕΕ) 2021/1328 της Επιτροπής, της 10ης Αυγούστου 2021, σχετικά με τον καθορισμό των απαιτήσεων για τις υποδομές που εφαρμόζονται σε ορισμένες κατηγορίες δράσεων υποδομών διπλής χρήσης δυνάμει του κανονισμού (ΕΕ) 2021/1153 του Ευρωπαϊκού Κοινοβουλίου και του Συμβουλίου</w:t>
      </w:r>
      <w:r w:rsidRPr="00CB7314">
        <w:rPr>
          <w:rStyle w:val="FootnoteReference"/>
        </w:rPr>
        <w:footnoteReference w:id="3"/>
      </w:r>
      <w:r w:rsidRPr="00CB7314">
        <w:t>,</w:t>
      </w:r>
    </w:p>
    <w:p w14:paraId="495E64B6" w14:textId="77777777" w:rsidR="008E7C02" w:rsidRPr="00CB7314" w:rsidRDefault="008E7C02" w:rsidP="00567E27">
      <w:pPr>
        <w:pStyle w:val="NormalHanging12a"/>
      </w:pPr>
      <w:r w:rsidRPr="00CB7314">
        <w:t>–</w:t>
      </w:r>
      <w:r w:rsidRPr="00CB7314">
        <w:tab/>
        <w:t>έχοντας υπόψη την κοινή έκθεση της Επιτροπής και του Ύπατου Εκπροσώπου της Ένωσης για θέματα εξωτερικής πολιτικής και πολιτικής ασφαλείας της 24ης Σεπτεμβρίου 2021 σχετικά με την εφαρμογή του σχεδίου δράσης για τη στρατιωτική κινητικότητα από τον Οκτώβριο του 2020 έως τον Σεπτέμβριο του 2021 (JOIN(2021)0026),</w:t>
      </w:r>
    </w:p>
    <w:p w14:paraId="454A8497" w14:textId="6DEC10DA" w:rsidR="008E7C02" w:rsidRPr="00CB7314" w:rsidRDefault="008E7C02" w:rsidP="00567E27">
      <w:pPr>
        <w:pStyle w:val="NormalHanging12a"/>
      </w:pPr>
      <w:r w:rsidRPr="00CB7314">
        <w:t>–</w:t>
      </w:r>
      <w:r w:rsidRPr="00CB7314">
        <w:tab/>
        <w:t>έχοντας υπόψη τη στρατηγική πυξίδα για την ασφάλεια και την άμυνα – Για μια Ευρωπαϊκή Ένωση που προστατεύει τους πολίτες, τις αξίες και τα συμφέροντά της και συμβάλλει στη διεθνή ειρήνη και ασφάλεια, την οποία ενέκρινε το Συμβούλιο στις 21</w:t>
      </w:r>
      <w:r w:rsidR="004D7211" w:rsidRPr="00CB7314">
        <w:t> </w:t>
      </w:r>
      <w:r w:rsidRPr="00CB7314">
        <w:t>Μαρτίου 2022,</w:t>
      </w:r>
    </w:p>
    <w:p w14:paraId="56CD72F7" w14:textId="77777777" w:rsidR="008E7C02" w:rsidRPr="00CB7314" w:rsidRDefault="008E7C02" w:rsidP="00567E27">
      <w:pPr>
        <w:pStyle w:val="NormalHanging12a"/>
      </w:pPr>
      <w:r w:rsidRPr="00CB7314">
        <w:t>–</w:t>
      </w:r>
      <w:r w:rsidRPr="00CB7314">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10ης Νοεμβρίου 2022, με τίτλο «Σχέδιο δράσης για τη στρατιωτική κινητικότητα 2.0» (JOIN(2022)0048),</w:t>
      </w:r>
    </w:p>
    <w:p w14:paraId="22C04CF7" w14:textId="77777777" w:rsidR="008E7C02" w:rsidRPr="00CB7314" w:rsidRDefault="008E7C02" w:rsidP="00567E27">
      <w:pPr>
        <w:pStyle w:val="NormalHanging12a"/>
      </w:pPr>
      <w:r w:rsidRPr="00CB7314">
        <w:t>–</w:t>
      </w:r>
      <w:r w:rsidRPr="00CB7314">
        <w:tab/>
        <w:t>έχοντας υπόψη την κοινή έκθεση της Επιτροπής και του Ύπατου Εκπροσώπου της Ένωσης για θέματα εξωτερικής πολιτικής και πολιτικής ασφαλείας, της 13ης Νοεμβρίου 2023 σχετικά με την εφαρμογή του σχεδίου δράσης για τη στρατιωτική κινητικότητα 2.0 από τον Νοέμβριο του 2022 έως τον Οκτώβριο του 2023 (JOIN(2023)0037),</w:t>
      </w:r>
    </w:p>
    <w:p w14:paraId="46557466" w14:textId="77777777" w:rsidR="008E7C02" w:rsidRPr="00CB7314" w:rsidRDefault="008E7C02" w:rsidP="00567E27">
      <w:pPr>
        <w:pStyle w:val="NormalHanging12a"/>
        <w:rPr>
          <w:bCs/>
          <w:iCs/>
        </w:rPr>
      </w:pPr>
      <w:r w:rsidRPr="00CB7314">
        <w:t>–</w:t>
      </w:r>
      <w:r w:rsidRPr="00CB7314">
        <w:tab/>
        <w:t>έχοντας υπόψη την κοινή ανακοίνωση της Επιτροπής και της Ύπατης Εκπροσώπου της Ένωσης για Θέματα Εξωτερικής Πολιτικής και Πολιτικής Ασφαλείας, της 28ης Μαΐου 2025, με τίτλο «Η στρατηγική προσέγγιση της Ευρωπαϊκής Ένωσης για την περιοχή του Εύξεινου Πόντου» (JOIN(2025)0135),</w:t>
      </w:r>
    </w:p>
    <w:p w14:paraId="575F50A2" w14:textId="77777777" w:rsidR="008E7C02" w:rsidRPr="00CB7314" w:rsidRDefault="008E7C02" w:rsidP="00567E27">
      <w:pPr>
        <w:pStyle w:val="NormalHanging12a"/>
        <w:rPr>
          <w:bCs/>
          <w:iCs/>
        </w:rPr>
      </w:pPr>
      <w:r w:rsidRPr="00CB7314">
        <w:t>–</w:t>
      </w:r>
      <w:r w:rsidRPr="00CB7314">
        <w:tab/>
        <w:t>έχοντας υπόψη τη μελέτη της Επιτροπής σχετικά με τις ανάγκες προσαρμογής στην κλιματική αλλαγή και τις διασυνοριακές επενδύσεις για την υλοποίηση του δικτύου ΔΕΔ-Μ, η οποία δημοσιεύθηκε το 2024,</w:t>
      </w:r>
    </w:p>
    <w:p w14:paraId="7EA5400C" w14:textId="77777777" w:rsidR="008E7C02" w:rsidRPr="00CB7314" w:rsidRDefault="008E7C02" w:rsidP="00567E27">
      <w:pPr>
        <w:pStyle w:val="NormalHanging12a"/>
      </w:pPr>
      <w:r w:rsidRPr="00CB7314">
        <w:t>–</w:t>
      </w:r>
      <w:r w:rsidRPr="00CB7314">
        <w:tab/>
        <w:t>έχοντας υπόψη την κοινή έκθεση της Επιτροπής και της Ύπατης Εκπροσώπου της Ένωσης για Θέματα Εξωτερικής Πολιτικής και Πολιτικής Ασφαλείας της 20ής Μαρτίου 2025 σχετικά με την εφαρμογή του σχεδίου δράσης για τη στρατιωτική κινητικότητα 2.0 σχετικά με την εφαρμογή του σχεδίου δράσης για τη στρατιωτική κινητικότητα 2.0 (JOIN(2025)0011),</w:t>
      </w:r>
    </w:p>
    <w:p w14:paraId="24970D76" w14:textId="77777777" w:rsidR="008E7C02" w:rsidRPr="00CB7314" w:rsidRDefault="008E7C02" w:rsidP="00567E27">
      <w:pPr>
        <w:pStyle w:val="NormalHanging12a"/>
      </w:pPr>
      <w:r w:rsidRPr="00CB7314">
        <w:t>–</w:t>
      </w:r>
      <w:r w:rsidRPr="00CB7314">
        <w:tab/>
        <w:t>έχοντας υπόψη την κοινή λευκή βίβλο της Επιτροπής και της Ύπατης Εκπροσώπου της Ένωσης για θέματα εξωτερικής πολιτικής και πολιτικής ασφαλείας, της 19ης Μαρτίου 2025, με τίτλο «Κοινή λευκή βίβλος για την ευρωπαϊκή αμυντική ετοιμότητα έως το 2030» (JOIN(2025)0120),</w:t>
      </w:r>
    </w:p>
    <w:p w14:paraId="51EC4082" w14:textId="77777777" w:rsidR="008E7C02" w:rsidRPr="00CB7314" w:rsidRDefault="008E7C02" w:rsidP="00567E27">
      <w:pPr>
        <w:pStyle w:val="NormalHanging12a"/>
      </w:pPr>
      <w:r w:rsidRPr="00CB7314">
        <w:lastRenderedPageBreak/>
        <w:t>–</w:t>
      </w:r>
      <w:r w:rsidRPr="00CB7314">
        <w:tab/>
        <w:t>έχοντας υπόψη το αναθεωρημένο παράρτημα II των στρατιωτικών απαιτήσεων για τη στρατιωτική κινητικότητα εντός και εκτός της Ένωσης, όπως εγκρίθηκε από το Συμβούλιο στις 18 Μαρτίου 2025 (ST 6728/25 ADD1),</w:t>
      </w:r>
    </w:p>
    <w:p w14:paraId="6F73907E" w14:textId="109869E1" w:rsidR="008E7C02" w:rsidRPr="00CB7314" w:rsidRDefault="008E7C02" w:rsidP="00567E27">
      <w:pPr>
        <w:pStyle w:val="NormalHanging12a"/>
      </w:pPr>
      <w:r w:rsidRPr="00CB7314">
        <w:t>–</w:t>
      </w:r>
      <w:r w:rsidRPr="00CB7314">
        <w:tab/>
        <w:t xml:space="preserve">έχοντας υπόψη τις ετήσιες εκθέσεις του Ευρωπαϊκού Οργανισμού Άμυνας για το 2022, το 2023 και το 2024, καθώς και τις εκθέσεις του σχετικά με τη στρατιωτική κινητικότητα του Μαρτίου </w:t>
      </w:r>
      <w:r w:rsidR="006A0243" w:rsidRPr="00CB7314">
        <w:t xml:space="preserve">του </w:t>
      </w:r>
      <w:r w:rsidRPr="00CB7314">
        <w:t>2018 και της 26ης Ιανουαρίου 2024,</w:t>
      </w:r>
    </w:p>
    <w:p w14:paraId="3F7B26BD" w14:textId="77777777" w:rsidR="008E7C02" w:rsidRPr="00CB7314" w:rsidRDefault="008E7C02" w:rsidP="00567E27">
      <w:pPr>
        <w:pStyle w:val="NormalHanging12a"/>
      </w:pPr>
      <w:r w:rsidRPr="00CB7314">
        <w:t>–</w:t>
      </w:r>
      <w:r w:rsidRPr="00CB7314">
        <w:tab/>
        <w:t>έχοντας υπόψη την ειδική έκθεση 04/2025 του Ευρωπαϊκού Ελεγκτικού Συνεδρίου (ΕΕΣ), της 5ης Φεβρουαρίου 2025, με τίτλο «Στρατιωτική κινητικότητα στην ΕΕ – Αδυναμίες στον σχεδιασμό και εμπόδια στην πορεία υλοποίησης δεν ευνοούν την πλήρη ανάπτυξή της»,</w:t>
      </w:r>
    </w:p>
    <w:p w14:paraId="7289E8F7" w14:textId="77777777" w:rsidR="008E7C02" w:rsidRPr="00CB7314" w:rsidRDefault="008E7C02" w:rsidP="00567E27">
      <w:pPr>
        <w:pStyle w:val="NormalHanging12a"/>
      </w:pPr>
      <w:r w:rsidRPr="00CB7314">
        <w:t>–</w:t>
      </w:r>
      <w:r w:rsidRPr="00CB7314">
        <w:tab/>
        <w:t>έχοντας υπόψη την έκθεση του Sauli Niinistö, της 30ής Οκτωβρίου 2024, με τίτλο «Safer Together: Strengthening of Europe’s Civilian and Military Preparedness and Readiness» (Πιο ασφαλείς μαζί: Ενίσχυση της πολιτικοστρατιωτικής προετοιμασίας και ετοιμότητας της Ευρώπης),</w:t>
      </w:r>
    </w:p>
    <w:p w14:paraId="2FBB306F" w14:textId="77777777" w:rsidR="008E7C02" w:rsidRPr="00CB7314" w:rsidRDefault="008E7C02" w:rsidP="00567E27">
      <w:pPr>
        <w:pStyle w:val="NormalHanging12a"/>
        <w:rPr>
          <w:bCs/>
          <w:iCs/>
        </w:rPr>
      </w:pPr>
      <w:r w:rsidRPr="00CB7314">
        <w:t>–</w:t>
      </w:r>
      <w:r w:rsidRPr="00CB7314">
        <w:tab/>
        <w:t>έχοντας υπόψη την υπουργική δήλωση για τη στρατιωτική κινητικότητα που εξέδωσαν οι υπουργοί μεταφορών της Βουλγαρίας, της Τσεχικής Δημοκρατίας, της Εσθονίας, της Φινλανδίας, της Ουγγαρίας, της Ισλανδίας, της Λετονίας, της Λιθουανίας, της Νορβηγίας, της Πολωνίας, της Ρουμανίας και της Σλοβακίας στις 27 Μαΐου 2025,</w:t>
      </w:r>
    </w:p>
    <w:p w14:paraId="3B3DF0F6" w14:textId="77777777" w:rsidR="008E7C02" w:rsidRPr="00CB7314" w:rsidRDefault="008E7C02" w:rsidP="00567E27">
      <w:pPr>
        <w:pStyle w:val="NormalHanging12a"/>
      </w:pPr>
      <w:r w:rsidRPr="00CB7314">
        <w:t>–</w:t>
      </w:r>
      <w:r w:rsidRPr="00CB7314">
        <w:tab/>
        <w:t>έχοντας υπόψη τη δέκατη έκθεση προόδου, της 10ης Ιουνίου 2025, σχετικά με την υλοποίηση του κοινού συνόλου προτάσεων που ενέκριναν τα Συμβούλια ΕΕ και ΝΑΤΟ στις 6 Δεκεμβρίου 2016 και στις 5 Δεκεμβρίου 2018,</w:t>
      </w:r>
    </w:p>
    <w:p w14:paraId="5251D0A7" w14:textId="77777777" w:rsidR="008E7C02" w:rsidRPr="00CB7314" w:rsidRDefault="008E7C02" w:rsidP="00567E27">
      <w:pPr>
        <w:pStyle w:val="NormalHanging12a"/>
      </w:pPr>
      <w:r w:rsidRPr="00CB7314">
        <w:t>–</w:t>
      </w:r>
      <w:r w:rsidRPr="00CB7314">
        <w:tab/>
        <w:t>έχοντας υπόψη το ανακοινωθέν της συνόδου κορυφής του Βίλνιους που εξέδωσαν οι αρχηγοί κρατών και κυβερνήσεων του ΝΑΤΟ που συμμετείχαν στη σύνοδο του Βορειοατλαντικού Συμβουλίου στο Βίλνιους στις 11 Ιουλίου 2023 και τη δήλωση της συνόδου κορυφής της Ουάσιγκτον που εξέδωσαν οι αρχηγοί κρατών και κυβερνήσεων του ΝΑΤΟ που συμμετείχαν στη σύνοδο του Βορειοατλαντικού Συμβουλίου του ΝΑΤΟ στην Ουάσιγκτον στις 10 Ιουλίου 2024,</w:t>
      </w:r>
    </w:p>
    <w:p w14:paraId="27BE74DB" w14:textId="77777777" w:rsidR="008E7C02" w:rsidRPr="00CB7314" w:rsidRDefault="008E7C02" w:rsidP="00567E27">
      <w:pPr>
        <w:pStyle w:val="NormalHanging12a"/>
      </w:pPr>
      <w:r w:rsidRPr="00CB7314">
        <w:t>–</w:t>
      </w:r>
      <w:r w:rsidRPr="00CB7314">
        <w:tab/>
        <w:t>έχοντας υπόψη τις τρεις κοινές δηλώσεις σχετικά με τη συνεργασία ΕΕ-ΝΑΤΟ που υπέγραψαν οι Πρόεδροι του Ευρωπαϊκού Συμβουλίου και της Επιτροπής, καθώς και ο Γενικός Γραμματέας του ΝΑΤΟ στις 10 Ιανουαρίου 2023, στις 5 Δεκεμβρίου 2018 και στις 6 Δεκεμβρίου 2016, αντίστοιχα,</w:t>
      </w:r>
    </w:p>
    <w:p w14:paraId="5095B566" w14:textId="7E3E4F96" w:rsidR="008E7C02" w:rsidRPr="00CB7314" w:rsidRDefault="008E7C02" w:rsidP="00567E27">
      <w:pPr>
        <w:pStyle w:val="NormalHanging12a"/>
      </w:pPr>
      <w:r w:rsidRPr="00CB7314">
        <w:t>–</w:t>
      </w:r>
      <w:r w:rsidRPr="00CB7314">
        <w:tab/>
        <w:t>έχοντας υπόψη την πρόταση της Επιτροπής, της 19ης Μαρτίου 2025, για κανονισμό του Συμβουλίου για τη δημιουργία του μέσου δράσης για την ασφάλεια στην Ευρώπη (SAFE) μέσω της ενίσχυσης της ευρωπαϊκής αμυντικής βιομηχανίας (COM(2025)0122),</w:t>
      </w:r>
    </w:p>
    <w:p w14:paraId="1A5CDA9B" w14:textId="4CE9E607" w:rsidR="008E7C02" w:rsidRPr="00CB7314" w:rsidRDefault="008E7C02" w:rsidP="00567E27">
      <w:pPr>
        <w:pStyle w:val="NormalHanging12a"/>
      </w:pPr>
      <w:r w:rsidRPr="00CB7314">
        <w:t>–</w:t>
      </w:r>
      <w:r w:rsidRPr="00CB7314">
        <w:tab/>
        <w:t>έχοντας υπόψη την πρόταση της Επιτροπής, της 1ης Απριλίου 2025, για κανονισμό του Ευρωπαϊκού Κοινοβουλίου και του Συμβουλίου για την τροποποίηση των κανονισμών (ΕΕ) 2021/1058 και (ΕΕ) 2021/1056 όσον αφορά ειδικά μέτρα για την αντιμετώπιση στρατηγικών προκλήσεων στο πλαίσιο της ενδιάμεσης επανεξέτασης (COM(2025)0123),</w:t>
      </w:r>
    </w:p>
    <w:p w14:paraId="773B29E6" w14:textId="0707AF88" w:rsidR="008E7C02" w:rsidRPr="00CB7314" w:rsidRDefault="008E7C02" w:rsidP="00567E27">
      <w:pPr>
        <w:pStyle w:val="NormalHanging12a"/>
      </w:pPr>
      <w:r w:rsidRPr="00CB7314">
        <w:t>–</w:t>
      </w:r>
      <w:r w:rsidRPr="00CB7314">
        <w:tab/>
        <w:t>έχοντας υπόψη την πρόταση της Επιτροπής, της 22ας Απριλίου 2025, για κανονισμό του Ευρωπαϊκού Κοινοβουλίου και του Συμβουλίου</w:t>
      </w:r>
      <w:r w:rsidRPr="005D404F">
        <w:t xml:space="preserve"> </w:t>
      </w:r>
      <w:r w:rsidR="005D404F" w:rsidRPr="005D404F">
        <w:t xml:space="preserve">για την τροποποίηση των </w:t>
      </w:r>
      <w:r w:rsidR="005D404F" w:rsidRPr="005D404F">
        <w:lastRenderedPageBreak/>
        <w:t>κανονισμών (ΕΕ) 2021/694, (ΕΕ) 2021/695, (ΕΕ) 2021/697, (ΕΕ) 2021/1153, (ΕΕ) 2023/1525 και</w:t>
      </w:r>
      <w:r w:rsidR="004B54F5">
        <w:t xml:space="preserve"> </w:t>
      </w:r>
      <w:r w:rsidR="005D404F" w:rsidRPr="005D404F">
        <w:t xml:space="preserve">2024/795 σχετικά με την παροχή κινήτρων για επενδύσεις που συνδέονται με τον τομέα της άμυνας στον προϋπολογισμό της ΕΕ με σκοπό την εφαρμογή του σχεδίου ReArm Europe </w:t>
      </w:r>
      <w:r w:rsidRPr="00CB7314">
        <w:t>(COM(2025)0188),</w:t>
      </w:r>
    </w:p>
    <w:p w14:paraId="33C3423C" w14:textId="77777777" w:rsidR="008E7C02" w:rsidRPr="00CB7314" w:rsidRDefault="008E7C02" w:rsidP="00567E27">
      <w:pPr>
        <w:pStyle w:val="NormalHanging12a"/>
      </w:pPr>
      <w:r w:rsidRPr="00CB7314">
        <w:t>–</w:t>
      </w:r>
      <w:r w:rsidRPr="00CB7314">
        <w:tab/>
        <w:t>έχοντας υπόψη το ψήφισμά του της 2ας Απριλίου 2025 σχετικά με την εφαρμογή της κοινής πολιτικής ασφάλειας και άμυνας – ετήσια έκθεση 2024</w:t>
      </w:r>
      <w:r w:rsidRPr="00CB7314">
        <w:rPr>
          <w:rStyle w:val="FootnoteReference"/>
        </w:rPr>
        <w:footnoteReference w:id="4"/>
      </w:r>
      <w:r w:rsidRPr="00CB7314">
        <w:t>,</w:t>
      </w:r>
    </w:p>
    <w:p w14:paraId="64D0BE01" w14:textId="77777777" w:rsidR="008E7C02" w:rsidRPr="00CB7314" w:rsidRDefault="008E7C02" w:rsidP="00567E27">
      <w:pPr>
        <w:pStyle w:val="NormalHanging12a"/>
      </w:pPr>
      <w:r w:rsidRPr="00CB7314">
        <w:t>–</w:t>
      </w:r>
      <w:r w:rsidRPr="00CB7314">
        <w:tab/>
        <w:t>έχοντας υπόψη το ψήφισμά του της 12ης Μαρτίου 2025 σχετικά με τη λευκή βίβλο για το μέλλον της ευρωπαϊκής άμυνας</w:t>
      </w:r>
      <w:r w:rsidRPr="00CB7314">
        <w:rPr>
          <w:rStyle w:val="FootnoteReference"/>
        </w:rPr>
        <w:footnoteReference w:id="5"/>
      </w:r>
      <w:r w:rsidRPr="00CB7314">
        <w:t>,</w:t>
      </w:r>
    </w:p>
    <w:p w14:paraId="37160DC5" w14:textId="77777777" w:rsidR="008E7C02" w:rsidRPr="00CB7314" w:rsidRDefault="008E7C02" w:rsidP="00567E27">
      <w:pPr>
        <w:pStyle w:val="NormalHanging12a"/>
      </w:pPr>
      <w:r w:rsidRPr="00CB7314">
        <w:t>–</w:t>
      </w:r>
      <w:r w:rsidRPr="00CB7314">
        <w:tab/>
        <w:t>έχοντας υπόψη το ψήφισμά του της 17ης Ιανουαρίου 2024 σχετικά με την εκπόνηση μιας ολοκληρωμένης ευρωπαϊκής στρατηγικής για τους λιμένες</w:t>
      </w:r>
      <w:r w:rsidRPr="00CB7314">
        <w:rPr>
          <w:rStyle w:val="FootnoteReference"/>
        </w:rPr>
        <w:footnoteReference w:id="6"/>
      </w:r>
      <w:r w:rsidRPr="00CB7314">
        <w:t>,</w:t>
      </w:r>
    </w:p>
    <w:p w14:paraId="641B1D80" w14:textId="77777777" w:rsidR="008E7C02" w:rsidRPr="00CB7314" w:rsidRDefault="008E7C02" w:rsidP="00567E27">
      <w:pPr>
        <w:pStyle w:val="NormalHanging12a"/>
      </w:pPr>
      <w:r w:rsidRPr="00CB7314">
        <w:t>–</w:t>
      </w:r>
      <w:r w:rsidRPr="00CB7314">
        <w:tab/>
        <w:t>έχοντας υπόψη το ψήφισμά του της 5ης Μαΐου 2022 σχετικά με τις επιπτώσεις του ρωσικού παράνομου επιθετικού πολέμου κατά της Ουκρανίας στους τομείς μεταφορών και τουρισμού της ΕΕ</w:t>
      </w:r>
      <w:r w:rsidRPr="00CB7314">
        <w:rPr>
          <w:rStyle w:val="FootnoteReference"/>
        </w:rPr>
        <w:footnoteReference w:id="7"/>
      </w:r>
      <w:r w:rsidRPr="00CB7314">
        <w:t>,</w:t>
      </w:r>
    </w:p>
    <w:p w14:paraId="7F4796A8" w14:textId="77777777" w:rsidR="008E7C02" w:rsidRPr="00CB7314" w:rsidRDefault="008E7C02" w:rsidP="00567E27">
      <w:pPr>
        <w:pStyle w:val="NormalHanging12a"/>
      </w:pPr>
      <w:r w:rsidRPr="00CB7314">
        <w:t>–</w:t>
      </w:r>
      <w:r w:rsidRPr="00CB7314">
        <w:tab/>
        <w:t>έχοντας υπόψη το ψήφισμά του της 7ης Ιουλίου 2021 σχετικά με τη συνεργασία ΕΕ-ΝΑΤΟ στο πλαίσιο των διατλαντικών σχέσεων</w:t>
      </w:r>
      <w:r w:rsidRPr="00CB7314">
        <w:rPr>
          <w:rStyle w:val="FootnoteReference"/>
        </w:rPr>
        <w:footnoteReference w:id="8"/>
      </w:r>
      <w:r w:rsidRPr="00CB7314">
        <w:t>,</w:t>
      </w:r>
    </w:p>
    <w:p w14:paraId="786B9F18" w14:textId="77777777" w:rsidR="008E7C02" w:rsidRPr="00CB7314" w:rsidRDefault="008E7C02" w:rsidP="00567E27">
      <w:pPr>
        <w:pStyle w:val="NormalHanging12a"/>
      </w:pPr>
      <w:r w:rsidRPr="00CB7314">
        <w:t>–</w:t>
      </w:r>
      <w:r w:rsidRPr="00CB7314">
        <w:tab/>
        <w:t>έχοντας υπόψη το ψήφισμά του της 11ης Δεκεμβρίου 2018 σχετικά με τη στρατιωτική κινητικότητα</w:t>
      </w:r>
      <w:r w:rsidRPr="00CB7314">
        <w:rPr>
          <w:rStyle w:val="FootnoteReference"/>
        </w:rPr>
        <w:footnoteReference w:id="9"/>
      </w:r>
      <w:r w:rsidRPr="00CB7314">
        <w:t>,</w:t>
      </w:r>
    </w:p>
    <w:p w14:paraId="53C3437E" w14:textId="77777777" w:rsidR="008E7C02" w:rsidRPr="00CB7314" w:rsidRDefault="008E7C02" w:rsidP="00567E27">
      <w:pPr>
        <w:pStyle w:val="NormalHanging12a"/>
      </w:pPr>
      <w:r w:rsidRPr="00CB7314">
        <w:t>–</w:t>
      </w:r>
      <w:r w:rsidRPr="00CB7314">
        <w:tab/>
        <w:t>έχοντας υπόψη το άρθρο 55 του Κανονισμού του,</w:t>
      </w:r>
    </w:p>
    <w:p w14:paraId="050128A5" w14:textId="77777777" w:rsidR="008E7C02" w:rsidRPr="00CB7314" w:rsidRDefault="008E7C02" w:rsidP="00567E27">
      <w:pPr>
        <w:pStyle w:val="NormalHanging12a"/>
      </w:pPr>
      <w:r w:rsidRPr="00CB7314">
        <w:t>–</w:t>
      </w:r>
      <w:r w:rsidRPr="00CB7314">
        <w:tab/>
        <w:t>έχοντας υπόψη τις κοινές διαβουλεύσεις της Επιτροπής Ασφάλειας και Άμυνας και της Επιτροπής Μεταφορών και Τουρισμού, σύμφωνα με το άρθρο 59 του Κανονισμού,</w:t>
      </w:r>
    </w:p>
    <w:p w14:paraId="1880FCB0" w14:textId="77777777" w:rsidR="008E7C02" w:rsidRPr="00CB7314" w:rsidRDefault="008E7C02" w:rsidP="00567E27">
      <w:pPr>
        <w:pStyle w:val="NormalHanging12a"/>
      </w:pPr>
      <w:r w:rsidRPr="00CB7314">
        <w:t>–</w:t>
      </w:r>
      <w:r w:rsidRPr="00CB7314">
        <w:tab/>
        <w:t>έχοντας υπόψη την έκθεση της Επιτροπής Ασφάλειας και Άμυνας και της Επιτροπής Μεταφορών και Τουρισμού (A10-0242/2025),</w:t>
      </w:r>
    </w:p>
    <w:p w14:paraId="276AAF00" w14:textId="77777777" w:rsidR="008E7C02" w:rsidRPr="00CB7314" w:rsidRDefault="008E7C02" w:rsidP="00567E27">
      <w:pPr>
        <w:pStyle w:val="NormalHanging12a"/>
      </w:pPr>
      <w:r w:rsidRPr="00CB7314">
        <w:t>Α.</w:t>
      </w:r>
      <w:r w:rsidRPr="00CB7314">
        <w:tab/>
        <w:t>λαμβάνοντας υπόψη ότι ο επιθετικός πόλεμος της Ρωσίας κατά της Ουκρανίας έχει επιστήσει εκ νέου την προσοχή στη στρατιωτική κινητικότητα, τονίζοντας την επείγουσα ανάγκη να διευκολυνθεί η ταχεία διασυνοριακή κυκλοφορία στρατευμάτων, εξοπλισμού και μέσων σε ολόκληρη την ΕΕ, προκειμένου να ενισχυθεί η αποτροπή και η άμυνα·</w:t>
      </w:r>
    </w:p>
    <w:p w14:paraId="42C85C48" w14:textId="77777777" w:rsidR="008E7C02" w:rsidRPr="00CB7314" w:rsidRDefault="008E7C02" w:rsidP="00567E27">
      <w:pPr>
        <w:pStyle w:val="NormalHanging12a"/>
      </w:pPr>
      <w:r w:rsidRPr="00CB7314">
        <w:t>Β.</w:t>
      </w:r>
      <w:r w:rsidRPr="00CB7314">
        <w:tab/>
        <w:t xml:space="preserve">λαμβάνοντας υπόψη ότι η αστάθεια και οι μεταβαλλόμενες γεωπολιτικές κρίσεις σε διάφορες περιοχές του κόσμου απαιτούν από την ΕΕ και τα κράτη μέλη της, σε συντονισμό με το ΝΑΤΟ, να είναι έτοιμα να ανταποκριθούν σε πιθανές επιθετικές ενέργειες ή διαφορετικά είδη κρίσεων κατά μήκος όλων των εξωτερικών συνόρων τους· </w:t>
      </w:r>
    </w:p>
    <w:p w14:paraId="1B89025C" w14:textId="77777777" w:rsidR="008E7C02" w:rsidRPr="00CB7314" w:rsidRDefault="008E7C02" w:rsidP="00567E27">
      <w:pPr>
        <w:pStyle w:val="NormalHanging12a"/>
      </w:pPr>
      <w:r w:rsidRPr="00CB7314">
        <w:t>Γ.</w:t>
      </w:r>
      <w:r w:rsidRPr="00CB7314">
        <w:tab/>
        <w:t xml:space="preserve">λαμβάνοντας υπόψη ότι τα κράτη μέλη που έχουν κοινά εξωτερικά σύνορα με τη Ρωσία ή τη Λευκορωσία, καθώς και εκείνα που συνορεύουν με την Ουκρανία και </w:t>
      </w:r>
      <w:r w:rsidRPr="00CB7314">
        <w:lastRenderedPageBreak/>
        <w:t xml:space="preserve">αντιμετωπίζουν εισβολές της Ρωσίας στον εναέριο χώρο τους, αντιμετωπίζουν άμεση απειλή για την ασφάλεια, ιδίως καθώς οι δυτικές υπηρεσίες ασφαλείας προειδοποιούν ότι η Ρωσία θα μπορούσε να επιτεθεί στην ΕΕ βραχυπρόθεσμα· </w:t>
      </w:r>
    </w:p>
    <w:p w14:paraId="722C52D8" w14:textId="77777777" w:rsidR="008E7C02" w:rsidRPr="00CB7314" w:rsidRDefault="008E7C02" w:rsidP="00567E27">
      <w:pPr>
        <w:pStyle w:val="NormalHanging12a"/>
        <w:rPr>
          <w:bCs/>
          <w:iCs/>
        </w:rPr>
      </w:pPr>
      <w:r w:rsidRPr="00CB7314">
        <w:t>Δ.</w:t>
      </w:r>
      <w:r w:rsidRPr="00CB7314">
        <w:tab/>
        <w:t xml:space="preserve">λαμβάνοντας υπόψη ότι η στρατιωτική κινητικότητα αποτελεί βασικό παράγοντα διευκόλυνσης για την κοινή ευρωπαϊκή ασφάλεια και άμυνα και προσδιορίστηκε ως κρίσιμος παράγοντας διευκόλυνσης στις προτεραιότητες της ΕΕ για την ανάπτυξη δυνατοτήτων για το 2023· </w:t>
      </w:r>
    </w:p>
    <w:p w14:paraId="297316FD" w14:textId="77777777" w:rsidR="008E7C02" w:rsidRPr="00CB7314" w:rsidRDefault="008E7C02" w:rsidP="00567E27">
      <w:pPr>
        <w:pStyle w:val="NormalHanging12a"/>
        <w:rPr>
          <w:bCs/>
          <w:iCs/>
        </w:rPr>
      </w:pPr>
      <w:r w:rsidRPr="00CB7314">
        <w:t>Ε.</w:t>
      </w:r>
      <w:r w:rsidRPr="00CB7314">
        <w:tab/>
        <w:t>λαμβάνοντας υπόψη ότι η ανθεκτικότητα, η αποτροπή και η ταχύτητα της στρατιωτικής κινητικότητας στην Ευρώπη έχουν πλέον καταστεί απαραίτητες προϋποθέσεις για την αξιοπιστία της ευρωπαϊκής άμυνας· λαμβάνοντας υπόψη ότι η στρατιωτική κινητικότητα στην ΕΕ ενισχύει σημαντικά την ασφάλεια και την ανθεκτικότητα των 27 κρατών μελών, μεταξύ άλλων έναντι των αυξανόμενων πράξεων δολιοφθοράς κατά υποδομών ζωτικής σημασίας και της αύξησης των υβριδικών απειλών, υπό την προϋπόθεση ότι είναι πλήρως σε θέση να αξιοποιήσει το δυναμικό της·</w:t>
      </w:r>
    </w:p>
    <w:p w14:paraId="3F45BEC1" w14:textId="77777777" w:rsidR="008E7C02" w:rsidRPr="00CB7314" w:rsidRDefault="008E7C02" w:rsidP="00567E27">
      <w:pPr>
        <w:pStyle w:val="NormalHanging12a"/>
      </w:pPr>
      <w:r w:rsidRPr="00CB7314">
        <w:t>ΣΤ.</w:t>
      </w:r>
      <w:r w:rsidRPr="00CB7314">
        <w:tab/>
        <w:t>λαμβάνοντας υπόψη ότι απαιτούνται σημαντικές προσπάθειες για τη βελτίωση των περιφερειακών μεταφορικών συνδέσεων και την ενίσχυση του πανευρωπαϊκού δικτύου, συνδέοντας τις χώρες της ΕΕ από τη Φινλανδία και τα κράτη της Βαλτικής στον βορρά με την Ιβηρική Χερσόνησο στον νότο· λαμβάνοντας υπόψη ότι η ανάπτυξη συνεκτικών υποδομών στρατιωτικής κινητικότητας στους τέσσερις διαδρόμους προτεραιότητας της ΕΕ για τη στρατιωτική κινητικότητα θα ήταν απαραίτητη για την ανάπτυξη και τον εφοδιασμό στρατευμάτων και στρατιωτικού εξοπλισμού σε σύντομο χρονικό διάστημα και σε μεγάλη κλίμακα σιδηροδρομικώς, οδικώς, μέσω πλωτών οδών, διά θαλάσσης και αέρος, όταν και όπου χρειάζεται, διασφαλίζοντας παράλληλα τη λειτουργικότητά της διπλής χρήσης για τη διατήρηση της λειτουργίας των βασικών μη στρατιωτικών αλυσίδων εφοδιασμού·</w:t>
      </w:r>
    </w:p>
    <w:p w14:paraId="71B3B998" w14:textId="77777777" w:rsidR="008E7C02" w:rsidRPr="00CB7314" w:rsidRDefault="008E7C02" w:rsidP="00567E27">
      <w:pPr>
        <w:pStyle w:val="NormalHanging12a"/>
      </w:pPr>
      <w:r w:rsidRPr="00CB7314">
        <w:t>Ζ.</w:t>
      </w:r>
      <w:r w:rsidRPr="00CB7314">
        <w:tab/>
        <w:t>λαμβάνοντας υπόψη ότι η στρατιωτική κινητικότητα αποτελεί προτεραιότητα για τη συνεργασία ΕΕ-ΝΑΤΟ και πρέπει να διευκολύνει, μέσω ευθυγραμμισμένης προσέγγισης, τη μετακίνηση συμμαχικών δυνάμεων τόσο σε περιόδους ειρήνης όσο και κρίσης ή πολέμου· λαμβάνοντας υπόψη ότι η ενίσχυση της διαλειτουργικότητας εντός της ΕΕ, με το ΝΑΤΟ και με εταίρους όπως η Ουκρανία είναι ζωτικής σημασίας για τη συλλογική άμυνα· λαμβάνοντας υπόψη ότι, προκειμένου να επιτευχθούν οι στρατηγικοί στόχοι της εταιρικής σχέσης ΕΕ-ΝΑΤΟ, η ισχυρή θεσμική ηγεσία και η συντονισμένη διακυβέρνηση είναι απαραίτητες για τη μετατροπή της τεχνικής συνεργασίας σε ένα κοινό στρατηγικό όραμα, και, συνεπώς, την ενίσχυση της κινητικότητας ως εργαλείου συνοχής και συλλογικής ασφάλειας·</w:t>
      </w:r>
    </w:p>
    <w:p w14:paraId="16E3E100" w14:textId="77777777" w:rsidR="008E7C02" w:rsidRPr="00CB7314" w:rsidRDefault="008E7C02" w:rsidP="00567E27">
      <w:pPr>
        <w:pStyle w:val="NormalHanging12a"/>
        <w:rPr>
          <w:bCs/>
          <w:iCs/>
        </w:rPr>
      </w:pPr>
      <w:r w:rsidRPr="00CB7314">
        <w:t>Η.</w:t>
      </w:r>
      <w:r w:rsidRPr="00CB7314">
        <w:tab/>
        <w:t>λαμβάνοντας υπόψη ότι η μόνιμη διαρθρωμένη συνεργασία (PESCO) διαδραματίζει καίριο ρόλο στην ενίσχυση και την ευθυγράμμιση των αμυντικών ικανοτήτων της Ευρωπαϊκής Ένωσης μειώνοντας τις εξαρτήσεις όσον αφορά στρατηγικούς παράγοντες διευκόλυνσης, όπως η στρατιωτική κινητικότητα·</w:t>
      </w:r>
    </w:p>
    <w:p w14:paraId="3F3B7C51" w14:textId="77777777" w:rsidR="008E7C02" w:rsidRPr="00CB7314" w:rsidRDefault="008E7C02" w:rsidP="00567E27">
      <w:pPr>
        <w:pStyle w:val="NormalHanging12a"/>
        <w:rPr>
          <w:bCs/>
          <w:iCs/>
        </w:rPr>
      </w:pPr>
      <w:r w:rsidRPr="00CB7314">
        <w:t>Θ.</w:t>
      </w:r>
      <w:r w:rsidRPr="00CB7314">
        <w:tab/>
        <w:t>λαμβάνοντας υπόψη ότι η ΕΕ εργάζεται για την προώθηση της συνδεσιμότητας με περιφερειακούς εταίρους και υποψήφιες χώρες·</w:t>
      </w:r>
    </w:p>
    <w:p w14:paraId="681CF58E" w14:textId="77777777" w:rsidR="008E7C02" w:rsidRPr="00CB7314" w:rsidRDefault="008E7C02" w:rsidP="00567E27">
      <w:pPr>
        <w:pStyle w:val="NormalHanging12a"/>
        <w:rPr>
          <w:bCs/>
          <w:iCs/>
        </w:rPr>
      </w:pPr>
      <w:r w:rsidRPr="00CB7314">
        <w:t>Ι.</w:t>
      </w:r>
      <w:r w:rsidRPr="00CB7314">
        <w:tab/>
        <w:t xml:space="preserve">λαμβάνοντας υπόψη ότι η βιομηχανική βάση της ΕΕ στον τομέα της άμυνας πάσχει από τρωτά σημεία, συμπεριλαμβανομένης της υπερβολικής εξάρτησης από εισαγωγές εκτός ΕΕ, του κατακερματισμού της παραγωγής και του εφοδιασμού, των ανεπαρκών </w:t>
      </w:r>
      <w:r w:rsidRPr="00CB7314">
        <w:lastRenderedPageBreak/>
        <w:t>επενδύσεων και της περιορισμένης παραγωγικής ικανότητας· λαμβάνοντας υπόψη ότι η στρατηγική για την ευρωπαϊκή οικονομική ασφάλεια τονίζει τη σημασία της μείωσης των στρατηγικών εξαρτήσεων και της προστασίας των κρίσιμων τεχνολογιών και μέσων για τη διασφάλιση της κυριαρχίας και της ανταγωνιστικότητας της ΕΕ·</w:t>
      </w:r>
    </w:p>
    <w:p w14:paraId="3A054963" w14:textId="627A1615" w:rsidR="008E7C02" w:rsidRPr="00CB7314" w:rsidRDefault="008E7C02" w:rsidP="00567E27">
      <w:pPr>
        <w:pStyle w:val="NormalHanging12a"/>
        <w:rPr>
          <w:bCs/>
          <w:iCs/>
        </w:rPr>
      </w:pPr>
      <w:r w:rsidRPr="00CB7314">
        <w:t>ΙΑ.</w:t>
      </w:r>
      <w:r w:rsidRPr="00CB7314">
        <w:tab/>
        <w:t>λαμβάνοντας υπόψη ότι στα συμπεράσματα του Ευρωπαϊκού Συμβουλίου της 6ης</w:t>
      </w:r>
      <w:r w:rsidR="00FC42C1" w:rsidRPr="00CB7314">
        <w:t> </w:t>
      </w:r>
      <w:r w:rsidRPr="00CB7314">
        <w:t xml:space="preserve">Μαρτίου 2025 υπογραμμίζεται ότι η Ένωση πρέπει «να καταστεί πιο κυρίαρχη, πιο υπεύθυνη για τη δική της άμυνα και καλύτερα εξοπλισμένη για να ενεργεί και να αντιμετωπίζει αυτόνομα τις άμεσες και τις μελλοντικές προκλήσεις και απειλές», επιβεβαιώνοντας έτσι την ανάγκη μείωσης των εξωτερικών εξαρτήσεων και εδραίωσης της ευρωπαϊκής βιομηχανικής και τεχνολογικής βάσης στον τομέα της άμυνας (ΕΒΤΒΑ)· </w:t>
      </w:r>
    </w:p>
    <w:p w14:paraId="77DD3E04" w14:textId="6247325A" w:rsidR="008E7C02" w:rsidRPr="00CB7314" w:rsidRDefault="008E7C02" w:rsidP="00567E27">
      <w:pPr>
        <w:pStyle w:val="NormalHanging12a"/>
        <w:rPr>
          <w:bCs/>
          <w:iCs/>
        </w:rPr>
      </w:pPr>
      <w:r w:rsidRPr="00CB7314">
        <w:t>ΙΒ.</w:t>
      </w:r>
      <w:r w:rsidRPr="00CB7314">
        <w:tab/>
        <w:t xml:space="preserve">λαμβάνοντας υπόψη ότι η πρωτοβουλία SAFE, που εγκρίθηκε από το Συμβούλιο στις 27 Μαΐου 2025, προβλέπει έως και 150 δισεκατομμύρια </w:t>
      </w:r>
      <w:r w:rsidR="00FC42C1" w:rsidRPr="00CB7314">
        <w:t>EUR</w:t>
      </w:r>
      <w:r w:rsidRPr="00CB7314">
        <w:t xml:space="preserve"> για τη στήριξη των κοινών προμηθειών, της βιομηχανικής ανάπτυξης και της παραγωγής που σχετίζεται με την άμυνα εντός της ΕΕ, δημιουργώντας έτσι μια στρατηγική ευκαιρία για να τεθεί σε λειτουργία η αρχή της ευρωπαϊκής προτίμησης και να διασφαλιστεί ότι τα κονδύλια της ΕΕ ενισχύουν την ευρωπαϊκή βιομηχανία αντί να ενισχύουν τις εξωτερικές εξαρτήσεις·</w:t>
      </w:r>
    </w:p>
    <w:p w14:paraId="7DA12499" w14:textId="77777777" w:rsidR="008E7C02" w:rsidRPr="00CB7314" w:rsidRDefault="008E7C02" w:rsidP="00567E27">
      <w:pPr>
        <w:pStyle w:val="NormalHanging12a"/>
        <w:rPr>
          <w:bCs/>
          <w:iCs/>
        </w:rPr>
      </w:pPr>
      <w:r w:rsidRPr="00CB7314">
        <w:t>ΙΓ.</w:t>
      </w:r>
      <w:r w:rsidRPr="00CB7314">
        <w:tab/>
        <w:t>λαμβάνοντας υπόψη ότι η πράξη για την ενίσχυση της ευρωπαϊκής αμυντικής βιομηχανίας μέσω κοινών προμηθειών</w:t>
      </w:r>
      <w:r w:rsidRPr="00CB7314">
        <w:rPr>
          <w:bCs/>
          <w:iCs/>
          <w:vertAlign w:val="superscript"/>
        </w:rPr>
        <w:footnoteReference w:id="10"/>
      </w:r>
      <w:r w:rsidRPr="00CB7314">
        <w:t xml:space="preserve"> (EDIRPA) και το πρόγραμμα της ΕΕ για την ευρωπαϊκή αμυντική βιομηχανία (EDIP) μπορεί να διαδραματίσει σημαντικό ρόλο στη στήριξη της ανάπτυξης καινοτόμων τεχνολογιών και ικανοτήτων που σχετίζονται με τη στρατιωτική κινητικότητα· τονίζει ότι θα πρέπει να αξιοποιηθούν πλήρως οι συνέργειες μεταξύ του EDIP, του EDIRPA, του μηχανισμού «Συνδέοντας την Ευρώπη» και άλλων χρηματοδοτικών μέσων της ΕΕ, προκειμένου να ενισχυθεί η ανθεκτικότητα των υποδομών μεταφορών και να ενισχυθεί η συνολική ικανότητα της Ένωσης για ταχεία και ασφαλή στρατιωτική κινητικότητα·</w:t>
      </w:r>
    </w:p>
    <w:p w14:paraId="2A05F93F" w14:textId="77777777" w:rsidR="008E7C02" w:rsidRPr="00CB7314" w:rsidRDefault="008E7C02" w:rsidP="00567E27">
      <w:pPr>
        <w:pStyle w:val="NormalHanging12a"/>
      </w:pPr>
      <w:r w:rsidRPr="00CB7314">
        <w:t>ΙΔ.</w:t>
      </w:r>
      <w:r w:rsidRPr="00CB7314">
        <w:tab/>
        <w:t>λαμβάνοντας υπόψη ότι ο ισχυρός έλεγχος των επενδύσεων συμβάλλει στην οικονομική ασφάλεια της ΕΕ, προστατεύει τις υποδομές και τις τεχνολογίες ζωτικής σημασίας από εχθρικές αγορές και συμπληρώνει τις βιομηχανικές πολιτικές που αποσκοπούν στην προώθηση της ευρωπαϊκής αυτονομίας και τεχνολογικής υπεροχής· λαμβάνοντας υπόψη ότι η αναθεώρηση του κανονισμού (ΕΕ) 2019/452</w:t>
      </w:r>
      <w:r w:rsidRPr="00CB7314">
        <w:rPr>
          <w:vertAlign w:val="superscript"/>
        </w:rPr>
        <w:footnoteReference w:id="11"/>
      </w:r>
      <w:r w:rsidRPr="00CB7314">
        <w:t xml:space="preserve"> σχετικά με τον έλεγχο των άμεσων ξένων επενδύσεων στην Ένωση αποτελεί βασικό μέσο για τη διαφύλαξη της ασφάλειας, της δημόσιας τάξης και των στρατηγικών συμφερόντων της ΕΕ·</w:t>
      </w:r>
    </w:p>
    <w:p w14:paraId="42379C82" w14:textId="77777777" w:rsidR="008E7C02" w:rsidRPr="00CB7314" w:rsidRDefault="008E7C02" w:rsidP="00567E27">
      <w:pPr>
        <w:pStyle w:val="NormalHanging12a"/>
        <w:rPr>
          <w:bCs/>
          <w:iCs/>
        </w:rPr>
      </w:pPr>
      <w:r w:rsidRPr="00CB7314">
        <w:t>ΙΕ.</w:t>
      </w:r>
      <w:r w:rsidRPr="00CB7314">
        <w:tab/>
        <w:t>λαμβάνοντας υπόψη ότι το Κοινοβούλιο ενέκρινε τη θέση του σχετικά με τον προτεινόμενο κανονισμό</w:t>
      </w:r>
      <w:r w:rsidRPr="00CB7314">
        <w:rPr>
          <w:bCs/>
          <w:iCs/>
          <w:vertAlign w:val="superscript"/>
        </w:rPr>
        <w:footnoteReference w:id="12"/>
      </w:r>
      <w:r w:rsidRPr="00CB7314">
        <w:t xml:space="preserve">, τονίζοντας ότι όλα τα κράτη μέλη θα πρέπει να </w:t>
      </w:r>
      <w:r w:rsidRPr="00CB7314">
        <w:lastRenderedPageBreak/>
        <w:t xml:space="preserve">υποχρεούνται να διατηρούν μηχανισμό ελέγχου για τις ξένες επενδύσεις για λόγους ασφάλειας ή δημόσιας τάξης, και ότι απαιτείται ισχυρότερη εναρμόνιση μεταξύ των εθνικών συστημάτων για την αντιμετώπιση των στρατηγικών εξαρτήσεων και των αναδυόμενων τρωτών σημείων της τεχνολογίας και των υποδομών· </w:t>
      </w:r>
    </w:p>
    <w:p w14:paraId="6A7C1106" w14:textId="77777777" w:rsidR="008E7C02" w:rsidRPr="00CB7314" w:rsidRDefault="008E7C02" w:rsidP="00567E27">
      <w:pPr>
        <w:pStyle w:val="NormalHanging12a"/>
      </w:pPr>
      <w:r w:rsidRPr="00CB7314">
        <w:t>ΙΣΤ.</w:t>
      </w:r>
      <w:r w:rsidRPr="00CB7314">
        <w:tab/>
        <w:t>λαμβάνοντας υπόψη ότι, παρά τη σημαντική πρόοδο που έχει σημειωθεί τα τελευταία χρόνια για την ενίσχυση της στρατιωτικής κινητικότητας μέσω της υλοποίησης των δράσεων που ορίζονται στο σχέδιο δράσης για τη στρατιωτική κινητικότητα 2.0, εξακολουθούν να υπάρχουν σημαντικά ρυθμιστικά, διοικητικά και οικονομικά εμπόδια, καθώς και σημεία συμφόρησης και εμπόδια στις υποδομές·</w:t>
      </w:r>
    </w:p>
    <w:p w14:paraId="34A5FF4D" w14:textId="77777777" w:rsidR="008E7C02" w:rsidRPr="00CB7314" w:rsidRDefault="008E7C02" w:rsidP="00567E27">
      <w:pPr>
        <w:pStyle w:val="Normal12a24b"/>
        <w:widowControl/>
        <w:spacing w:before="0"/>
        <w:ind w:left="567" w:hanging="567"/>
        <w:rPr>
          <w:bCs/>
          <w:iCs/>
        </w:rPr>
      </w:pPr>
      <w:r w:rsidRPr="00CB7314">
        <w:t>ΙΖ.</w:t>
      </w:r>
      <w:r w:rsidRPr="00CB7314">
        <w:tab/>
        <w:t xml:space="preserve">λαμβάνοντας υπόψη ότι υπάρχει επείγουσα ανάγκη να ενταθούν οι συντονισμένες και ολοκληρωμένες προσπάθειες σε επίπεδο ΕΕ, ΝΑΤΟ και κρατών μελών για την αύξηση των πόρων και την αντιμετώπιση των φυσικών, νομοθετικών και κανονιστικών φραγμών· </w:t>
      </w:r>
    </w:p>
    <w:p w14:paraId="5F400AEE" w14:textId="77777777" w:rsidR="008E7C02" w:rsidRPr="00CB7314" w:rsidRDefault="008E7C02" w:rsidP="00567E27">
      <w:pPr>
        <w:pStyle w:val="Normal12a24b"/>
        <w:widowControl/>
        <w:spacing w:before="0"/>
        <w:ind w:left="567" w:hanging="567"/>
        <w:rPr>
          <w:bCs/>
          <w:iCs/>
        </w:rPr>
      </w:pPr>
      <w:r w:rsidRPr="00CB7314">
        <w:t>ΙΗ.</w:t>
      </w:r>
      <w:r w:rsidRPr="00CB7314">
        <w:tab/>
        <w:t>λαμβάνοντας υπόψη ότι οι εσωτερικοί έλεγχοι και η πρόσφατη εμπειρία δείχνουν σοβαρές ελλείψεις στη στρατιωτική κινητικότητα της ΕΕ, με καθυστερήσεις λόγω εκτεταμένης γραφειοκρατίας και ανεπάρκειας των υποδομών που ενίοτε έχουν ως αποτέλεσμα να χρειαστεί πάνω από ένας μήνας για τη διασυνοριακή μεταφορά στρατιωτικού εξοπλισμού ως απάντηση σε επίθεση·</w:t>
      </w:r>
    </w:p>
    <w:p w14:paraId="36F0441F" w14:textId="77777777" w:rsidR="008E7C02" w:rsidRPr="00CB7314" w:rsidRDefault="008E7C02" w:rsidP="00567E27">
      <w:pPr>
        <w:pStyle w:val="Normal12a24b"/>
        <w:widowControl/>
        <w:spacing w:before="0"/>
        <w:ind w:left="567" w:hanging="567"/>
        <w:rPr>
          <w:bCs/>
          <w:iCs/>
        </w:rPr>
      </w:pPr>
      <w:r w:rsidRPr="00CB7314">
        <w:t>ΙΘ.</w:t>
      </w:r>
      <w:r w:rsidRPr="00CB7314">
        <w:tab/>
        <w:t>λαμβάνοντας υπόψη ότι πολλές ευρωπαϊκές διαδρομές μεταφορών δεν είναι ακόμη κατάλληλες για βαρέα στρατιωτικά οχήματα· λαμβάνοντας υπόψη ότι έχει απαγορευθεί στα άρματα μάχης να εισέρχονται σε ορισμένα κράτη μέλη, επειδή υπερβαίνουν τα εθνικά όρια βάρους και οι αποστολές έχουν σταματήσει σε γέφυρες που δεν έχουν σχεδιαστεί για τέτοια φορτία, γεγονός που αναδεικνύει την επείγουσα ανάγκη αναβάθμισης των βασικών υποδομών, όπως σιδηροδρομικών γραμμών, οδών, σηράγγων και γεφυρών ώστε να πληρούν τα στρατιωτικά πρότυπα·</w:t>
      </w:r>
    </w:p>
    <w:p w14:paraId="3A72362C" w14:textId="77777777" w:rsidR="008E7C02" w:rsidRPr="00CB7314" w:rsidRDefault="008E7C02" w:rsidP="00567E27">
      <w:pPr>
        <w:pStyle w:val="Normal12a24b"/>
        <w:widowControl/>
        <w:spacing w:before="0"/>
        <w:ind w:left="567" w:hanging="567"/>
        <w:rPr>
          <w:bCs/>
          <w:iCs/>
        </w:rPr>
      </w:pPr>
      <w:r w:rsidRPr="00CB7314">
        <w:t>Κ.</w:t>
      </w:r>
      <w:r w:rsidRPr="00CB7314">
        <w:tab/>
        <w:t>λαμβάνοντας υπόψη ότι οι επενδύσεις στη βελτίωση των υφιστάμενων αεροπορικών, σιδηροδρομικών, οδικών και πλωτών υποδομών διπλής χρήσης αποφέρουν σημαντικά οφέλη σε κοινότητες και επιχειρήσεις σε καιρούς ειρήνης, καθώς και οφέλη για τα συστήματα επιβατικών και εμπορευματικών μεταφορών και συμβάλλουν στην απαλλαγή των μεταφορών από τις ανθρακούχες εκπομπές, στην ολοκλήρωση του διευρωπαϊκού δικτύου μεταφορών (ΔΕΔ-Μ), στις ικανότητες πολιτικής προστασίας και στην ενίσχυση της ενιαίας αγοράς·</w:t>
      </w:r>
    </w:p>
    <w:p w14:paraId="4A9518D1" w14:textId="77777777" w:rsidR="008E7C02" w:rsidRPr="00CB7314" w:rsidRDefault="008E7C02" w:rsidP="00567E27">
      <w:pPr>
        <w:pStyle w:val="Normal12a24b"/>
        <w:widowControl/>
        <w:spacing w:before="0"/>
        <w:ind w:left="567" w:hanging="567"/>
        <w:rPr>
          <w:bCs/>
          <w:iCs/>
        </w:rPr>
      </w:pPr>
      <w:r w:rsidRPr="00CB7314">
        <w:t>ΚΑ.</w:t>
      </w:r>
      <w:r w:rsidRPr="00CB7314">
        <w:tab/>
        <w:t>λαμβάνοντας υπόψη ότι οι μεταφορείς διαδραματίζουν σημαντικό ρόλο στη στρατιωτική κινητικότητα· λαμβάνοντας, ωστόσο, υπόψη ότι οι μη εναρμονισμένες διαδικασίες συχνά προκαλούν σοβαρές καθυστερήσεις στις μεταφορές και στην έκδοση διασυνοριακών αδειών·</w:t>
      </w:r>
    </w:p>
    <w:p w14:paraId="54E5D3CE" w14:textId="77777777" w:rsidR="008E7C02" w:rsidRPr="00CB7314" w:rsidRDefault="008E7C02" w:rsidP="00567E27">
      <w:pPr>
        <w:pStyle w:val="Normal12a24b"/>
        <w:widowControl/>
        <w:spacing w:before="0"/>
        <w:ind w:left="567" w:hanging="567"/>
      </w:pPr>
      <w:r w:rsidRPr="00CB7314">
        <w:rPr>
          <w:rStyle w:val="BoldItalic"/>
        </w:rPr>
        <w:t>Ανταπόκριση στη μεταβαλλόμενη γεωπολιτική πραγματικότητα</w:t>
      </w:r>
    </w:p>
    <w:p w14:paraId="0FFB636D" w14:textId="7EA5D21B" w:rsidR="008E7C02" w:rsidRPr="00CB7314" w:rsidRDefault="008A6A7F" w:rsidP="008A6A7F">
      <w:pPr>
        <w:pStyle w:val="NormalHanging12a"/>
        <w:ind w:left="570" w:hanging="570"/>
      </w:pPr>
      <w:r w:rsidRPr="00CB7314">
        <w:t>1.</w:t>
      </w:r>
      <w:r w:rsidRPr="00CB7314">
        <w:tab/>
      </w:r>
      <w:r w:rsidR="008E7C02" w:rsidRPr="00CB7314">
        <w:t xml:space="preserve">υπογραμμίζει τη σημασία της στρατιωτικής κινητικότητας για την ευρωπαϊκή ασφάλεια και άμυνα· τονίζει τις στρατηγικές ανεπάρκειες και το γεγονός ότι η ανάγκη της ΕΕ για ενισχυμένη στρατιωτική κινητικότητα έχει καταστεί πιο επείγουσα υπό το πρίσμα του επιθετικού πολέμου της Ρωσίας κατά της Ουκρανίας· </w:t>
      </w:r>
    </w:p>
    <w:p w14:paraId="3A21FB0E" w14:textId="1AB075D9" w:rsidR="008E7C02" w:rsidRPr="00CB7314" w:rsidRDefault="008A6A7F" w:rsidP="008A6A7F">
      <w:pPr>
        <w:pStyle w:val="NormalHanging12a"/>
        <w:ind w:left="570" w:hanging="570"/>
        <w:rPr>
          <w:bCs/>
          <w:iCs/>
        </w:rPr>
      </w:pPr>
      <w:r w:rsidRPr="00CB7314">
        <w:rPr>
          <w:bCs/>
          <w:iCs/>
        </w:rPr>
        <w:lastRenderedPageBreak/>
        <w:t>2.</w:t>
      </w:r>
      <w:r w:rsidRPr="00CB7314">
        <w:rPr>
          <w:bCs/>
          <w:iCs/>
        </w:rPr>
        <w:tab/>
      </w:r>
      <w:r w:rsidR="008E7C02" w:rsidRPr="00CB7314">
        <w:t xml:space="preserve">χαιρετίζει τη φιλοδοξία της ΕΕ και των κρατών μελών να αυξήσουν σημαντικά την αμυντική ετοιμότητά τους, να μειώσουν τις στρατηγικές εξαρτήσεις, να αντιμετωπίσουν τα κενά ικανοτήτων και να ενισχύσουν την ευρωπαϊκή τεχνολογική και βιομηχανική βάση στον τομέα της άμυνας στο πλαίσιο των σχετικών πολιτικών της ΕΕ και της κοινής πολιτικής ασφάλειας και άμυνας (ΚΠΑΑ), καθώς και στο πλαίσιο του ΝΑΤΟ· χαιρετίζει τη συνεργασία ΕΕ-ΝΑΤΟ για την ενίσχυση της στρατιωτικής κινητικότητας· θεωρεί, ωστόσο, ότι έχει έρθει η στιγμή να μετατραπούν επειγόντως οι δεδηλωμένοι κοινοί στόχοι ΕΕ-ΝΑΤΟ σε πραγματική πρόοδο· </w:t>
      </w:r>
    </w:p>
    <w:p w14:paraId="44A9133D" w14:textId="453844B4" w:rsidR="008E7C02" w:rsidRPr="00CB7314" w:rsidRDefault="008A6A7F" w:rsidP="008A6A7F">
      <w:pPr>
        <w:pStyle w:val="Normal12a24b"/>
        <w:widowControl/>
        <w:spacing w:before="0"/>
        <w:ind w:left="570" w:hanging="570"/>
        <w:rPr>
          <w:bCs/>
          <w:iCs/>
        </w:rPr>
      </w:pPr>
      <w:r w:rsidRPr="00CB7314">
        <w:rPr>
          <w:bCs/>
          <w:iCs/>
        </w:rPr>
        <w:t>3.</w:t>
      </w:r>
      <w:r w:rsidRPr="00CB7314">
        <w:rPr>
          <w:bCs/>
          <w:iCs/>
        </w:rPr>
        <w:tab/>
      </w:r>
      <w:r w:rsidR="008E7C02" w:rsidRPr="00CB7314">
        <w:t xml:space="preserve">επαινεί τις συλλογικές προσπάθειες για τη στήριξη της Ουκρανίας· επιμένει στη συστηματική άντληση διδαγμάτων από τον επιθετικό πόλεμο της Ρωσίας κατά της Ουκρανίας, μεταξύ άλλων όσον αφορά τη στρατιωτική κινητικότητα, ιδίως με βάση την εμπειρία των ουκρανικών ενόπλων δυνάμεων, καθώς και από εθνικές και πολυεθνικές ασκήσεις· υπογραμμίζει τη σημασία της διασφάλισης υλικοτεχνικής ετοιμότητας σε περίπτωση έκτακτης ανάγκης και σχεδιασμού εναλλακτικών λύσεων, καθώς και του εντοπισμού αδύναμων και ελλειπόντων συνδέσμων· τονίζει τη σημασία του έγκαιρου και αποτελεσματικού συντονισμού με στρατηγικούς εταίρους, ιδίως με το ΝΑΤΟ· </w:t>
      </w:r>
    </w:p>
    <w:p w14:paraId="2553EC1F" w14:textId="04E44BB0" w:rsidR="008E7C02" w:rsidRPr="00CB7314" w:rsidRDefault="008A6A7F" w:rsidP="008A6A7F">
      <w:pPr>
        <w:pStyle w:val="Normal12a24b"/>
        <w:widowControl/>
        <w:spacing w:before="0"/>
        <w:ind w:left="570" w:hanging="570"/>
        <w:rPr>
          <w:bCs/>
          <w:iCs/>
        </w:rPr>
      </w:pPr>
      <w:r w:rsidRPr="00CB7314">
        <w:rPr>
          <w:bCs/>
          <w:iCs/>
        </w:rPr>
        <w:t>4.</w:t>
      </w:r>
      <w:r w:rsidRPr="00CB7314">
        <w:rPr>
          <w:bCs/>
          <w:iCs/>
        </w:rPr>
        <w:tab/>
      </w:r>
      <w:r w:rsidR="008E7C02" w:rsidRPr="00CB7314">
        <w:t xml:space="preserve">τονίζει ότι η Ρωσία συνιστά σημαντική απειλή για την ασφάλεια της Ευρωπαϊκής Ένωσης και ότι η ανάπτυξη της ικανότητας ταχείας ανάπτυξης στρατευμάτων και στρατιωτικών ικανοτήτων στην ανατολική πτέρυγα της ΕΕ είναι ουσιαστικής σημασίας· </w:t>
      </w:r>
    </w:p>
    <w:p w14:paraId="1F961663" w14:textId="352FC6A4" w:rsidR="008E7C02" w:rsidRPr="00CB7314" w:rsidRDefault="008A6A7F" w:rsidP="008A6A7F">
      <w:pPr>
        <w:pStyle w:val="Normal12a24b"/>
        <w:widowControl/>
        <w:spacing w:before="0"/>
        <w:ind w:left="570" w:hanging="570"/>
        <w:rPr>
          <w:bCs/>
          <w:iCs/>
        </w:rPr>
      </w:pPr>
      <w:r w:rsidRPr="00CB7314">
        <w:rPr>
          <w:bCs/>
          <w:iCs/>
        </w:rPr>
        <w:t>5.</w:t>
      </w:r>
      <w:r w:rsidRPr="00CB7314">
        <w:rPr>
          <w:bCs/>
          <w:iCs/>
        </w:rPr>
        <w:tab/>
      </w:r>
      <w:r w:rsidR="008E7C02" w:rsidRPr="00CB7314">
        <w:t xml:space="preserve">υπογραμμίζει τη στρατηγική ανάγκη για επενδύσεις σε όλα τα κράτη μέλη κατά μήκος των τεσσάρων διαδρόμων προτεραιότητας της ΕΕ για τη στρατιωτική κινητικότητα, των βόρειων, ανατολικών, κεντρικών νότιων και κεντρικών βόρειων διαδρόμων, καθώς η ενισχυμένη και αποτελεσματική στρατιωτική κινητικότητα είναι απαραίτητη για την ασφάλεια όλων των κρατών μελών και όλων των Ευρωπαίων πολιτών· </w:t>
      </w:r>
    </w:p>
    <w:p w14:paraId="5BE5A57C" w14:textId="617A8AE8" w:rsidR="008E7C02" w:rsidRPr="00CB7314" w:rsidRDefault="008A6A7F" w:rsidP="008A6A7F">
      <w:pPr>
        <w:pStyle w:val="Normal12a24b"/>
        <w:widowControl/>
        <w:spacing w:before="0"/>
        <w:ind w:left="570" w:hanging="570"/>
        <w:rPr>
          <w:bCs/>
          <w:iCs/>
        </w:rPr>
      </w:pPr>
      <w:r w:rsidRPr="00CB7314">
        <w:rPr>
          <w:bCs/>
          <w:iCs/>
        </w:rPr>
        <w:t>6.</w:t>
      </w:r>
      <w:r w:rsidRPr="00CB7314">
        <w:rPr>
          <w:bCs/>
          <w:iCs/>
        </w:rPr>
        <w:tab/>
      </w:r>
      <w:r w:rsidR="008E7C02" w:rsidRPr="00CB7314">
        <w:t xml:space="preserve">επισημαίνει ότι η ενισχυμένη στρατιωτική κινητικότητα θα ενισχύσει την ΚΠΑΑ της ΕΕ και τις αποστολές και επιχειρήσεις της· καλεί την ΕΕ και τα κράτη μέλη να υιοθετήσουν ένα κοινό όραμα σχετικά με τον τρόπο προώθησης των δράσεών τους για τη στρατιωτική κινητικότητα και να διατυπώσουν συγκεκριμένα παραδοτέα που θα πρέπει να ενσωματωθούν στη στρατηγική πυξίδα της ΕΕ· ζητεί συγκεκριμένη ετοιμότητα όσον αφορά τη στρατιωτική κινητικότητα με τη μετάβαση σε μια ολοκληρωμένη προσέγγιση της στρατιωτικής εφοδιαστικής, συμπεριλαμβανομένης της ασφάλειας των υποδομών ζωτικής σημασίας, των κόμβων μεταφορών, της συντήρησης, της αποθήκευσης, του ανεφοδιασμού, της επισκευής και των πυρομαχικών· </w:t>
      </w:r>
    </w:p>
    <w:p w14:paraId="140A77DE" w14:textId="27E3993D" w:rsidR="008E7C02" w:rsidRPr="00CB7314" w:rsidRDefault="008A6A7F" w:rsidP="008A6A7F">
      <w:pPr>
        <w:pStyle w:val="Normal12a24b"/>
        <w:widowControl/>
        <w:spacing w:before="0"/>
        <w:ind w:left="570" w:hanging="570"/>
        <w:rPr>
          <w:bCs/>
          <w:iCs/>
        </w:rPr>
      </w:pPr>
      <w:r w:rsidRPr="00CB7314">
        <w:rPr>
          <w:bCs/>
          <w:iCs/>
        </w:rPr>
        <w:t>7.</w:t>
      </w:r>
      <w:r w:rsidRPr="00CB7314">
        <w:rPr>
          <w:bCs/>
          <w:iCs/>
        </w:rPr>
        <w:tab/>
      </w:r>
      <w:r w:rsidR="008E7C02" w:rsidRPr="00CB7314">
        <w:t xml:space="preserve">τονίζει ότι η στρατιωτική κινητικότητα δεν περιορίζεται στην κυκλοφορία στρατευμάτων, όπλων και εξοπλισμού, αλλά αφορά επίσης την ανθρωπιστική βοήθεια, τις ανθρωπιστικές ενέργειες και την αλληλεγγύη· υπογραμμίζει ότι η στήριξη της στρατιωτικής κινητικότητας μπορεί επίσης να αποφέρει σημαντικά οφέλη στους πολίτες, δεδομένου ότι η ικανότητα ταχείας ανάπτυξης στρατιωτικών δυνάμεων μπορεί να διευκολύνει την ταχύτερη παροχή ανθρωπιστικής βοήθειας και ιατρικής υποστήριξης, καθώς και την αποκατάσταση των υποδομών σε περίπτωση φυσικών καταστροφών, πανδημιών ή άλλων κρίσεων· τονίζει, επιπλέον, ότι οι επενδύσεις της ΕΕ σε υποδομές στρατιωτικής κινητικότητας μπορούν να αποφέρουν απτά οφέλη για τις τοπικές κοινότητες και για τη συνδεσιμότητα, αυξάνοντας έτσι την τοπική ανθεκτικότητα, την οικονομική ολοκλήρωση, τη δημιουργία θέσεων εργασίας και τη δημόσια στήριξη του ευρωπαϊκού θεματολογίου για την ασφάλεια· </w:t>
      </w:r>
    </w:p>
    <w:p w14:paraId="70A52FC0" w14:textId="77777777" w:rsidR="008E7C02" w:rsidRPr="00CB7314" w:rsidRDefault="008E7C02" w:rsidP="00567E27">
      <w:pPr>
        <w:pStyle w:val="Normal12a24b"/>
        <w:widowControl/>
        <w:spacing w:before="0"/>
        <w:ind w:left="567" w:hanging="567"/>
      </w:pPr>
      <w:r w:rsidRPr="00CB7314">
        <w:rPr>
          <w:rStyle w:val="BoldItalic"/>
        </w:rPr>
        <w:lastRenderedPageBreak/>
        <w:t>Αντιμετώπιση των χρηματοοικονομικών ζητημάτων</w:t>
      </w:r>
    </w:p>
    <w:p w14:paraId="0C25CA1F" w14:textId="1A902B8E" w:rsidR="008E7C02" w:rsidRPr="00CB7314" w:rsidRDefault="008A6A7F" w:rsidP="008A6A7F">
      <w:pPr>
        <w:pStyle w:val="NormalHanging12a"/>
        <w:ind w:left="570" w:hanging="570"/>
      </w:pPr>
      <w:r w:rsidRPr="00CB7314">
        <w:t>8.</w:t>
      </w:r>
      <w:r w:rsidRPr="00CB7314">
        <w:tab/>
      </w:r>
      <w:r w:rsidR="008E7C02" w:rsidRPr="00CB7314">
        <w:t xml:space="preserve">τονίζει ότι ένα ειδικό χρηματοδοτικό μέσο της ΕΕ για τις μεταφορές υπό κεντρική διαχείριση, όπως ο μηχανισμός «Συνδέοντας την Ευρώπη» (ΜΣΕ), πρέπει να συνεχιστεί στο επόμενο πολυετές δημοσιονομικό πλαίσιο (ΠΔΠ) ως κύρια πηγή ισχυρής χρηματοδότησης της στρατιωτικής κινητικότητας, και ο συνολικός προϋπολογισμός του για τις μεταφορές πρέπει να αυξηθεί σημαντικά· χαιρετίζει, επομένως, την πρόταση για αυξημένο προϋπολογισμό για τη στρατιωτική κινητικότητα στο προσεχές ΠΔΠ, το οποίο διαθέτει πάνω από 50 δισεκατομμύρια </w:t>
      </w:r>
      <w:r w:rsidR="00FC42C1" w:rsidRPr="00CB7314">
        <w:t>EUR</w:t>
      </w:r>
      <w:r w:rsidR="008E7C02" w:rsidRPr="00CB7314">
        <w:t xml:space="preserve"> για τις μεταφορές στο πλαίσιο του ΜΣΕ για την περίοδο 2028-2034, συμπεριλαμβανομένων άνω των 17 δισεκατομμυρίων </w:t>
      </w:r>
      <w:r w:rsidR="00FC42C1" w:rsidRPr="00CB7314">
        <w:t>EUR</w:t>
      </w:r>
      <w:r w:rsidR="008E7C02" w:rsidRPr="00CB7314">
        <w:t xml:space="preserve"> για τη στρατιωτική κινητικότητα· </w:t>
      </w:r>
    </w:p>
    <w:p w14:paraId="20C7B3FF" w14:textId="2F3B8CAA" w:rsidR="008E7C02" w:rsidRPr="00CB7314" w:rsidRDefault="008A6A7F" w:rsidP="008A6A7F">
      <w:pPr>
        <w:pStyle w:val="NormalHanging12a"/>
        <w:ind w:left="570" w:hanging="570"/>
        <w:rPr>
          <w:bCs/>
          <w:iCs/>
        </w:rPr>
      </w:pPr>
      <w:r w:rsidRPr="00CB7314">
        <w:rPr>
          <w:bCs/>
          <w:iCs/>
        </w:rPr>
        <w:t>9.</w:t>
      </w:r>
      <w:r w:rsidRPr="00CB7314">
        <w:rPr>
          <w:bCs/>
          <w:iCs/>
        </w:rPr>
        <w:tab/>
      </w:r>
      <w:r w:rsidR="008E7C02" w:rsidRPr="00CB7314">
        <w:t>υπενθυμίζει τις άνευ προηγουμένου περικοπές από το Συμβούλιο της χρηματοδότησης της στρατιωτικής κινητικότητας κατά 75 % στο πλαίσιο του ΠΔΠ της περιόδου 2021-2027, σε σύγκριση με τη θέση του Κοινοβουλίου και της Επιτροπής, και τονίζει ότι μια τέτοια κατάσταση δεν μπορεί να επαναληφθεί· υπογραμμίζει ότι, λόγω της εισβολής πλήρους κλίμακας της Ρωσίας στην Ουκρανία, ο προϋπολογισμός για τη στρατιωτική κινητικότητα έπρεπε να είναι εμπροσθοβαρής και καταναλώθηκε εξ ολοκλήρου έως τις αρχές του 2024·  επιμένει ότι οι πόροι που διατίθενται για τη στρατιωτική κινητικότητα στο πλαίσιο του επόμενου ΠΔΠ πρέπει να αυξηθούν δραστικά ώστε να ευθυγραμμιστούν με τις εκτιμώμενες επενδυτικές ανάγκες ύψους τουλάχιστον 100</w:t>
      </w:r>
      <w:r w:rsidR="00FC42C1" w:rsidRPr="00CB7314">
        <w:t> </w:t>
      </w:r>
      <w:r w:rsidR="008E7C02" w:rsidRPr="00CB7314">
        <w:t xml:space="preserve">δισεκατομμυρίων </w:t>
      </w:r>
      <w:r w:rsidR="00FC42C1" w:rsidRPr="00CB7314">
        <w:t xml:space="preserve">EUR </w:t>
      </w:r>
      <w:r w:rsidR="008E7C02" w:rsidRPr="00CB7314">
        <w:t>για την αντιμετώπιση των 500 κομβικών σημείων που έχουν ταυτοποιηθεί στην ΕΕ ότι χρήζουν επείγουσας αναβάθμισης</w:t>
      </w:r>
      <w:r w:rsidR="008E7C02" w:rsidRPr="00CB7314">
        <w:rPr>
          <w:bCs/>
          <w:iCs/>
          <w:vertAlign w:val="superscript"/>
        </w:rPr>
        <w:footnoteReference w:id="13"/>
      </w:r>
      <w:r w:rsidR="008E7C02" w:rsidRPr="00CB7314">
        <w:t>·</w:t>
      </w:r>
    </w:p>
    <w:p w14:paraId="285101F9" w14:textId="43870E47" w:rsidR="008E7C02" w:rsidRPr="00CB7314" w:rsidRDefault="008A6A7F" w:rsidP="008A6A7F">
      <w:pPr>
        <w:pStyle w:val="NormalHanging12a"/>
        <w:ind w:left="570" w:hanging="570"/>
      </w:pPr>
      <w:r w:rsidRPr="00CB7314">
        <w:t>10.</w:t>
      </w:r>
      <w:r w:rsidRPr="00CB7314">
        <w:tab/>
      </w:r>
      <w:r w:rsidR="008E7C02" w:rsidRPr="00CB7314">
        <w:t xml:space="preserve">επιμένει, λαμβάνοντας υπόψη αυτή την επενδυτική ανάγκη, καθώς και τις συστάσεις της έκθεσης Draghi, ότι είναι σημαντικό να διατηρηθεί τουλάχιστον το αναφερόμενο ποσό των 17 δισεκατομμυρίων </w:t>
      </w:r>
      <w:r w:rsidR="00FC42C1" w:rsidRPr="00CB7314">
        <w:t>EUR</w:t>
      </w:r>
      <w:r w:rsidR="008E7C02" w:rsidRPr="00CB7314">
        <w:t xml:space="preserve"> στις επακόλουθες διαπραγματεύσεις σχετικά με το συνολικό ανώτατο όριο του ΠΔΠ, με παράλληλη προστασία των κονδυλίων για την επίτευξη του ΔΕΔ-Μ· τονίζει ότι το Συμβούλιο δεν πρέπει να υποβάλει καμία πρόταση για τη μείωση του ποσού αυτής της χρηματοδότησης και πιστεύει ότι θα πρέπει να παρακολουθείται στενά η διοχέτευση των κονδυλίων αυτών στη στρατιωτική κινητικότητα· </w:t>
      </w:r>
    </w:p>
    <w:p w14:paraId="46C57A1C" w14:textId="5547EE1F" w:rsidR="008E7C02" w:rsidRPr="00CB7314" w:rsidRDefault="008A6A7F" w:rsidP="008A6A7F">
      <w:pPr>
        <w:pStyle w:val="NormalHanging12a"/>
        <w:ind w:left="570" w:hanging="570"/>
        <w:rPr>
          <w:bCs/>
          <w:iCs/>
        </w:rPr>
      </w:pPr>
      <w:r w:rsidRPr="00CB7314">
        <w:rPr>
          <w:bCs/>
          <w:iCs/>
        </w:rPr>
        <w:t>11.</w:t>
      </w:r>
      <w:r w:rsidRPr="00CB7314">
        <w:rPr>
          <w:bCs/>
          <w:iCs/>
        </w:rPr>
        <w:tab/>
      </w:r>
      <w:r w:rsidR="008E7C02" w:rsidRPr="00CB7314">
        <w:t>τονίζει την ανάγκη επιτυχούς προώθησης της συνεργασίας και της ευθυγράμμισης μεταξύ των κρατών μελών όσον αφορά διασυνοριακά και μεγάλης κλίμακας έργα μεταφορών και την ανάπτυξη υποδομών διπλής χρήσης, ώστε να καταστεί δυνατή η ταχεία και αποτελεσματική μεγάλης κλίμακας κινητοποίηση και κυκλοφορία στρατευμάτων, εξοπλισμού και πόρων σε ολόκληρη την ΕΕ·</w:t>
      </w:r>
    </w:p>
    <w:p w14:paraId="20EA570B" w14:textId="063C6052" w:rsidR="008E7C02" w:rsidRPr="00CB7314" w:rsidRDefault="008A6A7F" w:rsidP="008A6A7F">
      <w:pPr>
        <w:pStyle w:val="NormalHanging12a"/>
        <w:ind w:left="570" w:hanging="570"/>
        <w:rPr>
          <w:bCs/>
          <w:iCs/>
        </w:rPr>
      </w:pPr>
      <w:r w:rsidRPr="00CB7314">
        <w:rPr>
          <w:bCs/>
          <w:iCs/>
        </w:rPr>
        <w:t>12.</w:t>
      </w:r>
      <w:r w:rsidRPr="00CB7314">
        <w:rPr>
          <w:bCs/>
          <w:iCs/>
        </w:rPr>
        <w:tab/>
      </w:r>
      <w:r w:rsidR="008E7C02" w:rsidRPr="00CB7314">
        <w:t xml:space="preserve">επαναλαμβάνει ότι οι πρωτοβουλίες και η χρηματοδότηση της στρατιωτικής κινητικότητας δεν θα πρέπει να παρεμποδίζουν τη συνολική υλοποίηση δράσεων που σχετίζονται με την ολοκλήρωση ενός έξυπνου, ανθεκτικού, διαλειτουργικού, απαλλαγμένου από ανθρακούχες εκπομπές και βιώσιμου ΔΕΔ-Μ· υπενθυμίζει τον στόχο της ολοκλήρωσης του κεντρικού δικτύου ΔΕΔ-Μ έως το 2030, συμπεριλαμβανομένης της ανάπτυξης του Ευρωπαϊκού Συστήματος Διαχείρισης της </w:t>
      </w:r>
      <w:r w:rsidR="008E7C02" w:rsidRPr="00CB7314">
        <w:lastRenderedPageBreak/>
        <w:t>Σιδηροδρομικής Κυκλοφορίας (ERTMS), καθώς και του εκτεταμένου κεντρικού δικτύου έως το 2040·</w:t>
      </w:r>
    </w:p>
    <w:p w14:paraId="591A16CA" w14:textId="3B855C8D" w:rsidR="008E7C02" w:rsidRPr="00CB7314" w:rsidRDefault="008A6A7F" w:rsidP="008A6A7F">
      <w:pPr>
        <w:pStyle w:val="NormalHanging12a"/>
        <w:ind w:left="570" w:hanging="570"/>
        <w:rPr>
          <w:bCs/>
          <w:iCs/>
        </w:rPr>
      </w:pPr>
      <w:r w:rsidRPr="00CB7314">
        <w:rPr>
          <w:bCs/>
          <w:iCs/>
        </w:rPr>
        <w:t>13.</w:t>
      </w:r>
      <w:r w:rsidRPr="00CB7314">
        <w:rPr>
          <w:bCs/>
          <w:iCs/>
        </w:rPr>
        <w:tab/>
      </w:r>
      <w:r w:rsidR="008E7C02" w:rsidRPr="00CB7314">
        <w:t xml:space="preserve">τονίζει ότι η έγκαιρη ολοκλήρωση διασυνοριακών έργων υποδομών μεταφορών εντός του δικτύου ΔΕΔ-Μ αποτελεί απαραίτητο στόχο για την επίτευξη αποτελεσματικών στόχων διπλής χρήσης και στρατιωτικής κινητικότητας στην Ευρώπη· υπενθυμίζει ότι, σύμφωνα με το έγγραφο θέσης των συντονιστών του ΔΕΔ-Μ του Απριλίου 2024, οι συνολικές επενδύσεις που απαιτούνται για την ολοκλήρωση του κεντρικού και του εκτεταμένου κεντρικού δικτύου ΔΕΔ-Μ ανέρχονται σε 845 δισεκατομμύρια </w:t>
      </w:r>
      <w:r w:rsidR="00FC42C1" w:rsidRPr="00CB7314">
        <w:t>EUR</w:t>
      </w:r>
      <w:r w:rsidR="008E7C02" w:rsidRPr="00CB7314">
        <w:t xml:space="preserve"> κατά τα επόμενα 15 έτη, και ότι, μόνο για έργα με την υψηλότερη ενωσιακή προστιθέμενη αξία, το υπόλοιπο ποσό που πρέπει να επενδυθεί εκτιμάται σε τουλάχιστον 210 δισεκατομμύρια </w:t>
      </w:r>
      <w:r w:rsidR="00FC42C1" w:rsidRPr="00CB7314">
        <w:t>EUR</w:t>
      </w:r>
      <w:r w:rsidR="008E7C02" w:rsidRPr="00CB7314">
        <w:t>·</w:t>
      </w:r>
    </w:p>
    <w:p w14:paraId="58E91C65" w14:textId="791526FB" w:rsidR="008E7C02" w:rsidRPr="00CB7314" w:rsidRDefault="008A6A7F" w:rsidP="008A6A7F">
      <w:pPr>
        <w:pStyle w:val="NormalHanging12a"/>
        <w:ind w:left="570" w:hanging="570"/>
      </w:pPr>
      <w:r w:rsidRPr="00CB7314">
        <w:t>14.</w:t>
      </w:r>
      <w:r w:rsidRPr="00CB7314">
        <w:tab/>
      </w:r>
      <w:r w:rsidR="008E7C02" w:rsidRPr="00CB7314">
        <w:t>υπενθυμίζει ότι η υλοποίηση μεγάλων έργων υποδομών μεταφορών ζωτικής σημασίας για τη στρατιωτική κινητικότητα απαιτεί μακροπρόθεσμη χρηματοδότηση λόγω της φύσης των δράσεων που πρέπει να αναληφθούν·</w:t>
      </w:r>
    </w:p>
    <w:p w14:paraId="01F346CE" w14:textId="3B7B0254" w:rsidR="008E7C02" w:rsidRPr="00CB7314" w:rsidRDefault="008A6A7F" w:rsidP="008A6A7F">
      <w:pPr>
        <w:pStyle w:val="NormalHanging12a"/>
        <w:ind w:left="570" w:hanging="570"/>
        <w:rPr>
          <w:bCs/>
          <w:iCs/>
        </w:rPr>
      </w:pPr>
      <w:r w:rsidRPr="00CB7314">
        <w:rPr>
          <w:bCs/>
          <w:iCs/>
        </w:rPr>
        <w:t>15.</w:t>
      </w:r>
      <w:r w:rsidRPr="00CB7314">
        <w:rPr>
          <w:bCs/>
          <w:iCs/>
        </w:rPr>
        <w:tab/>
      </w:r>
      <w:r w:rsidR="008E7C02" w:rsidRPr="00CB7314">
        <w:t>τονίζει την ανάγκη εξορθολογισμού και απλούστευσης των διαδικασιών για την εξασφάλιση χρηματοδότησης για έργα υποδομών διπλής χρήσης στο πλαίσιο της στρατιωτικής κινητικότητας του ΜΣΕ στο προσεχές ΠΔΠ·</w:t>
      </w:r>
    </w:p>
    <w:p w14:paraId="6CF006D4" w14:textId="09B9E461" w:rsidR="008E7C02" w:rsidRPr="00CB7314" w:rsidRDefault="008A6A7F" w:rsidP="008A6A7F">
      <w:pPr>
        <w:pStyle w:val="NormalHanging12a"/>
        <w:ind w:left="570" w:hanging="570"/>
        <w:rPr>
          <w:bCs/>
          <w:iCs/>
        </w:rPr>
      </w:pPr>
      <w:r w:rsidRPr="00CB7314">
        <w:rPr>
          <w:bCs/>
          <w:iCs/>
        </w:rPr>
        <w:t>16.</w:t>
      </w:r>
      <w:r w:rsidRPr="00CB7314">
        <w:rPr>
          <w:bCs/>
          <w:iCs/>
        </w:rPr>
        <w:tab/>
      </w:r>
      <w:r w:rsidR="008E7C02" w:rsidRPr="00CB7314">
        <w:t>εκφράζει την ικανοποίησή του για τα αρχικά δάνεια της Ευρωπαϊκής Τράπεζας Επενδύσεων (ΕΤΕπ) για επενδύσεις σε έργα υποδομών διπλής χρήσης με σκοπό την ενίσχυση της στρατιωτικής κινητικότητας· ζητεί να υπάρξει διαρκής συμμετοχή της ΕΤΕπ στη χρηματοδότηση άλλων έργων και ικανοτήτων υποδομών διπλής χρήσης·</w:t>
      </w:r>
    </w:p>
    <w:p w14:paraId="4F42E37C" w14:textId="14833CA3" w:rsidR="008E7C02" w:rsidRPr="00CB7314" w:rsidRDefault="008A6A7F" w:rsidP="008A6A7F">
      <w:pPr>
        <w:pStyle w:val="NormalHanging12a"/>
        <w:ind w:left="570" w:hanging="570"/>
        <w:rPr>
          <w:bCs/>
          <w:iCs/>
        </w:rPr>
      </w:pPr>
      <w:r w:rsidRPr="00CB7314">
        <w:rPr>
          <w:bCs/>
          <w:iCs/>
        </w:rPr>
        <w:t>17.</w:t>
      </w:r>
      <w:r w:rsidRPr="00CB7314">
        <w:rPr>
          <w:bCs/>
          <w:iCs/>
        </w:rPr>
        <w:tab/>
      </w:r>
      <w:r w:rsidR="008E7C02" w:rsidRPr="00CB7314">
        <w:t>ενθαρρύνει τη διερεύνηση των δυνατοτήτων ανάπτυξης πρόσθετων χρηματοδοτικών μηχανισμών, όπως μια τράπεζα άμυνας, ασφάλειας και ανθεκτικότητας, για την αντιμετώπιση των χρηματοδοτικών αναγκών ασφάλειας, άμυνας και ανθεκτικότητας·</w:t>
      </w:r>
    </w:p>
    <w:p w14:paraId="541DEF2D" w14:textId="50ACE969" w:rsidR="008E7C02" w:rsidRPr="00CB7314" w:rsidRDefault="008A6A7F" w:rsidP="008A6A7F">
      <w:pPr>
        <w:pStyle w:val="NormalHanging12a"/>
        <w:ind w:left="570" w:hanging="570"/>
        <w:rPr>
          <w:bCs/>
          <w:iCs/>
        </w:rPr>
      </w:pPr>
      <w:r w:rsidRPr="00CB7314">
        <w:rPr>
          <w:bCs/>
          <w:iCs/>
        </w:rPr>
        <w:t>18.</w:t>
      </w:r>
      <w:r w:rsidRPr="00CB7314">
        <w:rPr>
          <w:bCs/>
          <w:iCs/>
        </w:rPr>
        <w:tab/>
      </w:r>
      <w:r w:rsidR="008E7C02" w:rsidRPr="00CB7314">
        <w:t>υπενθυμίζει ότι τα κράτη μέλη δύνανται να χρησιμοποιήσουν τη μέγιστη διαθέσιμη χρηματοδότηση στο πλαίσιο του τρέχοντος ΠΔΠ, συμπεριλαμβανομένων των μέτρων που θεσπίστηκαν πρόσφατα για την ανακατανομή των πόρων στο Ευρωπαϊκό Ταμείο Περιφερειακής Ανάπτυξης και στο Ταμείο Συνοχής, καθώς και να ανακατευθύνουν γρήγορα τα αχρησιμοποίητα κονδύλια του Μηχανισμού Ανάκαμψης και Ανθεκτικότητας προς επενδύσεις στην άμυνα, μεταξύ άλλων σε υποδομές διπλής χρήσης και σε κινητά μέσα για την προώθηση της στρατιωτικής κινητικότητας, συμπεριλαμβανομένης της στρατιωτικής αντιευκινησίας·</w:t>
      </w:r>
    </w:p>
    <w:p w14:paraId="1B6D771A" w14:textId="03683B05" w:rsidR="008E7C02" w:rsidRPr="00CB7314" w:rsidRDefault="008A6A7F" w:rsidP="008A6A7F">
      <w:pPr>
        <w:pStyle w:val="NormalHanging12a"/>
        <w:ind w:left="570" w:hanging="570"/>
        <w:rPr>
          <w:bCs/>
          <w:iCs/>
        </w:rPr>
      </w:pPr>
      <w:r w:rsidRPr="00CB7314">
        <w:rPr>
          <w:bCs/>
          <w:iCs/>
        </w:rPr>
        <w:t>19.</w:t>
      </w:r>
      <w:r w:rsidRPr="00CB7314">
        <w:rPr>
          <w:bCs/>
          <w:iCs/>
        </w:rPr>
        <w:tab/>
      </w:r>
      <w:r w:rsidR="008E7C02" w:rsidRPr="00CB7314">
        <w:t>ζητεί να διασφαλιστεί ότι οι ειδικοί προϋπολογισμοί στο πλαίσιο του EDIP, του Ευρωπαϊκού Ταμείου Άμυνας, του προγράμματος SAFE και των μέτρων που εγκρίθηκαν στο πλαίσιο της δέσμης μέτρων για την αμυντική ετοιμότητα και άλλων αμυντικών πρωτοβουλιών της ΕΕ μπορούν να χρησιμοποιηθούν για τη στήριξη της επέκτασης και της αναβάθμισης τόσο των υλικών όσο και των ψηφιακών υποδομών διπλής χρήσης και της συνεργατικής και προβλέψιμης απόκτησης ευνοϊκών ικανοτήτων για την άμυνα, μεταξύ άλλων όσον αφορά τη στρατιωτική κινητικότητα, για την ενίσχυση μιας πραγματικής Ευρωπαϊκής Αμυντικής Ένωσης·</w:t>
      </w:r>
    </w:p>
    <w:p w14:paraId="517EED8C" w14:textId="77777777" w:rsidR="008E7C02" w:rsidRPr="00CB7314" w:rsidRDefault="008E7C02" w:rsidP="00567E27">
      <w:pPr>
        <w:pStyle w:val="Normal12a24b"/>
        <w:widowControl/>
        <w:spacing w:before="0"/>
      </w:pPr>
      <w:r w:rsidRPr="00CB7314">
        <w:rPr>
          <w:rStyle w:val="BoldItalic"/>
        </w:rPr>
        <w:t xml:space="preserve">Άρση των εμποδίων για τη στρατιωτική κινητικότητα και μετάβαση σε έναν </w:t>
      </w:r>
      <w:r w:rsidRPr="00CB7314">
        <w:t>«</w:t>
      </w:r>
      <w:r w:rsidRPr="00CB7314">
        <w:rPr>
          <w:rStyle w:val="BoldItalic"/>
        </w:rPr>
        <w:t>στρατιωτικό χώρο Σένγκεν</w:t>
      </w:r>
      <w:r w:rsidRPr="00CB7314">
        <w:t>»</w:t>
      </w:r>
    </w:p>
    <w:p w14:paraId="0D6BEA2E" w14:textId="4750D781" w:rsidR="008E7C02" w:rsidRPr="00CB7314" w:rsidRDefault="008A6A7F" w:rsidP="008A6A7F">
      <w:pPr>
        <w:pStyle w:val="NormalHanging12a"/>
        <w:ind w:left="570" w:hanging="570"/>
      </w:pPr>
      <w:r w:rsidRPr="00CB7314">
        <w:lastRenderedPageBreak/>
        <w:t>20.</w:t>
      </w:r>
      <w:r w:rsidRPr="00CB7314">
        <w:tab/>
      </w:r>
      <w:r w:rsidR="008E7C02" w:rsidRPr="00CB7314">
        <w:t>επαναλαμβάνει τις εκκλήσεις για έναν «στρατιωτικό χώρο Σένγκεν» και ενθαρρύνει την Επιτροπή να παράσχει χωρίς περαιτέρω καθυστέρηση χάρτη πορείας προς τον εν λόγω στόχο·</w:t>
      </w:r>
    </w:p>
    <w:p w14:paraId="0003A3C8" w14:textId="2C36A47B" w:rsidR="008E7C02" w:rsidRPr="00CB7314" w:rsidRDefault="008A6A7F" w:rsidP="008A6A7F">
      <w:pPr>
        <w:pStyle w:val="NormalHanging12a"/>
        <w:ind w:left="570" w:hanging="570"/>
        <w:rPr>
          <w:bCs/>
          <w:iCs/>
        </w:rPr>
      </w:pPr>
      <w:r w:rsidRPr="00CB7314">
        <w:rPr>
          <w:bCs/>
          <w:iCs/>
        </w:rPr>
        <w:t>21.</w:t>
      </w:r>
      <w:r w:rsidRPr="00CB7314">
        <w:rPr>
          <w:bCs/>
          <w:iCs/>
        </w:rPr>
        <w:tab/>
      </w:r>
      <w:r w:rsidR="008E7C02" w:rsidRPr="00CB7314">
        <w:t>επαναλαμβάνει τη βαθιά του ανησυχία για την τρέχουσα έλλειψη ανταπόκρισης και αποτελεσματικότητας στη στρατιωτική κινητικότητα, η οποία παρεμποδίζεται από την κανονιστική και διαδικαστική πολυπλοκότητα και την έλλειψη εναρμόνισης, με αποτέλεσμα αργό συντονισμό και απώλεια χρόνου·</w:t>
      </w:r>
    </w:p>
    <w:p w14:paraId="26AEE48F" w14:textId="0BF40A2A" w:rsidR="008E7C02" w:rsidRPr="00CB7314" w:rsidRDefault="008A6A7F" w:rsidP="008A6A7F">
      <w:pPr>
        <w:pStyle w:val="NormalHanging12a"/>
        <w:ind w:left="570" w:hanging="570"/>
        <w:rPr>
          <w:bCs/>
          <w:iCs/>
        </w:rPr>
      </w:pPr>
      <w:r w:rsidRPr="00CB7314">
        <w:rPr>
          <w:bCs/>
          <w:iCs/>
        </w:rPr>
        <w:t>22.</w:t>
      </w:r>
      <w:r w:rsidRPr="00CB7314">
        <w:rPr>
          <w:bCs/>
          <w:iCs/>
        </w:rPr>
        <w:tab/>
      </w:r>
      <w:r w:rsidR="008E7C02" w:rsidRPr="00CB7314">
        <w:t xml:space="preserve">καλεί την Επιτροπή και τα κράτη μέλη να ενσωματώσουν μια προσέγγιση για το σύνολο της κοινωνίας όσον αφορά τη στρατιωτική κινητικότητα, με τη συμμετοχή όλων των σχετικών ενδιαφερόμενων μερών, συμπεριλαμβανομένου του δημόσιου, του ιδιωτικού και του μη στρατιωτικού τομέα, μέσω της επικοινωνίας και της επεξήγησης των μέτρων που λαμβάνονται· </w:t>
      </w:r>
    </w:p>
    <w:p w14:paraId="1E82FE92" w14:textId="0716ACE9" w:rsidR="008E7C02" w:rsidRPr="00CB7314" w:rsidRDefault="008A6A7F" w:rsidP="008A6A7F">
      <w:pPr>
        <w:pStyle w:val="NormalHanging12a"/>
        <w:ind w:left="570" w:hanging="570"/>
      </w:pPr>
      <w:r w:rsidRPr="00CB7314">
        <w:t>23.</w:t>
      </w:r>
      <w:r w:rsidRPr="00CB7314">
        <w:tab/>
      </w:r>
      <w:r w:rsidR="008E7C02" w:rsidRPr="00CB7314">
        <w:t>ζητεί από την Επιτροπή και τα κράτη μέλη να εφαρμόσουν πλήρως και επειγόντως τις 13 δεσμεύσεις που ανέλαβαν στο πλαίσιο της δέσμευσης για τη στρατιωτική κινητικότητα 2024, εστιάζοντας στις επενδύσεις σε υποδομές μεταφορών και μεταφορικά μέσα, στην κανονιστική εναρμόνιση, στην επιτάχυνση των αδειών διασυνοριακών μετακινήσεων και στην ενίσχυση της ΚΠΑΑ και της συνεργασίας ΕΕ-ΝΑΤΟ·</w:t>
      </w:r>
    </w:p>
    <w:p w14:paraId="226CE651" w14:textId="1C83CB30" w:rsidR="008E7C02" w:rsidRPr="00CB7314" w:rsidRDefault="008A6A7F" w:rsidP="008A6A7F">
      <w:pPr>
        <w:pStyle w:val="NormalHanging12a"/>
        <w:ind w:left="570" w:hanging="570"/>
      </w:pPr>
      <w:r w:rsidRPr="00CB7314">
        <w:t>24.</w:t>
      </w:r>
      <w:r w:rsidRPr="00CB7314">
        <w:tab/>
      </w:r>
      <w:r w:rsidR="008E7C02" w:rsidRPr="00CB7314">
        <w:t>παροτρύνει την Επιτροπή να υιοθετήσει μια οριζόντια προσέγγιση όταν προτείνει περαιτέρω δράσεις εναρμονίζοντας και απλουστεύοντας τους κανονισμούς και τις διαδικασίες με επείγοντα στόχο την ενσωμάτωση και τον συντονισμό της προσέγγισης της ΕΕ για την άρση όλων των υφιστάμενων διοικητικών, διπλωματικών, υλικοτεχνικών φραγμών και φραγμών στις υποδομές για τη στρατιωτική κινητικότητα·</w:t>
      </w:r>
    </w:p>
    <w:p w14:paraId="46CC8742" w14:textId="300A76FE" w:rsidR="008E7C02" w:rsidRPr="00CB7314" w:rsidRDefault="008A6A7F" w:rsidP="008A6A7F">
      <w:pPr>
        <w:pStyle w:val="NormalHanging12a"/>
        <w:ind w:left="570" w:hanging="570"/>
        <w:rPr>
          <w:bCs/>
          <w:iCs/>
        </w:rPr>
      </w:pPr>
      <w:r w:rsidRPr="00CB7314">
        <w:rPr>
          <w:bCs/>
          <w:iCs/>
        </w:rPr>
        <w:t>25.</w:t>
      </w:r>
      <w:r w:rsidRPr="00CB7314">
        <w:rPr>
          <w:bCs/>
          <w:iCs/>
        </w:rPr>
        <w:tab/>
      </w:r>
      <w:r w:rsidR="008E7C02" w:rsidRPr="00CB7314">
        <w:t xml:space="preserve">ζητεί τη δημιουργία μιας ευρωπαϊκής ψηφιακής υπηρεσίας μίας στάσης για την έκδοση αδειών διασυνοριακής μετακίνησης στρατιωτικού εξοπλισμού, συμπεριλαμβανομένων ενός κωδικοποιημένου συστήματος προτεραιότητας και μιας βάσης δεδομένων που θα χρησιμοποιείται από κοινού με το ΝΑΤΟ· </w:t>
      </w:r>
    </w:p>
    <w:p w14:paraId="2F6DB84C" w14:textId="663C3D59" w:rsidR="008E7C02" w:rsidRPr="00CB7314" w:rsidRDefault="008A6A7F" w:rsidP="008A6A7F">
      <w:pPr>
        <w:pStyle w:val="NormalHanging12a"/>
        <w:ind w:left="570" w:hanging="570"/>
      </w:pPr>
      <w:r w:rsidRPr="00CB7314">
        <w:t>26.</w:t>
      </w:r>
      <w:r w:rsidRPr="00CB7314">
        <w:tab/>
      </w:r>
      <w:r w:rsidR="008E7C02" w:rsidRPr="00CB7314">
        <w:t>τονίζει την ανάγκη εξορθολογισμού των πολύπλοκων, χρονοβόρων και αποκλινόντων εθνικών κανόνων και διαδικασιών· επιμένει ότι η επικείμενη δέσμη μέτρων για τη στρατιωτική κινητικότητα προτείνει απλουστευμένες, εναρμονισμένες, ενιαίες και ψηφιοποιημένες διαδικασίες σε όλους τους τρόπους μεταφοράς, μεταξύ άλλων στα τελωνεία, στη μεταφορά επικίνδυνων αγαθών, στις μη κανονικές μεταφορές, τις διπλωματικές εγκρίσεις και τη χρήση πανομοιότυπων αδειών, όπως για προσφορές/πιστώσεις διασυνοριακής μετακίνησης, και το έντυπο 302 ΕΕ/ΝΑΤΟ το οποίο θα πρέπει να αναγνωρίζεται και να χρησιμοποιείται από όλα τα κράτη μέλη· ζητεί επίσης την ανάπτυξη ενός στρατιωτικού τελωνειακού συστήματος για την ψηφιοποίηση των τελωνειακών διατυπώσεων και τη μείωση του διοικητικού φόρτου και του κόστους, σε σχέση με τα υφιστάμενα έργα της ΕΕ, όπως το ασφαλές ψηφιακό σύστημα στρατιωτικής κινητικότητας·</w:t>
      </w:r>
    </w:p>
    <w:p w14:paraId="1F43F827" w14:textId="7969ADC4" w:rsidR="008E7C02" w:rsidRPr="00CB7314" w:rsidRDefault="008A6A7F" w:rsidP="008A6A7F">
      <w:pPr>
        <w:pStyle w:val="NormalHanging12a"/>
        <w:ind w:left="570" w:hanging="570"/>
        <w:rPr>
          <w:bCs/>
          <w:iCs/>
        </w:rPr>
      </w:pPr>
      <w:r w:rsidRPr="00CB7314">
        <w:rPr>
          <w:bCs/>
          <w:iCs/>
        </w:rPr>
        <w:t>27.</w:t>
      </w:r>
      <w:r w:rsidRPr="00CB7314">
        <w:rPr>
          <w:bCs/>
          <w:iCs/>
        </w:rPr>
        <w:tab/>
      </w:r>
      <w:r w:rsidR="008E7C02" w:rsidRPr="00CB7314">
        <w:t xml:space="preserve">υπογραμμίζει τη σημασία της άρσης των διοικητικών φραγμών και των εμποδίων στις υποδομές που αντιμετωπίζουν εταιρείες που εκτελούν μη κανονικές οδικές μεταφορές στρατιωτικού εξοπλισμού και γερανών για έργα υποδομών ζωτικής σημασίας· ζητεί, επομένως, την περαιτέρω εναρμόνιση των κανόνων για τις μη κανονικές οδικές </w:t>
      </w:r>
      <w:r w:rsidR="008E7C02" w:rsidRPr="00CB7314">
        <w:lastRenderedPageBreak/>
        <w:t xml:space="preserve">μεταφορές στο πλαίσιο της εν εξελίξει αναθεώρησης της οδηγίας για τα βάρη και τις διαστάσεις· </w:t>
      </w:r>
    </w:p>
    <w:p w14:paraId="0D93C105" w14:textId="69A4FC23" w:rsidR="008E7C02" w:rsidRPr="00CB7314" w:rsidRDefault="008A6A7F" w:rsidP="008A6A7F">
      <w:pPr>
        <w:pStyle w:val="NormalHanging12a"/>
        <w:ind w:left="570" w:hanging="570"/>
        <w:rPr>
          <w:bCs/>
          <w:iCs/>
        </w:rPr>
      </w:pPr>
      <w:r w:rsidRPr="00CB7314">
        <w:rPr>
          <w:bCs/>
          <w:iCs/>
        </w:rPr>
        <w:t>28.</w:t>
      </w:r>
      <w:r w:rsidRPr="00CB7314">
        <w:rPr>
          <w:bCs/>
          <w:iCs/>
        </w:rPr>
        <w:tab/>
      </w:r>
      <w:r w:rsidR="008E7C02" w:rsidRPr="00CB7314">
        <w:t>υπογραμμίζει ότι η παροχή ασφαλιστικής κάλυψης για κίνδυνο πολέμου στους παρόχους εφοδιαστικής υψηλού κινδύνου μπορεί να χρησιμεύσει ως κίνητρο για τις εταιρείες, καθώς συμβάλλει στον μετριασμό των επιχειρησιακών κινδύνων·</w:t>
      </w:r>
    </w:p>
    <w:p w14:paraId="78608FEA" w14:textId="3402C74F" w:rsidR="008E7C02" w:rsidRPr="00CB7314" w:rsidRDefault="008A6A7F" w:rsidP="008A6A7F">
      <w:pPr>
        <w:pStyle w:val="NormalHanging12a"/>
        <w:ind w:left="570" w:hanging="570"/>
      </w:pPr>
      <w:r w:rsidRPr="00CB7314">
        <w:t>29.</w:t>
      </w:r>
      <w:r w:rsidRPr="00CB7314">
        <w:tab/>
      </w:r>
      <w:r w:rsidR="008E7C02" w:rsidRPr="00CB7314">
        <w:t>τονίζει ότι η εναρμόνιση των διαδικασιών και η αποτελεσματική διαλειτουργικότητα θα ενισχύσουν την αμοιβαία εμπιστοσύνη μεταξύ των κρατών μελών και θα ενισχύσουν τη διασυνοριακή συνδεσιμότητα·</w:t>
      </w:r>
    </w:p>
    <w:p w14:paraId="2B7DFF91" w14:textId="61FFF910" w:rsidR="008E7C02" w:rsidRPr="00CB7314" w:rsidRDefault="008A6A7F" w:rsidP="008A6A7F">
      <w:pPr>
        <w:pStyle w:val="NormalHanging12a"/>
        <w:ind w:left="570" w:hanging="570"/>
      </w:pPr>
      <w:r w:rsidRPr="00CB7314">
        <w:t>30.</w:t>
      </w:r>
      <w:r w:rsidRPr="00CB7314">
        <w:tab/>
      </w:r>
      <w:r w:rsidR="008E7C02" w:rsidRPr="00CB7314">
        <w:t>εκφράζει την ικανοποίησή του για τον στόχο της απλούστευσης των νομικών και διοικητικών πλαισίων, όπως προτείνεται στη δέσμη για την αμυντική ετοιμότητα και στην επικείμενη κοινή ανακοίνωση για τη στρατιωτική κινητικότητα 2025, και ζητεί την άμεση επίτευξη και εφαρμογή του·</w:t>
      </w:r>
    </w:p>
    <w:p w14:paraId="1BC22562" w14:textId="77777777" w:rsidR="008E7C02" w:rsidRPr="00CB7314" w:rsidRDefault="008E7C02" w:rsidP="00567E27">
      <w:pPr>
        <w:pStyle w:val="NormalHanging12a"/>
        <w:rPr>
          <w:b/>
          <w:i/>
        </w:rPr>
      </w:pPr>
      <w:r w:rsidRPr="00CB7314">
        <w:rPr>
          <w:b/>
          <w:i/>
        </w:rPr>
        <w:t>Πλαίσιο κρίσης</w:t>
      </w:r>
    </w:p>
    <w:p w14:paraId="0220F3ED" w14:textId="616104BF" w:rsidR="008E7C02" w:rsidRPr="00CB7314" w:rsidRDefault="008A6A7F" w:rsidP="008A6A7F">
      <w:pPr>
        <w:pStyle w:val="NormalHanging12a"/>
        <w:ind w:left="570" w:hanging="570"/>
      </w:pPr>
      <w:r w:rsidRPr="00CB7314">
        <w:t>31.</w:t>
      </w:r>
      <w:r w:rsidRPr="00CB7314">
        <w:tab/>
      </w:r>
      <w:r w:rsidR="008E7C02" w:rsidRPr="00CB7314">
        <w:t>παροτρύνει την Επιτροπή να παρουσιάσει ένα νομικό και επιχειρησιακό πλαίσιο για την αντιμετώπιση των «καταστάσεων κρίσης», το οποίο θα διακρίνει σαφώς τουλάχιστον τρεις φάσεις, όπως «περίοδος ειρήνης», «περίοδος κρίσης» και «περίοδος πολέμου», καθώς και θα περιλαμβάνει κανόνες για κάθε φάση, προκειμένου να διασφαλιστεί η διαλειτουργικότητα και η κατά προτεραιότητα πρόσβαση των ενόπλων δυνάμεων σε μεταφορικές εγκαταστάσεις, δίκτυα και μέσα, με εξορθολογισμένη μετακίνηση του στρατιωτικού προσωπικού και εξοπλισμού εντός και εκτός των στρατιωτικών διαδρόμων· ζητεί το πλαίσιο αυτό να παρέχει σαφείς ορισμούς για τα «εναλλακτικά σχέδια» και τις «εναλλακτικές λύσεις», ώστε να διασφαλίζεται η συνέχεια των στρατιωτικών μεταφορών σε περίπτωση διαταραχής, καθώς και καθοδήγηση στα κράτη μέλη όσον αφορά την ανάθεση της επιτήρησης και της προστασίας κρίσιμων υποδομών σε διαφορετικούς παρόχους ασφάλειας·</w:t>
      </w:r>
    </w:p>
    <w:p w14:paraId="453A7DF9" w14:textId="6F13B058" w:rsidR="008E7C02" w:rsidRPr="00CB7314" w:rsidRDefault="008A6A7F" w:rsidP="008A6A7F">
      <w:pPr>
        <w:pStyle w:val="NormalHanging12a"/>
        <w:ind w:left="570" w:hanging="570"/>
      </w:pPr>
      <w:r w:rsidRPr="00CB7314">
        <w:t>32.</w:t>
      </w:r>
      <w:r w:rsidRPr="00CB7314">
        <w:tab/>
      </w:r>
      <w:r w:rsidR="008E7C02" w:rsidRPr="00CB7314">
        <w:t>αναμένει ότι το επικείμενο νομικό πλαίσιο θα θεσπίσει ένα αποτελεσματικό και σαφές σύστημα επικοινωνίας και συντονισμού μεταξύ στρατιωτικών και δημόσιων αρχών, συμπεριλαμβανομένου του ΝΑΤΟ, για την ανταλλαγή πληροφοριών, με βάση την ανάγκη γνώσης, με τους διαχειριστές υποδομών και τους μεταφορείς που είναι ειδικευμένοι να παρέχουν στρατιωτικές υπηρεσίες εφοδιαστικής, προκειμένου να ενισχυθεί η ανθεκτικότητα σε ολόκληρα δίκτυα για κάθε φάση· σημειώνει, ειδικότερα, την έλλειψη συνεργασίας και την περιορισμένη επικοινωνία μεταξύ των λιμενικών αρχών και των στρατιωτικών ή σχετικών αμυντικών φορέων· κατανοεί τον ευαίσθητο χαρακτήρα των πρακτικών ανταλλαγής πληροφοριών, ιδίως των ευρωπαϊκών λιμενικών αρχών ξένης ιδιοκτησίας· τονίζει, ωστόσο, ότι είναι απαραίτητος ένας αξιόπιστος και ασφαλής δίαυλος για την ανταλλαγή συγκεκριμένων πληροφοριών·</w:t>
      </w:r>
    </w:p>
    <w:p w14:paraId="6FFFA01C" w14:textId="32E0A481" w:rsidR="008E7C02" w:rsidRPr="00CB7314" w:rsidRDefault="008A6A7F" w:rsidP="008A6A7F">
      <w:pPr>
        <w:pStyle w:val="NormalHanging12a"/>
        <w:ind w:left="570" w:hanging="570"/>
      </w:pPr>
      <w:r w:rsidRPr="00CB7314">
        <w:t>33.</w:t>
      </w:r>
      <w:r w:rsidRPr="00CB7314">
        <w:tab/>
      </w:r>
      <w:r w:rsidR="008E7C02" w:rsidRPr="00CB7314">
        <w:t>υπογραμμίζει την ανάγκη για θέσπιση μόνιμου μηχανισμού λήψης αποφάσεων που θα επιτρέπει στους αρχηγούς κρατών και κυβερνήσεων να αναλαμβάνουν άμεση δράση σε φάσεις «κρίσης» και «πολέμου»·</w:t>
      </w:r>
    </w:p>
    <w:p w14:paraId="3CAE3D2C" w14:textId="32C7B7BD" w:rsidR="008E7C02" w:rsidRPr="00CB7314" w:rsidRDefault="008A6A7F" w:rsidP="008A6A7F">
      <w:pPr>
        <w:pStyle w:val="NormalHanging12a"/>
        <w:ind w:left="570" w:hanging="570"/>
      </w:pPr>
      <w:r w:rsidRPr="00CB7314">
        <w:t>34.</w:t>
      </w:r>
      <w:r w:rsidRPr="00CB7314">
        <w:tab/>
      </w:r>
      <w:r w:rsidR="008E7C02" w:rsidRPr="00CB7314">
        <w:t xml:space="preserve">καλεί την Επιτροπή να συστήσει «ειδική ομάδα για τη στρατιωτική κινητικότητα» με εκπροσώπους όλων των αρμόδιων οργάνων της ΕΕ για τον εξορθολογισμό της προετοιμασίας, της υλοποίησης και της παρακολούθησης όλων των πρωτοβουλιών που αφορούν τη στρατιωτική κινητικότητα με οριζόντιο τρόπο, και, παράλληλα, ζητεί τον </w:t>
      </w:r>
      <w:r w:rsidR="008E7C02" w:rsidRPr="00CB7314">
        <w:lastRenderedPageBreak/>
        <w:t xml:space="preserve">ορισμό εθνικών σημείων επαφής για τη βελτίωση της συνολικής διακυβέρνησης και του συντονισμού της στρατιωτικής κινητικότητας· </w:t>
      </w:r>
    </w:p>
    <w:p w14:paraId="036D8326" w14:textId="77AFEA98" w:rsidR="008E7C02" w:rsidRPr="00CB7314" w:rsidRDefault="008A6A7F" w:rsidP="008A6A7F">
      <w:pPr>
        <w:pStyle w:val="NormalHanging12a"/>
        <w:ind w:left="570" w:hanging="570"/>
        <w:rPr>
          <w:bCs/>
          <w:iCs/>
        </w:rPr>
      </w:pPr>
      <w:r w:rsidRPr="00CB7314">
        <w:rPr>
          <w:bCs/>
          <w:iCs/>
        </w:rPr>
        <w:t>35.</w:t>
      </w:r>
      <w:r w:rsidRPr="00CB7314">
        <w:rPr>
          <w:bCs/>
          <w:iCs/>
        </w:rPr>
        <w:tab/>
      </w:r>
      <w:r w:rsidR="008E7C02" w:rsidRPr="00CB7314">
        <w:t>παροτρύνει την Επιτροπή να λάβει υπόψη όλες τις συστάσεις του Ευρωπαϊκού Ελεγκτικού Συνεδρίου σχετικά με τη διακυβέρνηση σε όλες τις μελλοντικές πρωτοβουλίες στον τομέα της στρατιωτικής κινητικότητας·</w:t>
      </w:r>
    </w:p>
    <w:p w14:paraId="1B4D0B32" w14:textId="1C39FD1C" w:rsidR="008E7C02" w:rsidRPr="00CB7314" w:rsidRDefault="008A6A7F" w:rsidP="008A6A7F">
      <w:pPr>
        <w:pStyle w:val="NormalHanging12a"/>
        <w:ind w:left="570" w:hanging="570"/>
        <w:rPr>
          <w:bCs/>
          <w:iCs/>
        </w:rPr>
      </w:pPr>
      <w:r w:rsidRPr="00CB7314">
        <w:rPr>
          <w:bCs/>
          <w:iCs/>
        </w:rPr>
        <w:t>36.</w:t>
      </w:r>
      <w:r w:rsidRPr="00CB7314">
        <w:rPr>
          <w:bCs/>
          <w:iCs/>
        </w:rPr>
        <w:tab/>
      </w:r>
      <w:r w:rsidR="008E7C02" w:rsidRPr="00CB7314">
        <w:t xml:space="preserve">αναγνωρίζει τον καίριο ρόλο των εργαζομένων του τομέα των μεταφορών στη στρατιωτική κινητικότητα και στη διευκόλυνση των αλυσίδων εφοδιασμού· καλεί την Επιτροπή και τα κράτη μέλη να αντιμετωπίσουν τις ελλείψεις εργατικού δυναμικού, να επενδύσουν στο εργατικό δυναμικό στον τομέα των μεταφορών, να βελτιώσουν τις συνθήκες εργασίας, τις ευκαιρίες κατάρτισης για τον εξοπλισμό των εργαζομένων με τις δεξιότητες που απαιτούνται για τη στρατιωτική κινητικότητα και την ελκυστικότητα του τομέα· </w:t>
      </w:r>
    </w:p>
    <w:p w14:paraId="75B32E17" w14:textId="77777777" w:rsidR="008E7C02" w:rsidRPr="00CB7314" w:rsidRDefault="008E7C02" w:rsidP="00567E27">
      <w:pPr>
        <w:pStyle w:val="Normal12a24b"/>
        <w:widowControl/>
        <w:spacing w:before="0"/>
        <w:ind w:left="567" w:hanging="567"/>
      </w:pPr>
      <w:r w:rsidRPr="00CB7314">
        <w:rPr>
          <w:rStyle w:val="BoldItalic"/>
        </w:rPr>
        <w:t xml:space="preserve">Βελτίωση </w:t>
      </w:r>
      <w:r w:rsidRPr="00CB7314">
        <w:rPr>
          <w:b/>
          <w:i/>
        </w:rPr>
        <w:t>και κατασκευή νέων υποδομών διπλής</w:t>
      </w:r>
      <w:r w:rsidRPr="00CB7314">
        <w:rPr>
          <w:rStyle w:val="BoldItalic"/>
        </w:rPr>
        <w:t xml:space="preserve"> χρήσης</w:t>
      </w:r>
    </w:p>
    <w:p w14:paraId="75FC19A5" w14:textId="57601607" w:rsidR="008E7C02" w:rsidRPr="00CB7314" w:rsidRDefault="008A6A7F" w:rsidP="008A6A7F">
      <w:pPr>
        <w:pStyle w:val="NormalHanging12a"/>
        <w:ind w:left="570" w:hanging="570"/>
        <w:rPr>
          <w:bCs/>
          <w:iCs/>
        </w:rPr>
      </w:pPr>
      <w:r w:rsidRPr="00CB7314">
        <w:rPr>
          <w:bCs/>
          <w:iCs/>
        </w:rPr>
        <w:t>37.</w:t>
      </w:r>
      <w:r w:rsidRPr="00CB7314">
        <w:rPr>
          <w:bCs/>
          <w:iCs/>
        </w:rPr>
        <w:tab/>
      </w:r>
      <w:r w:rsidR="008E7C02" w:rsidRPr="00CB7314">
        <w:t>εκφράζει την ικανοποίησή του για την έγκριση από το Συμβούλιο των τεσσάρων διαδρόμων προτεραιότητας για τη στρατιωτική κινητικότητα στην ΕΕ για κινήσεις επείγοντος χαρακτήρα και μεγάλης κλίμακας, που δημιουργήθηκαν σε συνεργασία με το ΝΑΤΟ, και για τον εν εξελίξει προσδιορισμό 500 κομβικών σημείων που χρήζουν επείγουσας αναβάθμισης· επισημαίνει ότι πάνω από το 94 % αυτών των διαδρόμων αποτελούν μέρος του ΔΕΔ-Μ, υπογραμμίζοντας τις ισχυρές συνέργειες μεταξύ μη στρατιωτικών και στρατιωτικών υποδομών· ζητεί ακριβή αξιολόγηση των χρηματοδοτικών αναγκών για την επίτευξη των εν λόγω διαδρόμων στρατιωτικής κινητικότητας·</w:t>
      </w:r>
    </w:p>
    <w:p w14:paraId="6370C15B" w14:textId="59BA33BF" w:rsidR="008E7C02" w:rsidRPr="00CB7314" w:rsidRDefault="008A6A7F" w:rsidP="008A6A7F">
      <w:pPr>
        <w:pStyle w:val="NormalHanging12a"/>
        <w:ind w:left="570" w:hanging="570"/>
        <w:rPr>
          <w:bCs/>
          <w:iCs/>
        </w:rPr>
      </w:pPr>
      <w:r w:rsidRPr="00CB7314">
        <w:rPr>
          <w:bCs/>
          <w:iCs/>
        </w:rPr>
        <w:t>38.</w:t>
      </w:r>
      <w:r w:rsidRPr="00CB7314">
        <w:rPr>
          <w:bCs/>
          <w:iCs/>
        </w:rPr>
        <w:tab/>
      </w:r>
      <w:r w:rsidR="008E7C02" w:rsidRPr="00CB7314">
        <w:t xml:space="preserve">υπογραμμίζει την ανάγκη να επιταχυνθεί η ανάπτυξη υποδομών μεταφορών και να ενισχυθεί τόσο η φυσική προστασία όσο και η προστασία στον κυβερνοχώρο των κρίσιμων συνιστωσών τους κατά μήκος των τεσσάρων διαδρόμων προτεραιότητας για τη στρατιωτική κινητικότητα· </w:t>
      </w:r>
    </w:p>
    <w:p w14:paraId="77B6A7FB" w14:textId="50F4C86F" w:rsidR="008E7C02" w:rsidRPr="00CB7314" w:rsidRDefault="008A6A7F" w:rsidP="008A6A7F">
      <w:pPr>
        <w:pStyle w:val="NormalHanging12a"/>
        <w:ind w:left="570" w:hanging="570"/>
        <w:rPr>
          <w:bCs/>
          <w:iCs/>
        </w:rPr>
      </w:pPr>
      <w:r w:rsidRPr="00CB7314">
        <w:rPr>
          <w:bCs/>
          <w:iCs/>
        </w:rPr>
        <w:t>39.</w:t>
      </w:r>
      <w:r w:rsidRPr="00CB7314">
        <w:rPr>
          <w:bCs/>
          <w:iCs/>
        </w:rPr>
        <w:tab/>
      </w:r>
      <w:r w:rsidR="008E7C02" w:rsidRPr="00CB7314">
        <w:t xml:space="preserve">υπογραμμίζει ότι οι πιο αδύναμοι κρίκοι και τα σημεία συμφόρησης έχουν αλυσιδωτές επιπτώσεις στη λειτουργία και την αποτελεσματική συνέχεια ολόκληρων διαδρόμων και του δικτύου μεταφορών στο σύνολό του· καλεί, επομένως, την Επιτροπή και τα κράτη μέλη να διαθέσουν επαρκείς πόρους για τη διασφάλιση ενός καλά συνδεδεμένου δικτύου στρατιωτικής κινητικότητας, συμπεριλαμβανομένων βελτιώσεων στη συντήρηση, τον εκσυγχρονισμό και τη διαλειτουργικότητα των υφιστάμενων υποδομών· </w:t>
      </w:r>
    </w:p>
    <w:p w14:paraId="355745EA" w14:textId="5677E764" w:rsidR="008E7C02" w:rsidRPr="00CB7314" w:rsidRDefault="008A6A7F" w:rsidP="008A6A7F">
      <w:pPr>
        <w:pStyle w:val="NormalHanging12a"/>
        <w:ind w:left="570" w:hanging="570"/>
        <w:rPr>
          <w:bCs/>
          <w:iCs/>
        </w:rPr>
      </w:pPr>
      <w:r w:rsidRPr="00CB7314">
        <w:rPr>
          <w:bCs/>
          <w:iCs/>
        </w:rPr>
        <w:t>40.</w:t>
      </w:r>
      <w:r w:rsidRPr="00CB7314">
        <w:rPr>
          <w:bCs/>
          <w:iCs/>
        </w:rPr>
        <w:tab/>
      </w:r>
      <w:r w:rsidR="008E7C02" w:rsidRPr="00CB7314">
        <w:t>καλεί την Επιτροπή και τα κράτη μέλη να αξιολογήσουν την ανάγκη διορισμού ειδικού Ευρωπαίου συντονιστή για κάθε διάδρομο προτεραιότητας για τη στρατιωτική κινητικότητα, ώστε να διευκολυνθεί η υλοποίησή τους, ως μέλη της ειδικής ομάδας στρατιωτικής κινητικότητας·</w:t>
      </w:r>
    </w:p>
    <w:p w14:paraId="7021F40D" w14:textId="33D3913F" w:rsidR="008E7C02" w:rsidRPr="00CB7314" w:rsidRDefault="008A6A7F" w:rsidP="008A6A7F">
      <w:pPr>
        <w:pStyle w:val="NormalHanging12a"/>
        <w:ind w:left="570" w:hanging="570"/>
      </w:pPr>
      <w:r w:rsidRPr="00CB7314">
        <w:t>41.</w:t>
      </w:r>
      <w:r w:rsidRPr="00CB7314">
        <w:tab/>
      </w:r>
      <w:r w:rsidR="008E7C02" w:rsidRPr="00CB7314">
        <w:t xml:space="preserve">υπενθυμίζει ότι οι υποδομές αντικινητικότητας, συμπεριλαμβανομένων των εμποδίων διπλής χρήσης, των ενισχύσεων και των συστημάτων ταχείας ανάπτυξης για την ενίσχυση της συνοριακής και εδαφικής άμυνας, αποτελούν επίσης σημαντικό μέρος της στρατιωτικής κινητικότητας· καλεί την Επιτροπή και τα κράτη μέλη να προβούν σε ενδελεχή συντονισμένο σχεδιασμό και προετοιμασία για υποδομές αντικινητικότητας </w:t>
      </w:r>
      <w:r w:rsidR="008E7C02" w:rsidRPr="00CB7314">
        <w:lastRenderedPageBreak/>
        <w:t>στους τέσσερις διαδρόμους προτεραιότητας για τη στρατιωτική κινητικότητα, δίνοντας προτεραιότητα στους ανατολικούς και βόρειους διαδρόμους·</w:t>
      </w:r>
    </w:p>
    <w:p w14:paraId="619C92F4" w14:textId="340EB8C8" w:rsidR="008E7C02" w:rsidRPr="00CB7314" w:rsidRDefault="008A6A7F" w:rsidP="008A6A7F">
      <w:pPr>
        <w:pStyle w:val="NormalHanging12a"/>
        <w:ind w:left="570" w:hanging="570"/>
        <w:rPr>
          <w:bCs/>
          <w:iCs/>
        </w:rPr>
      </w:pPr>
      <w:r w:rsidRPr="00CB7314">
        <w:rPr>
          <w:bCs/>
          <w:iCs/>
        </w:rPr>
        <w:t>42.</w:t>
      </w:r>
      <w:r w:rsidRPr="00CB7314">
        <w:rPr>
          <w:bCs/>
          <w:iCs/>
        </w:rPr>
        <w:tab/>
      </w:r>
      <w:r w:rsidR="008E7C02" w:rsidRPr="00CB7314">
        <w:t>υπενθυμίζει ότι οι σιδηρόδρομοι αποτελούν τη ραχοκοκαλιά του συστήματος χερσαίας κινητικότητας για τη μετακίνηση μεγάλων ποσοτήτων υπερμεγεθών, βαρέων, επιβλαβών και επικίνδυνων στρατιωτικών μέσων· επιμένει ότι θα πρέπει να δοθεί προτεραιότητα σε άμεσες και βραχυπρόθεσμες λύσεις, όπως η άρση του διοικητικού φόρτου για το στρατιωτικό προσωπικό όσον αφορά τις διασυνοριακές μετακινήσεις· καλεί την Επιτροπή να διασφαλίσει την αύξηση της ανάπτυξης ικανοτήτων, ιδίως σε κόμβους μεταφορών και βασικούς τομείς σύμφωνα με τους τέσσερις διαδρόμους προτεραιότητας για τη στρατιωτική κινητικότητα·</w:t>
      </w:r>
    </w:p>
    <w:p w14:paraId="4EBE7AC6" w14:textId="4FB6D4CE" w:rsidR="008E7C02" w:rsidRPr="00CB7314" w:rsidRDefault="008A6A7F" w:rsidP="008A6A7F">
      <w:pPr>
        <w:pStyle w:val="NormalHanging12a"/>
        <w:ind w:left="570" w:hanging="570"/>
      </w:pPr>
      <w:r w:rsidRPr="00CB7314">
        <w:t>43.</w:t>
      </w:r>
      <w:r w:rsidRPr="00CB7314">
        <w:tab/>
      </w:r>
      <w:r w:rsidR="008E7C02" w:rsidRPr="00CB7314">
        <w:t xml:space="preserve">υπογραμμίζει τον καίριο ρόλο που διαδραματίζει η διαλειτουργικότητα των σιδηροδρόμων στη διασφάλιση αδιάλειπτων λειτουργιών σε όλα τα κράτη μέλη· εκφράζει την έντονη ανησυχία του για τη συνεχιζόμενη έλλειψη διαλειτουργικότητας των σιδηροδρόμων που προκαλείται από τις διαφορές στο εύρος τροχιάς εντός της ΕΕ, όπως αυτές στα κράτη της Βαλτικής, τη Φινλανδία και την Ιβηρική Χερσόνησο, η οποία επηρεάζει τις διασυνοριακές μετακινήσεις στρατευμάτων, εξοπλισμού και μέσων, καθιστώντας απαραίτητες τις οδικές μεταφορές· ζητεί από την Επιτροπή να συνεχίσει να αντιμετωπίζει τα διάφορα εμπόδια για την απρόσκοπτη λειτουργία των σιδηροδρόμων σε ολόκληρη την ΕΕ, μεταξύ άλλων την αργή ανάπτυξη του ERTMS και της ψηφιακής αυτόματης διάταξης ζεύξης (DAC), καθώς και τις διαφορές στο εύρος τροχιάς· υπενθυμίζει την απαίτηση του κανονισμού ΔΕΔ-Μ να υποβάλουν τα ενδιαφερόμενα κράτη μέλη τα σχέδιά τους έως τον Ιούλιο του 2026 για τη μετάβαση των δικτύων τους στο ευρωπαϊκό τυποποιημένο ονομαστικό εύρος τροχιάς· χαιρετίζει, στο πλαίσιο αυτό, το έργο Rail Baltica για τη σύνδεση των κρατών της Βαλτικής με το σιδηροδρομικό δίκτυο της ΕΕ μέσω της προσαρμογής του εύρους τροχιάς· θεωρεί ότι το έργο αυτό είναι στρατηγικό τόσο για τη μη στρατιωτική όσο και για τη στρατιωτική κινητικότητα, καθώς παρέχει διαλειτουργικές, βιώσιμες και υψηλής χωρητικότητας σιδηροδρομικές συνδέσεις σε ολόκληρη την ανατολική πτέρυγα της ΕΕ· </w:t>
      </w:r>
    </w:p>
    <w:p w14:paraId="7C78D97D" w14:textId="20C20E99" w:rsidR="008E7C02" w:rsidRPr="00CB7314" w:rsidRDefault="008A6A7F" w:rsidP="008A6A7F">
      <w:pPr>
        <w:pStyle w:val="NormalHanging12a"/>
        <w:ind w:left="570" w:hanging="570"/>
        <w:rPr>
          <w:bCs/>
          <w:iCs/>
        </w:rPr>
      </w:pPr>
      <w:r w:rsidRPr="00CB7314">
        <w:rPr>
          <w:bCs/>
          <w:iCs/>
        </w:rPr>
        <w:t>44.</w:t>
      </w:r>
      <w:r w:rsidRPr="00CB7314">
        <w:rPr>
          <w:bCs/>
          <w:iCs/>
        </w:rPr>
        <w:tab/>
      </w:r>
      <w:r w:rsidR="008E7C02" w:rsidRPr="00CB7314">
        <w:t xml:space="preserve">σημειώνει ότι οι ψηφιακές τεχνολογίες που είναι σημαντικές για την αύξηση της μη στρατιωτικής σιδηροδρομικής ικανότητας, όπως το σύστημα ERTMS και το DAC, είναι επίσης σημαντικές για τη στρατιωτική κινητικότητα και πρέπει να βελτιωθούν· προειδοποιεί ότι το ERTMS αναπτύχθηκε σε διαφορετικό γεωστρατηγικό πλαίσιο και ζητεί να αξιολογηθεί η στιβαρότητα και η ανθεκτικότητά του στον κυβερνοχώρο· υπογραμμίζει ότι, δεδομένης της εξάρτησής του από τη ραδιοτεχνολογία, οποιαδήποτε μη διαθεσιμότητα δικτύου λόγω παρεμβολών ή άλλων παραγόντων θα οδηγούσε στην άμεση αναστολή της σιδηροδρομικής κυκλοφορίας· ζητεί παρόμοια αξιολόγηση στο πλαίσιο της ανάπτυξης του FRMCS (μελλοντικό σιδηροδρομικό σύστημα κινητών επικοινωνιών)· </w:t>
      </w:r>
    </w:p>
    <w:p w14:paraId="433C8F44" w14:textId="567D5210" w:rsidR="008E7C02" w:rsidRPr="00CB7314" w:rsidRDefault="008A6A7F" w:rsidP="008A6A7F">
      <w:pPr>
        <w:pStyle w:val="NormalHanging12a"/>
        <w:ind w:left="570" w:hanging="570"/>
        <w:rPr>
          <w:bCs/>
          <w:iCs/>
        </w:rPr>
      </w:pPr>
      <w:r w:rsidRPr="00CB7314">
        <w:rPr>
          <w:bCs/>
          <w:iCs/>
        </w:rPr>
        <w:t>45.</w:t>
      </w:r>
      <w:r w:rsidRPr="00CB7314">
        <w:rPr>
          <w:bCs/>
          <w:iCs/>
        </w:rPr>
        <w:tab/>
      </w:r>
      <w:r w:rsidR="008E7C02" w:rsidRPr="00CB7314">
        <w:t xml:space="preserve">σημειώνει ότι οι οδικές και σιδηροδρομικές συνδέσεις με λιμένες και δίκτυα εμπορευματικών τερματικών σταθμών είναι συχνά καίριας σημασίας για τη διευκόλυνση των μετακινήσεων στρατιωτικού εξοπλισμού «τελευταίου χιλιομέτρου» στις απαιτούμενες περιοχές και, επομένως, διαδραματίζουν καίριο ρόλο στην επιτυχία της στρατιωτικής κινητικότητας· υπενθυμίζει ότι όλα τα στρατηγικά σημεία των οδικών μεταφορών, όπως οι εγκαταστάσεις στάθμευσης, οι σταθμοί ανεφοδιασμού και οι σταθμοί πλύσης αυτοκινήτων, θα πρέπει να αναβαθμιστούν επειγόντως ώστε να εξυπηρετούν μεγάλο αριθμό μονάδων στρατιωτικών μεταφορών και προσωπικού σε περιόδους έκτακτης ανάγκης· ζητεί, επομένως, οι επενδύσεις σε βασικές οδικές </w:t>
      </w:r>
      <w:r w:rsidR="008E7C02" w:rsidRPr="00CB7314">
        <w:lastRenderedPageBreak/>
        <w:t xml:space="preserve">υποδομές κατά μήκος των τεσσάρων διαδρόμων προτεραιότητας στρατιωτικής κινητικότητας να συγκαταλέγονται στις προτεραιότητες για τη διευκόλυνση της στρατιωτικής κινητικότητας με τον αποτελεσματικότερο δυνατό τρόπο· </w:t>
      </w:r>
    </w:p>
    <w:p w14:paraId="0550EB1D" w14:textId="2930F6EB" w:rsidR="008E7C02" w:rsidRPr="00CB7314" w:rsidRDefault="008A6A7F" w:rsidP="008A6A7F">
      <w:pPr>
        <w:pStyle w:val="NormalHanging12a"/>
        <w:ind w:left="570" w:hanging="570"/>
        <w:rPr>
          <w:bCs/>
          <w:iCs/>
        </w:rPr>
      </w:pPr>
      <w:r w:rsidRPr="00CB7314">
        <w:rPr>
          <w:bCs/>
          <w:iCs/>
        </w:rPr>
        <w:t>46.</w:t>
      </w:r>
      <w:r w:rsidRPr="00CB7314">
        <w:rPr>
          <w:bCs/>
          <w:iCs/>
        </w:rPr>
        <w:tab/>
      </w:r>
      <w:r w:rsidR="008E7C02" w:rsidRPr="00CB7314">
        <w:t xml:space="preserve">ζητεί ένα εναρμονισμένο ευρωπαϊκό πλαίσιο που θα διευκολύνει την κυκλοφορία στρατιωτικών εφοδιοπομπών τις οποίες εκμεταλλεύονται εξουσιοδοτημένοι πολιτικοί πάροχοι, όπως εκείνοι που εκτελούν μη κανονικές υπηρεσίες οδικών μεταφορών, ειδικευμένοι γερανοί και βαρύς εξοπλισμός, μέσω των τεσσάρων διαδρόμων προτεραιότητας της στρατιωτικής κινητικότητας, διασφαλίζοντας παράλληλα την ασφάλεια των πολιτών· </w:t>
      </w:r>
    </w:p>
    <w:p w14:paraId="0C586EFC" w14:textId="4A5E92C2" w:rsidR="008E7C02" w:rsidRPr="00CB7314" w:rsidRDefault="008A6A7F" w:rsidP="008A6A7F">
      <w:pPr>
        <w:pStyle w:val="NormalHanging12a"/>
        <w:ind w:left="570" w:hanging="570"/>
      </w:pPr>
      <w:r w:rsidRPr="00CB7314">
        <w:t>47.</w:t>
      </w:r>
      <w:r w:rsidRPr="00CB7314">
        <w:tab/>
      </w:r>
      <w:r w:rsidR="008E7C02" w:rsidRPr="00CB7314">
        <w:t xml:space="preserve">επισημαίνει ότι οι λιμένες διαδραματίζουν στρατηγικό ρόλο ως κρίσιμοι κόμβοι στο δίκτυο στρατιωτικής κινητικότητας, λειτουργώντας ως σημεία εισόδου και εξόδου για μεγάλης κλίμακας στρατιωτικές αποστολές και καθιστώντας δυνατή την ολοκλήρωση των θαλάσσιων και χερσαίων μεταφορών, ιδίως για τη διατλαντική συνεργασία, καθώς και για την ανθεκτικότητα των στρατηγικών οικονομικών συμφερόντων της Ένωσης· σημειώνει ότι οι θαλάσσιες υποδομές πάσχουν από διαρθρωτικές ελλείψεις, καθώς πολλοί τερματικοί σταθμοί της ΕΕ δεν έχουν σχεδιαστεί για τη διαχείριση στρατιωτικών φορτίων· τονίζει την ανάγκη να εξασφαλιστεί επαρκής ικανότητα για στρατιωτικές προμήθειες και να καταρτιστούν σχέδια έκτακτης ανάγκης για την εκτροπή μη στρατιωτικών φορτίων, εάν χρειαστεί· </w:t>
      </w:r>
    </w:p>
    <w:p w14:paraId="37A67CE9" w14:textId="7C650430" w:rsidR="008E7C02" w:rsidRPr="00CB7314" w:rsidRDefault="008A6A7F" w:rsidP="008A6A7F">
      <w:pPr>
        <w:pStyle w:val="NormalHanging12a"/>
        <w:ind w:left="570" w:hanging="570"/>
        <w:rPr>
          <w:bCs/>
          <w:iCs/>
        </w:rPr>
      </w:pPr>
      <w:r w:rsidRPr="00CB7314">
        <w:rPr>
          <w:bCs/>
          <w:iCs/>
        </w:rPr>
        <w:t>48.</w:t>
      </w:r>
      <w:r w:rsidRPr="00CB7314">
        <w:rPr>
          <w:bCs/>
          <w:iCs/>
        </w:rPr>
        <w:tab/>
      </w:r>
      <w:r w:rsidR="008E7C02" w:rsidRPr="00CB7314">
        <w:t xml:space="preserve">υπογραμμίζει ότι η κυριότητα και ο έλεγχος ορισμένων θαλάσσιων υποδομών ζωτικής σημασίας απαιτούν άμεση δράση και αυστηρότερους κανόνες, όπως επισημαίνεται στη Λευκή Βίβλο για την ευρωπαϊκή αμυντική ετοιμότητα έως το 2030· </w:t>
      </w:r>
    </w:p>
    <w:p w14:paraId="0912B570" w14:textId="089CA4A5" w:rsidR="008E7C02" w:rsidRPr="00CB7314" w:rsidRDefault="008A6A7F" w:rsidP="008A6A7F">
      <w:pPr>
        <w:pStyle w:val="NormalHanging12a"/>
        <w:ind w:left="570" w:hanging="570"/>
        <w:rPr>
          <w:bCs/>
          <w:iCs/>
        </w:rPr>
      </w:pPr>
      <w:r w:rsidRPr="00CB7314">
        <w:rPr>
          <w:bCs/>
          <w:iCs/>
        </w:rPr>
        <w:t>49.</w:t>
      </w:r>
      <w:r w:rsidRPr="00CB7314">
        <w:rPr>
          <w:bCs/>
          <w:iCs/>
        </w:rPr>
        <w:tab/>
      </w:r>
      <w:r w:rsidR="008E7C02" w:rsidRPr="00CB7314">
        <w:t xml:space="preserve">ζητεί επενδύσεις σε λιμενικές υποδομές και τροποποιημένες απαιτήσεις για την πρόσβαση σε χρηματοδοτικά μέσα τόσο για τους θαλάσσιους λιμένες όσο και για τους λιμένες εσωτερικής ναυσιπλοΐας, προκειμένου να ενισχυθεί η ενσωμάτωσή τους στους διαδρόμους ΔΕΔ-Μ και να ενισχυθούν οι πολιτικές ενεργειακής ασφάλειας της ΕΕ· παροτρύνει την Επιτροπή να δημιουργήσει και να εφαρμόσει στρατηγικές που αυξάνουν τις ικανότητες και αναπτύσσουν τη χωρητικότητα των λιμένων· υπογραμμίζει τόσο την επιφανειακή όσο και την υπόγεια διάσταση του θαλάσσιου τομέα, ζητεί να συμπεριληφθούν τα πλοία RO/RO (μεταφορά με οχηματαγωγό πλοίο) και Ro-Pax (επιβατηγά πλοία RO/RO) ως κινητά περιουσιακά στοιχεία διπλής χρήσης στο πεδίο εφαρμογής της στρατηγικής της ΕΕ για τη στρατιωτική κινητικότητα· </w:t>
      </w:r>
    </w:p>
    <w:p w14:paraId="2DC74568" w14:textId="3FC8777C" w:rsidR="008E7C02" w:rsidRPr="00CB7314" w:rsidRDefault="008A6A7F" w:rsidP="008A6A7F">
      <w:pPr>
        <w:pStyle w:val="NormalHanging12a"/>
        <w:ind w:left="570" w:hanging="570"/>
      </w:pPr>
      <w:r w:rsidRPr="00CB7314">
        <w:t>50.</w:t>
      </w:r>
      <w:r w:rsidRPr="00CB7314">
        <w:tab/>
      </w:r>
      <w:r w:rsidR="008E7C02" w:rsidRPr="00CB7314">
        <w:t xml:space="preserve">σημειώνει ότι οι εσωτερικές πλωτές οδοί αποτελούν επίσης σημαντικό στοιχείο της στρατιωτικής κινητικότητας, καθώς προσφέρουν απρόσκοπτα και βιώσιμα μέσα μεταφοράς διπλής χρήσης λόγω της διαθέσιμης χωρητικότητάς τους, της διατροπικής συμπληρωματικότητάς τους και της μειωμένης ευπάθειας σε καιροσκοπικές πληροφορίες· σημειώνει την υφιστάμενη ικανότητα του πλωτού δικτύου να μεταφέρει υπερμεγέθη στρατιωτικά μέσα, επικίνδυνα εμπορεύματα και καύσιμα για τακτικές προμήθειες, καθώς και να παρέχει εφεδρικές λύσεις στο πλαίσιο του σχεδιασμού αντιμετώπισης εκτάκτων καταστάσεων· προτείνει να αξιολογηθεί η ανάγκη για περαιτέρω επέκταση των υφιστάμενων υδατοφρακτών και για αύξηση της διαθεσιμότητας γερανών και του πλωτού στόλου· </w:t>
      </w:r>
    </w:p>
    <w:p w14:paraId="50BE77B4" w14:textId="070E0452" w:rsidR="008E7C02" w:rsidRPr="00CB7314" w:rsidRDefault="008A6A7F" w:rsidP="008A6A7F">
      <w:pPr>
        <w:pStyle w:val="NormalHanging12a"/>
        <w:ind w:left="570" w:hanging="570"/>
        <w:rPr>
          <w:bCs/>
          <w:iCs/>
        </w:rPr>
      </w:pPr>
      <w:r w:rsidRPr="00CB7314">
        <w:rPr>
          <w:bCs/>
          <w:iCs/>
        </w:rPr>
        <w:t>51.</w:t>
      </w:r>
      <w:r w:rsidRPr="00CB7314">
        <w:rPr>
          <w:bCs/>
          <w:iCs/>
        </w:rPr>
        <w:tab/>
      </w:r>
      <w:r w:rsidR="008E7C02" w:rsidRPr="00CB7314">
        <w:t xml:space="preserve">τονίζει τη σημασία της δημιουργίας πρόσθετων κόμβων εφοδιαστικής και τερματικών σταθμών μεταφόρτωσης κατά μήκος των τεσσάρων διαδρόμων προτεραιότητας της στρατιωτικής κινητικότητας· ζητεί οι υφιστάμενοι κόμβοι εφοδιαστικής και οι </w:t>
      </w:r>
      <w:r w:rsidR="008E7C02" w:rsidRPr="00CB7314">
        <w:lastRenderedPageBreak/>
        <w:t xml:space="preserve">εμπορικοί τερματικοί σταθμοί μεταφόρτωσης που σχετίζονται με τις στρατιωτικές μεταφορές κατά μήκος των διαδρόμων στρατιωτικής κινητικότητας να προσαρμοστούν επαρκώς και να χαρακτηριστούν υποδομές διπλής χρήσης και να εξοπλιστούν με κατάλληλο για τον επιδιωκόμενο σκοπό εξοπλισμό, όπως πλατφόρμες φόρτωσης άμεσης πρόσβασης και ράμπες κατάλληλες για στρατιωτικά μέσα· </w:t>
      </w:r>
    </w:p>
    <w:p w14:paraId="360314D3" w14:textId="2177ABFE" w:rsidR="008E7C02" w:rsidRPr="00CB7314" w:rsidRDefault="008A6A7F" w:rsidP="008A6A7F">
      <w:pPr>
        <w:pStyle w:val="NormalHanging12a"/>
        <w:ind w:left="570" w:hanging="570"/>
      </w:pPr>
      <w:r w:rsidRPr="00CB7314">
        <w:t>52.</w:t>
      </w:r>
      <w:r w:rsidRPr="00CB7314">
        <w:tab/>
      </w:r>
      <w:r w:rsidR="008E7C02" w:rsidRPr="00CB7314">
        <w:t xml:space="preserve">τονίζει τη σημασία της δημιουργίας ενός δικτύου στρατηγικά εγκατεστημένων κόμβων εφοδιαστικής, κατά μήκος των τεσσάρων διαδρόμων προτεραιότητας της στρατιωτικής κινητικότητας, συμπεριλαμβανομένων των λιμένων εσωτερικής ναυσιπλοΐας, ικανού να παρέχει τις απαραίτητες υποδομές για συντήρηση, αποθήκευση και επισκευή, ώστε να διασφαλίζονται ταχείες διατροπικές μεταφορές μεταξύ οδικών, σιδηροδρομικών και θαλάσσιων υποδομών, υποδομών εσωτερικών πλωτών οδών, υποδομών αερολιμένων και στρατιωτικών εγκαταστάσεων· τονίζει, στο πλαίσιο αυτό, ότι οι εν λόγω κόμβοι θα πρέπει να παρέχουν τις απαραίτητες ενεργειακές υποδομές διπλής χρήσης, όπως σταθμούς ανεφοδιασμού και ανανέωσης ενεργειακής πηγής, για τη στήριξη των αναγκών κινητικότητας και της ασφάλειας του εφοδιασμού·  </w:t>
      </w:r>
    </w:p>
    <w:p w14:paraId="2F42B3BA" w14:textId="634D2455" w:rsidR="008E7C02" w:rsidRPr="00CB7314" w:rsidRDefault="008A6A7F" w:rsidP="008A6A7F">
      <w:pPr>
        <w:pStyle w:val="NormalHanging12a"/>
        <w:ind w:left="570" w:hanging="570"/>
      </w:pPr>
      <w:r w:rsidRPr="00CB7314">
        <w:t>53.</w:t>
      </w:r>
      <w:r w:rsidRPr="00CB7314">
        <w:tab/>
      </w:r>
      <w:r w:rsidR="008E7C02" w:rsidRPr="00CB7314">
        <w:t xml:space="preserve">υπογραμμίζει ότι οι κόμβοι εφοδιαστικής θα πρέπει να παρέχουν χώρο, χωρητικότητα και υποδομές για τα υπό διέλευση στρατεύματα, ιδίως όσον αφορά την παροχή στέγης, τροφίμων και καυσίμων· </w:t>
      </w:r>
    </w:p>
    <w:p w14:paraId="2CF5AE94" w14:textId="1BECB7A0" w:rsidR="008E7C02" w:rsidRPr="00CB7314" w:rsidRDefault="008A6A7F" w:rsidP="008A6A7F">
      <w:pPr>
        <w:pStyle w:val="NormalHanging12a"/>
        <w:ind w:left="570" w:hanging="570"/>
        <w:rPr>
          <w:bCs/>
          <w:iCs/>
        </w:rPr>
      </w:pPr>
      <w:r w:rsidRPr="00CB7314">
        <w:rPr>
          <w:bCs/>
          <w:iCs/>
        </w:rPr>
        <w:t>54.</w:t>
      </w:r>
      <w:r w:rsidRPr="00CB7314">
        <w:rPr>
          <w:bCs/>
          <w:iCs/>
        </w:rPr>
        <w:tab/>
      </w:r>
      <w:r w:rsidR="008E7C02" w:rsidRPr="00CB7314">
        <w:t xml:space="preserve">ζητεί να υποστηριχθεί η ανάπτυξη κόμβων εφοδιαστικής και στο πλαίσιο σχετικών ευρωπαϊκών βιομηχανικών προγραμμάτων για την ενίσχυση της ανθεκτικότητας της ευρωπαϊκής βιομηχανικής και τεχνολογικής βάσης· υπενθυμίζει την ανάγκη να αναληφθεί δράση για την ψηφιοποίηση των διαδικασιών εφοδιαστικής, ώστε να διασφαλιστεί η ανθεκτικότητα και η ασφάλεια των στρατηγικών υποδομών· </w:t>
      </w:r>
    </w:p>
    <w:p w14:paraId="68372C98" w14:textId="0201D8F4" w:rsidR="008E7C02" w:rsidRPr="00CB7314" w:rsidRDefault="008A6A7F" w:rsidP="008A6A7F">
      <w:pPr>
        <w:pStyle w:val="NormalHanging12a"/>
        <w:ind w:left="570" w:hanging="570"/>
      </w:pPr>
      <w:r w:rsidRPr="00CB7314">
        <w:t>55.</w:t>
      </w:r>
      <w:r w:rsidRPr="00CB7314">
        <w:tab/>
      </w:r>
      <w:r w:rsidR="008E7C02" w:rsidRPr="00CB7314">
        <w:t xml:space="preserve">θεωρεί ότι είναι εξαιρετικά σημαντικό να επεκταθούν οι διάδρομοι μεταφορών, μεταξύ άλλων για τη στρατιωτική κινητικότητα, στην Ουκρανία, τη Δημοκρατία της Μολδαβίας και τα Δυτικά Βαλκάνια, προκειμένου να ενισχυθεί η διαλειτουργικότητα, να αυξηθεί η επιχειρησιακή ικανότητα ανταπόκρισης, να στηριχθούν οι εταίροι, κατά περίπτωση, στην αντίστασή τους στη ρωσική επίθεση και σε άλλες υβριδικές απειλές στην περιοχή, καθώς και να αποτραπούν μελλοντικές επιθέσεις στο έδαφος της ΕΕ· σημειώνει τη χρήση των λωρίδων αλληλεγγύης για τη στρατιωτική κινητικότητα και θεωρεί σημαντικό να ενισχυθούν προκειμένου να ενισχυθεί η ασφάλεια και η ανθεκτικότητα της Ουκρανίας· </w:t>
      </w:r>
    </w:p>
    <w:p w14:paraId="27B6B257" w14:textId="6C2C7E9A" w:rsidR="008E7C02" w:rsidRPr="00CB7314" w:rsidRDefault="008A6A7F" w:rsidP="008A6A7F">
      <w:pPr>
        <w:pStyle w:val="NormalHanging12a"/>
        <w:ind w:left="570" w:hanging="570"/>
        <w:rPr>
          <w:bCs/>
          <w:iCs/>
        </w:rPr>
      </w:pPr>
      <w:r w:rsidRPr="00CB7314">
        <w:rPr>
          <w:bCs/>
          <w:iCs/>
        </w:rPr>
        <w:t>56.</w:t>
      </w:r>
      <w:r w:rsidRPr="00CB7314">
        <w:rPr>
          <w:bCs/>
          <w:iCs/>
        </w:rPr>
        <w:tab/>
      </w:r>
      <w:r w:rsidR="008E7C02" w:rsidRPr="00CB7314">
        <w:t xml:space="preserve">υπογραμμίζει ότι η ακριβής, ασφαλής και επικαιροποιημένη ψηφιακή μοντελοποίηση, οι ψηφιακοί χάρτες, τα συστήματα γεωγραφικών πληροφοριών και οι υπηρεσίες γεωχωρικών δεδομένων απαιτούνται τόσο για τις πολιτικές όσο και για τις στρατιωτικές υποδομές και τον σχεδιασμό διαδρομών, τον διασυνοριακό συντονισμό και την ταχεία ανάπτυξη στρατευμάτων και εξοπλισμού· τονίζει ότι η προστασία των δεδομένων και των επικοινωνιών κατά τη διάρκεια στρατιωτικών μετακινήσεων είναι υψίστης σημασίας για την ασφάλεια των αμάχων και του στρατιωτικού προσωπικού, καθώς και για τη διατήρηση των ικανοτήτων· τονίζει ότι όλες οι υπηρεσίες πληροφοριών για τις μεταφορές που χρησιμοποιούνται για στρατιωτικούς και αμυντικούς σκοπούς θα πρέπει να διασφαλίζονται δεόντως και να προστατεύονται νομικά, ώστε να αποφεύγονται οι ψηφιακές διαρροές ευαίσθητων πληροφοριών σχετικά με τις επιχειρήσεις στρατιωτικής κινητικότητας και τα οικονομικά δεδομένα· παροτρύνει την Επιτροπή να συντονίσει τα ψηφιακά και ηλεκτρονικά μέτρα ασφάλειας κατά μήκος των τεσσάρων διαδρόμων προτεραιότητας για τη στρατιωτική κινητικότητα· </w:t>
      </w:r>
    </w:p>
    <w:p w14:paraId="26E47565" w14:textId="73DC7975" w:rsidR="008E7C02" w:rsidRPr="00CB7314" w:rsidRDefault="008A6A7F" w:rsidP="008A6A7F">
      <w:pPr>
        <w:pStyle w:val="NormalHanging12a"/>
        <w:ind w:left="570" w:hanging="570"/>
        <w:rPr>
          <w:iCs/>
        </w:rPr>
      </w:pPr>
      <w:r w:rsidRPr="00CB7314">
        <w:rPr>
          <w:iCs/>
        </w:rPr>
        <w:lastRenderedPageBreak/>
        <w:t>57.</w:t>
      </w:r>
      <w:r w:rsidRPr="00CB7314">
        <w:rPr>
          <w:iCs/>
        </w:rPr>
        <w:tab/>
      </w:r>
      <w:r w:rsidR="008E7C02" w:rsidRPr="00CB7314">
        <w:t xml:space="preserve">τονίζει ότι ολόκληρη η Ευρωπαϊκή Ένωση είναι ευάλωτη σε κυβερνοεπιθέσεις και ψηφιακή εισβολή· υπογραμμίζει ότι τα ψηφιακά συστήματα που ελέγχουν τις υλικές υποδομές και τα μέσα μεταφορών αποτελούν στόχους προτεραιότητας για κυβερνοεπιθέσεις· καλεί, επομένως, την ΕΕ και τα κράτη μέλη να χρηματοδοτήσουν και να στηρίξουν την ανάπτυξη και την υιοθέτηση καινοτόμων ευρωπαϊκών κυρίαρχων ψηφιακών τεχνολογιών, συμπεριλαμβανομένου του Galileo, για την ενίσχυση τόσο της κυβερνοασφάλειας όσο και της ανθεκτικότητας των εν λόγω υποδομών και μέσων· επισημαίνει, στο πλαίσιο αυτό, τις δυνατότητες της τεχνητής νοημοσύνης και ενθαρρύνει περαιτέρω προσπάθειες έρευνας και ανάπτυξης για την ανάπτυξη ψηφιακών ικανοτήτων επόμενης γενιάς· </w:t>
      </w:r>
    </w:p>
    <w:p w14:paraId="2578699A" w14:textId="3211E720" w:rsidR="008E7C02" w:rsidRPr="00CB7314" w:rsidRDefault="008A6A7F" w:rsidP="008A6A7F">
      <w:pPr>
        <w:pStyle w:val="NormalHanging12a"/>
        <w:ind w:left="570" w:hanging="570"/>
        <w:rPr>
          <w:bCs/>
          <w:iCs/>
        </w:rPr>
      </w:pPr>
      <w:r w:rsidRPr="00CB7314">
        <w:rPr>
          <w:bCs/>
          <w:iCs/>
        </w:rPr>
        <w:t>58.</w:t>
      </w:r>
      <w:r w:rsidRPr="00CB7314">
        <w:rPr>
          <w:bCs/>
          <w:iCs/>
        </w:rPr>
        <w:tab/>
      </w:r>
      <w:r w:rsidR="008E7C02" w:rsidRPr="00CB7314">
        <w:t xml:space="preserve">εκφράζει σοβαρές ανησυχίες σχετικά με την αύξηση των ρωσικών κυβερνοεπιθέσεων κατά συστημάτων πλοήγησης στην περιοχή της Βαλτικής Θάλασσας· καλεί την Επιτροπή να συμπεριλάβει και να εξετάσει τη φύση των υβριδικών απειλών στην επικείμενη δέσμη μέτρων «Omnibus», καθώς και τις παρεμβολές και την παραποίηση δεδομένων των παγκόσμιων δορυφορικών συστημάτων πλοήγησης (GNSS) ως υβριδική επίθεση κατά της ευρωπαϊκής θαλάσσιας και εναέριας κυκλοφορίας· </w:t>
      </w:r>
    </w:p>
    <w:p w14:paraId="1777FE7B" w14:textId="0A066308" w:rsidR="008E7C02" w:rsidRPr="00CB7314" w:rsidRDefault="008A6A7F" w:rsidP="008A6A7F">
      <w:pPr>
        <w:pStyle w:val="NormalHanging12a"/>
        <w:ind w:left="570" w:hanging="570"/>
        <w:rPr>
          <w:bCs/>
          <w:iCs/>
        </w:rPr>
      </w:pPr>
      <w:r w:rsidRPr="00CB7314">
        <w:rPr>
          <w:bCs/>
          <w:iCs/>
        </w:rPr>
        <w:t>59.</w:t>
      </w:r>
      <w:r w:rsidRPr="00CB7314">
        <w:rPr>
          <w:bCs/>
          <w:iCs/>
        </w:rPr>
        <w:tab/>
      </w:r>
      <w:r w:rsidR="008E7C02" w:rsidRPr="00CB7314">
        <w:t>τονίζει την ανάγκη να επιταχυνθεί η μεταφορά στο εθνικό δίκαιο και η εφαρμογή της οδηγίας NIS2</w:t>
      </w:r>
      <w:r w:rsidR="008E7C02" w:rsidRPr="00CB7314">
        <w:rPr>
          <w:bCs/>
          <w:iCs/>
          <w:vertAlign w:val="superscript"/>
        </w:rPr>
        <w:footnoteReference w:id="14"/>
      </w:r>
      <w:r w:rsidR="008E7C02" w:rsidRPr="00CB7314">
        <w:t>, καθώς και να ενισχυθεί η συνεργασία μεταξύ των τομεακών αρχών μεταφορών, των αρμόδιων οργανισμών κυβερνοασφάλειας, των ομάδων αντιμετώπισης περιστατικών ασφαλείας σε υπολογιστές (CSIRT) και του ευρωπαϊκού δικτύου οργανισμών διασύνδεσης για κρίσεις στον κυβερνοχώρο (EU-CyCLONe)· τονίζει ότι είναι σημαντικό να συμπεριληφθούν συγκεκριμένα μέτρα για την αντιμετώπιση των πτυχών της στρατιωτικής κινητικότητας στις ενωσιακές και εθνικές εκτιμήσεις κινδύνου για την κυβερνοασφάλεια·</w:t>
      </w:r>
    </w:p>
    <w:p w14:paraId="716A7DBC" w14:textId="746CB91C" w:rsidR="008E7C02" w:rsidRPr="00CB7314" w:rsidRDefault="008A6A7F" w:rsidP="008A6A7F">
      <w:pPr>
        <w:pStyle w:val="NormalHanging12a"/>
        <w:ind w:left="570" w:hanging="570"/>
        <w:rPr>
          <w:bCs/>
          <w:iCs/>
        </w:rPr>
      </w:pPr>
      <w:r w:rsidRPr="00CB7314">
        <w:rPr>
          <w:bCs/>
          <w:iCs/>
        </w:rPr>
        <w:t>60.</w:t>
      </w:r>
      <w:r w:rsidRPr="00CB7314">
        <w:rPr>
          <w:bCs/>
          <w:iCs/>
        </w:rPr>
        <w:tab/>
      </w:r>
      <w:r w:rsidR="008E7C02" w:rsidRPr="00CB7314">
        <w:t xml:space="preserve">τονίζει τη σημασία της προστασίας και της βελτίωσης της ανθεκτικότητας των κρίσιμων υποδομών μεταφορών, μεταξύ άλλων έναντι κυβερνοεπιθέσεων και υβριδικών απειλών που θέτουν σε κίνδυνο την πολιτική εναέρια, θαλάσσια και χερσαία κυκλοφορία· υπενθυμίζει ότι οι υποδομές ζωτικής σημασίας για την ενέργεια και τις επικοινωνίες (χερσαίες, επιφανειακές και υποθαλάσσιες ή υποβρύχιες, συμπεριλαμβανομένου του GNSS) επηρεάζουν επίσης άμεσα την επιτυχία των δραστηριοτήτων στρατιωτικής κινητικότητας·  </w:t>
      </w:r>
    </w:p>
    <w:p w14:paraId="1D669953" w14:textId="3C611B9A" w:rsidR="008E7C02" w:rsidRPr="00CB7314" w:rsidRDefault="008A6A7F" w:rsidP="008A6A7F">
      <w:pPr>
        <w:pStyle w:val="NormalHanging12a"/>
        <w:ind w:left="570" w:hanging="570"/>
      </w:pPr>
      <w:r w:rsidRPr="00CB7314">
        <w:t>61.</w:t>
      </w:r>
      <w:r w:rsidRPr="00CB7314">
        <w:tab/>
      </w:r>
      <w:r w:rsidR="008E7C02" w:rsidRPr="00CB7314">
        <w:t xml:space="preserve">ζητεί τη θέσπιση ευρωπαϊκού μηχανισμού για την παρακολούθηση και την παροχή ταχείας αντίδρασης σε περίπτωση κυβερνοεπιθέσεων ή υβριδικών επιθέσεων σε κρίσιμες υποδομές μεταφορών, ενέργειας και επικοινωνιών, ο οποίος θα αναπτυχθεί σε στενή συνεργασία με το ΝΑΤΟ· </w:t>
      </w:r>
    </w:p>
    <w:p w14:paraId="0414BABB" w14:textId="659FBEA1" w:rsidR="008E7C02" w:rsidRPr="00CB7314" w:rsidRDefault="008A6A7F" w:rsidP="008A6A7F">
      <w:pPr>
        <w:pStyle w:val="NormalHanging12a"/>
        <w:ind w:left="570" w:hanging="570"/>
      </w:pPr>
      <w:r w:rsidRPr="00CB7314">
        <w:t>62.</w:t>
      </w:r>
      <w:r w:rsidRPr="00CB7314">
        <w:tab/>
      </w:r>
      <w:r w:rsidR="008E7C02" w:rsidRPr="00CB7314">
        <w:t xml:space="preserve">ζητεί από την Επιτροπή να λάβει επειγόντως μέτρα για την απλούστευση και την επιτάχυνση των διαδικασιών για επενδύσεις που εξυπηρετούν σκοπούς στρατιωτικής κινητικότητας, ιδίως για τη θέσπιση στοχευμένων εξαιρέσεων από τους ισχύοντες κανόνες για τις δημόσιες συμβάσεις για τις υποδομές και τα μέσα στρατιωτικής </w:t>
      </w:r>
      <w:r w:rsidR="008E7C02" w:rsidRPr="00CB7314">
        <w:lastRenderedPageBreak/>
        <w:t>κινητικότητας που έχουν σημαντική στρατιωτική συνιστώσα ή συνιστώσα διπλής χρήσης· τονίζει ότι τα έργα στρατηγικού ευρωπαϊκού ενδιαφέροντος πρέπει να υλοποιούνται χωρίς υπερβολικές καθυστερήσεις, διασφαλίζοντας παράλληλα τη διαφάνεια, τον θεμιτό ανταγωνισμό και το δικαίωμα για τήρηση της νόμιμης διαδικασίας·</w:t>
      </w:r>
    </w:p>
    <w:p w14:paraId="2A4C468A" w14:textId="3A1F80DF" w:rsidR="008E7C02" w:rsidRPr="00CB7314" w:rsidRDefault="008A6A7F" w:rsidP="008A6A7F">
      <w:pPr>
        <w:pStyle w:val="NormalHanging12a"/>
        <w:ind w:left="570" w:hanging="570"/>
        <w:rPr>
          <w:bCs/>
          <w:iCs/>
        </w:rPr>
      </w:pPr>
      <w:r w:rsidRPr="00CB7314">
        <w:rPr>
          <w:bCs/>
          <w:iCs/>
        </w:rPr>
        <w:t>63.</w:t>
      </w:r>
      <w:r w:rsidRPr="00CB7314">
        <w:rPr>
          <w:bCs/>
          <w:iCs/>
        </w:rPr>
        <w:tab/>
      </w:r>
      <w:r w:rsidR="008E7C02" w:rsidRPr="00CB7314">
        <w:t xml:space="preserve">επισημαίνει τη σημασία των συμπράξεων δημόσιου και ιδιωτικού τομέα για τη στρατιωτική κινητικότητα· ενθαρρύνει την ΕΕ και τα κράτη μέλη να διευκολύνουν και να παράσχουν κίνητρα για συνεργασία πολιτικού και στρατιωτικού τομέα σε σχέση με τη στρατιωτική κινητικότητα· τονίζει τη σημασία της προβλεψιμότητας όσον αφορά τη ζήτηση για προϊόντα στρατιωτικής κινητικότητας, σε συνδυασμό με επαρκή χρηματοδότηση και απλουστευμένους κανόνες για τις δημόσιες συμβάσεις, γεγονός που θα επιτρέψει στη βιομηχανία εφοδιασμού να αυξήσει και να διατηρήσει τα επίπεδα παραγωγής· </w:t>
      </w:r>
    </w:p>
    <w:p w14:paraId="4B3AF539" w14:textId="3417A0F1" w:rsidR="008E7C02" w:rsidRPr="00CB7314" w:rsidRDefault="008A6A7F" w:rsidP="008A6A7F">
      <w:pPr>
        <w:pStyle w:val="NormalHanging12a"/>
        <w:ind w:left="570" w:hanging="570"/>
      </w:pPr>
      <w:bookmarkStart w:id="7" w:name="_Hlk213407983"/>
      <w:r w:rsidRPr="00CB7314">
        <w:t>64.</w:t>
      </w:r>
      <w:r w:rsidRPr="00CB7314">
        <w:tab/>
      </w:r>
      <w:r w:rsidR="008E7C02" w:rsidRPr="00CB7314">
        <w:t>πιστεύει ότι η αρχή της ευρωπαϊκής προτίμησης θα πρέπει να αποτελεί προτεραιότητα στις προσπάθειες της ΕΕ να ενισχύσει τη στρατηγική αυτονομία και ανθεκτικότητά της, αναγνωρίζοντας παράλληλα την ελευθερία των κρατών μελών να αναπτύξουν τις στρατιωτικές τους ικανότητες για την αντιμετώπιση απειλών βραχυπρόθεσμα· υπενθυμίζει ότι η αρχή αυτή θα πρέπει να εφαρμόζεται προκειμένου να διασφαλιστεί ότι τα κονδύλια της ΕΕ που επενδύονται στην άμυνα και την ασφάλεια μέσω προγραμμάτων όπως το SAFE, το EDIP και το EDIRPA, ιδίως σε τεχνολογίες που σχετίζονται με κρίσιμες υποδομές διπλής χρήσης, στηρίζουν την ΕΒΤΒΑ·</w:t>
      </w:r>
      <w:bookmarkEnd w:id="7"/>
    </w:p>
    <w:p w14:paraId="2FDE646C" w14:textId="2A44FFD7" w:rsidR="008E7C02" w:rsidRPr="00CB7314" w:rsidRDefault="008A6A7F" w:rsidP="008A6A7F">
      <w:pPr>
        <w:pStyle w:val="NormalHanging12a"/>
        <w:ind w:left="570" w:hanging="570"/>
        <w:rPr>
          <w:bCs/>
          <w:iCs/>
        </w:rPr>
      </w:pPr>
      <w:r w:rsidRPr="00CB7314">
        <w:rPr>
          <w:bCs/>
          <w:iCs/>
        </w:rPr>
        <w:t>65.</w:t>
      </w:r>
      <w:r w:rsidRPr="00CB7314">
        <w:rPr>
          <w:bCs/>
          <w:iCs/>
        </w:rPr>
        <w:tab/>
      </w:r>
      <w:r w:rsidR="008E7C02" w:rsidRPr="00CB7314">
        <w:t>επαναλαμβάνει ότι η ανθεκτικότητα των υποδομών ζωτικής σημασίας απαιτεί πιο εναρμονισμένο και διεξοδικότερο έλεγχο των άμεσων ξένων επενδύσεων στην ΕΕ· τονίζει ότι η αναθεώρηση του κανονισμού (ΕΕ) 2019/452 για τον έλεγχο των άμεσων ξένων επενδύσεων αποτελεί σημαντικό βήμα προς ένα πιο συνεκτικό και αποτελεσματικό ευρωπαϊκό πλαίσιο για την προστασία της ασφάλειας και της δημόσιας τάξης, με παράλληλη διατήρηση του ανοικτού χαρακτήρα και της διαφάνειας· χαιρετίζει, στο πλαίσιο αυτό, την πρόταση της Επιτροπής για αναθεώρηση του κανονισμού (ΕΕ) 2019/452 για τον έλεγχο των άμεσων ξένων επενδύσεων, που θα πρέπει να αποσκοπεί στην επαρκή εξισορρόπηση των επενδυτικών αναγκών και της προστασίας των βασικών συμφερόντων ασφάλειας και των αμυντικών ικανοτήτων της ΕΕ·</w:t>
      </w:r>
    </w:p>
    <w:p w14:paraId="01BF5F7A" w14:textId="3BA7AA82" w:rsidR="008E7C02" w:rsidRPr="00CB7314" w:rsidRDefault="008A6A7F" w:rsidP="008A6A7F">
      <w:pPr>
        <w:pStyle w:val="NormalHanging12a"/>
        <w:ind w:left="570" w:hanging="570"/>
      </w:pPr>
      <w:r w:rsidRPr="00CB7314">
        <w:t>66.</w:t>
      </w:r>
      <w:r w:rsidRPr="00CB7314">
        <w:tab/>
      </w:r>
      <w:r w:rsidR="008E7C02" w:rsidRPr="00CB7314">
        <w:t>τονίζει ότι, κατά την επόμενη δεκαετία, παρά την πρόοδο των προσπαθειών απαλλαγής των μεταφορών από τις ανθρακούχες εκπομπές, η χρήση ορυκτών καυσίμων στη στρατιωτική κινητικότητα θα παραμείνει ζωτικής σημασίας, όπως η χρήση μηχανών διπλού τρόπου λειτουργίας και μηχανών με κινητήρα εσωτερικής καύσης, η οποία είναι η μόνη λειτουργική λύση σε περίπτωση ευρείας κλίμακας έλλειψης ηλεκτρικής ενέργειας·</w:t>
      </w:r>
    </w:p>
    <w:p w14:paraId="25BE6F70" w14:textId="72803615" w:rsidR="008E7C02" w:rsidRPr="00CB7314" w:rsidRDefault="008A6A7F" w:rsidP="008A6A7F">
      <w:pPr>
        <w:pStyle w:val="NormalHanging12a"/>
        <w:ind w:left="570" w:hanging="570"/>
        <w:rPr>
          <w:bCs/>
          <w:iCs/>
        </w:rPr>
      </w:pPr>
      <w:r w:rsidRPr="00CB7314">
        <w:rPr>
          <w:bCs/>
          <w:iCs/>
        </w:rPr>
        <w:t>67.</w:t>
      </w:r>
      <w:r w:rsidRPr="00CB7314">
        <w:rPr>
          <w:bCs/>
          <w:iCs/>
        </w:rPr>
        <w:tab/>
      </w:r>
      <w:r w:rsidR="008E7C02" w:rsidRPr="00CB7314">
        <w:t xml:space="preserve">εφιστά την προσοχή στην ανάγκη επέκτασης των αλυσίδων εφοδιασμού καυσίμων για τις ένοπλες δυνάμεις κατά μήκος των τεσσάρων διαδρόμων προτεραιότητας για τη στρατιωτική κινητικότητα· επισημαίνει ότι οι ενεργειακές υποδομές σε ολόκληρη την ανατολική πτέρυγα απαιτούν ανάπτυξη προκειμένου να στηριχθούν οι δραστηριότητες στρατιωτικής κινητικότητας και καλεί την Επιτροπή να αντιμετωπίσει την έλλειψη καυσίμων· ενθαρρύνει τη δημιουργία αποθεμάτων και στρατηγικών εφεδρειών ενέργειας, που θα μπορούσαν να έχουν ιδιαίτερη σημασία για τις περιφέρειες με ανεπαρκείς υποδομές αγωγών και ικανότητες αποθήκευσης καυσίμων· καλεί, στο </w:t>
      </w:r>
      <w:r w:rsidR="008E7C02" w:rsidRPr="00CB7314">
        <w:lastRenderedPageBreak/>
        <w:t>πλαίσιο αυτό, την Επιτροπή να επανεξετάσει την οδηγία για τα αποθέματα πετρελαίου</w:t>
      </w:r>
      <w:r w:rsidR="008E7C02" w:rsidRPr="00CB7314">
        <w:rPr>
          <w:bCs/>
          <w:iCs/>
          <w:vertAlign w:val="superscript"/>
        </w:rPr>
        <w:footnoteReference w:id="15"/>
      </w:r>
      <w:r w:rsidR="008E7C02" w:rsidRPr="00CB7314">
        <w:t xml:space="preserve"> υπό το πρίσμα των πρόσφατων γεωπολιτικών αλλαγών προκειμένου να ενισχυθεί η ενεργειακή ασφάλεια και η ανθεκτικότητα έναντι αναδυόμενων απειλών· </w:t>
      </w:r>
    </w:p>
    <w:p w14:paraId="15C5E44C" w14:textId="53E42585" w:rsidR="008E7C02" w:rsidRPr="00CB7314" w:rsidRDefault="008A6A7F" w:rsidP="008A6A7F">
      <w:pPr>
        <w:pStyle w:val="NormalHanging12a"/>
        <w:ind w:left="570" w:hanging="570"/>
        <w:rPr>
          <w:bCs/>
          <w:iCs/>
        </w:rPr>
      </w:pPr>
      <w:r w:rsidRPr="00CB7314">
        <w:rPr>
          <w:bCs/>
          <w:iCs/>
        </w:rPr>
        <w:t>68.</w:t>
      </w:r>
      <w:r w:rsidRPr="00CB7314">
        <w:rPr>
          <w:bCs/>
          <w:iCs/>
        </w:rPr>
        <w:tab/>
      </w:r>
      <w:r w:rsidR="008E7C02" w:rsidRPr="00CB7314">
        <w:t xml:space="preserve">υπενθυμίζει ότι, δεδομένου ότι το σιδηροδρομικό σύστημα βασίζεται στην ηλεκτρική ενέργεια για να καταστεί δυνατή η κυκλοφορία των αμαξοστοιχιών, οι σιδηροδρομικές λειτουργίες απαιτούν την αύξηση της ανθεκτικότητας των ενεργειακών δικτύων και την ταχεία αποκατάσταση της ισχύος σε περίπτωση διακοπής ή έλλειψης· </w:t>
      </w:r>
    </w:p>
    <w:p w14:paraId="63D40276" w14:textId="0772A302" w:rsidR="008E7C02" w:rsidRPr="00CB7314" w:rsidRDefault="008A6A7F" w:rsidP="008A6A7F">
      <w:pPr>
        <w:pStyle w:val="NormalHanging12a"/>
        <w:ind w:left="570" w:hanging="570"/>
        <w:rPr>
          <w:bCs/>
          <w:iCs/>
        </w:rPr>
      </w:pPr>
      <w:r w:rsidRPr="00CB7314">
        <w:rPr>
          <w:bCs/>
          <w:iCs/>
        </w:rPr>
        <w:t>69.</w:t>
      </w:r>
      <w:r w:rsidRPr="00CB7314">
        <w:rPr>
          <w:bCs/>
          <w:iCs/>
        </w:rPr>
        <w:tab/>
      </w:r>
      <w:r w:rsidR="008E7C02" w:rsidRPr="00CB7314">
        <w:t>σημειώνει με ανησυχία ότι η ΕΕ εξαρτάται σε μεγάλο βαθμό από τις εισαγωγές αργού πετρελαίου και προϊόντων πετρελαίου· καλεί την Επιτροπή να αναγνωρίσει ότι μια ισχυρή ευρωπαϊκή στρατηγική στρατιωτικής κινητικότητας απαιτεί ανθεκτικές και κυρίως ενωσιακές ικανότητες παραγωγής και διύλισης καυσίμων και εναλλακτικών καυσίμων, ώστε να ενισχυθεί επίσης η στρατηγική αυτονομία· ζητεί την άμεση ανάπτυξη ενός ολοκληρωμένου δικτύου διανομής και αποθήκευσης καυσίμων και τη διαφοροποίηση του ενεργειακού εφοδιασμού για τη διασφάλιση της ενεργειακής ασφάλειας· υπογραμμίζει ότι η έγκαιρη εφαρμογή των διατάξεων και των στόχων του κανονισμού για τις υποδομές εναλλακτικών καυσίμων</w:t>
      </w:r>
      <w:r w:rsidR="008E7C02" w:rsidRPr="00CB7314">
        <w:rPr>
          <w:bCs/>
          <w:iCs/>
          <w:vertAlign w:val="superscript"/>
        </w:rPr>
        <w:footnoteReference w:id="16"/>
      </w:r>
      <w:r w:rsidR="008E7C02" w:rsidRPr="00CB7314">
        <w:t xml:space="preserve"> (AFIR) μπορεί επίσης να διαδραματίσει σημαντικό ρόλο στη διαφοροποίηση των επιλογών ενεργειακού εφοδιασμού για τη στρατιωτική κινητικότητα, καθώς και να συμβάλει στους γενικούς στόχους της ΕΕ για απαλλαγή των μεταφορών από τις ανθρακούχες εκπομπές· </w:t>
      </w:r>
    </w:p>
    <w:p w14:paraId="576F5450" w14:textId="73044FB4" w:rsidR="008E7C02" w:rsidRPr="00CB7314" w:rsidRDefault="008A6A7F" w:rsidP="008A6A7F">
      <w:pPr>
        <w:pStyle w:val="NormalHanging12a"/>
        <w:ind w:left="570" w:hanging="570"/>
      </w:pPr>
      <w:r w:rsidRPr="00CB7314">
        <w:t>70.</w:t>
      </w:r>
      <w:r w:rsidRPr="00CB7314">
        <w:tab/>
      </w:r>
      <w:r w:rsidR="008E7C02" w:rsidRPr="00CB7314">
        <w:t xml:space="preserve">καλεί, επομένως, την Επιτροπή να λάβει υπόψη τις ικανότητες και τις ανάγκες στρατιωτικής κινητικότητας κατά την ανάπτυξη του ενεργειακού συστήματος της ΕΕ, λαμβάνοντας υπόψη τους στόχους απαλλαγής από τις ανθρακούχες εκπομπές και την ανάγκη για στρατηγική αυτονομία και ανθεκτικότητα· </w:t>
      </w:r>
    </w:p>
    <w:p w14:paraId="65026D08" w14:textId="77777777" w:rsidR="008E7C02" w:rsidRPr="00CB7314" w:rsidRDefault="008E7C02" w:rsidP="00567E27">
      <w:pPr>
        <w:pStyle w:val="NormalHanging12a"/>
      </w:pPr>
      <w:r w:rsidRPr="00CB7314">
        <w:rPr>
          <w:b/>
          <w:i/>
        </w:rPr>
        <w:t>Ανατολική πτέρυγα</w:t>
      </w:r>
    </w:p>
    <w:p w14:paraId="291DC24B" w14:textId="469591B9" w:rsidR="008E7C02" w:rsidRPr="00CB7314" w:rsidRDefault="008A6A7F" w:rsidP="008A6A7F">
      <w:pPr>
        <w:pStyle w:val="NormalHanging12a"/>
        <w:ind w:left="570" w:hanging="570"/>
        <w:rPr>
          <w:bCs/>
          <w:iCs/>
        </w:rPr>
      </w:pPr>
      <w:r w:rsidRPr="00CB7314">
        <w:rPr>
          <w:bCs/>
          <w:iCs/>
        </w:rPr>
        <w:t>71.</w:t>
      </w:r>
      <w:r w:rsidRPr="00CB7314">
        <w:rPr>
          <w:bCs/>
          <w:iCs/>
        </w:rPr>
        <w:tab/>
      </w:r>
      <w:r w:rsidR="008E7C02" w:rsidRPr="00CB7314">
        <w:t xml:space="preserve">επισημαίνει ότι, δεδομένου του επιθετικού πολέμου της Ρωσίας κατά της Ουκρανίας, η ανατολική πτέρυγα της ΕΕ έχει γίνει επανειλημμένως στόχος κυβερνοεπιθέσεων, υβριδικών απειλών και πράξεων δολιοφθοράς, συμπεριλαμβανομένων περιστατικών κατά φορέων μεταφοράς· καλεί, επομένως, την ΕΕ να εντείνει τις προσπάθειες στήριξης των κρατών μελών για να διασφαλίσει ότι οι υποδομές μεταφορών ζωτικής σημασίας στην ανατολική πτέρυγα είναι πλήρως προστατευμένες και ανθεκτικές, μεταξύ άλλων μέσω ταχέων μηχανισμών για την ενίσχυση της κυβερνοάμυνας στους σιδηροδρομικούς, οδικούς, λιμενικούς και ενεργειακούς κόμβους εφοδιασμού· επισημαίνει, στο πλαίσιο αυτό, την εξαιρετικά ευάλωτη θέση των κρατών της Βαλτικής, ιδίως λόγω του διαδρόμου Suwalki, και τονίζει ότι θα χρειαστούν ταχύτερος χρόνος αντίδρασης και ταχύτερες κινήσεις στρατευμάτων σε περίπτωση ρωσικής επίθεσης· </w:t>
      </w:r>
    </w:p>
    <w:p w14:paraId="75B390C8" w14:textId="42515E25" w:rsidR="008E7C02" w:rsidRPr="00CB7314" w:rsidRDefault="008A6A7F" w:rsidP="008A6A7F">
      <w:pPr>
        <w:pStyle w:val="NormalHanging12a"/>
        <w:ind w:left="570" w:hanging="570"/>
      </w:pPr>
      <w:r w:rsidRPr="00CB7314">
        <w:lastRenderedPageBreak/>
        <w:t>72.</w:t>
      </w:r>
      <w:r w:rsidRPr="00CB7314">
        <w:tab/>
      </w:r>
      <w:r w:rsidR="008E7C02" w:rsidRPr="00CB7314">
        <w:t>υπενθυμίζει ότι οι τέσσερις διάδρομοι προτεραιότητας της στρατιωτικής κινητικότητας της ΕΕ διαδραματίζουν καίριο ρόλο στην ασφάλεια και την άμυνα της ΕΕ· θεωρεί ότι η δυνατότητα ταχείας και αποτελεσματικής λειτουργίας όλων των προσδιορισμένων διαδρόμων προτεραιότητας της στρατιωτικής κινητικότητας θα καταστήσουν δυνατή την αποτελεσματική ασφάλεια για τα κράτη μέλη που, επί του παρόντος, είναι περισσότερο εκτεθειμένα στις απειλές της Ρωσίας· εφιστά την προσοχή στο γεγονός ότι οι τέσσερις διάδρομοι προτεραιότητας της ΕΕ για τη στρατιωτική κινητικότητα διασφαλίζουν επίσης την ικανότητα του ΝΑΤΟ να ενισχύει γρήγορα και να υπερασπίζεται αποτελεσματικά την ανατολική πτέρυγα, ενισχύοντας έτσι τη συλλογική ασφάλεια, την αποτροπή και την ανθεκτικότητα σε ολόκληρη τη Συμμαχία·</w:t>
      </w:r>
    </w:p>
    <w:p w14:paraId="04C64B2F" w14:textId="164A7AB0" w:rsidR="008E7C02" w:rsidRPr="00CB7314" w:rsidRDefault="008A6A7F" w:rsidP="008A6A7F">
      <w:pPr>
        <w:pStyle w:val="NormalHanging12a"/>
        <w:ind w:left="570" w:hanging="570"/>
        <w:rPr>
          <w:bCs/>
          <w:iCs/>
        </w:rPr>
      </w:pPr>
      <w:r w:rsidRPr="00CB7314">
        <w:rPr>
          <w:bCs/>
          <w:iCs/>
        </w:rPr>
        <w:t>73.</w:t>
      </w:r>
      <w:r w:rsidRPr="00CB7314">
        <w:rPr>
          <w:bCs/>
          <w:iCs/>
        </w:rPr>
        <w:tab/>
      </w:r>
      <w:r w:rsidR="008E7C02" w:rsidRPr="00CB7314">
        <w:t>σημειώνει ότι η στρατιωτική κινητικότητα εντός και προς την Πολωνία είναι απαραίτητη για την ασφάλεια ολόκληρης της ανατολικής πτέρυγας· υπογραμμίζει την προστιθέμενη αξία των πολυτροπικών κόμβων εφοδιαστικής που βρίσκονται στη Δυτική Ευρώπη για τη διασφάλιση της ταχείας μετακίνησης ευρωπαϊκών και συμμαχικών στρατευμάτων και βαρέος εξοπλισμού στην Ανατολική Ευρώπη·</w:t>
      </w:r>
    </w:p>
    <w:p w14:paraId="463F0DBC" w14:textId="31A4B1EC" w:rsidR="008E7C02" w:rsidRPr="00CB7314" w:rsidRDefault="008A6A7F" w:rsidP="008A6A7F">
      <w:pPr>
        <w:pStyle w:val="NormalHanging12a"/>
        <w:ind w:left="570" w:hanging="570"/>
        <w:rPr>
          <w:bCs/>
          <w:iCs/>
        </w:rPr>
      </w:pPr>
      <w:r w:rsidRPr="00CB7314">
        <w:rPr>
          <w:bCs/>
          <w:iCs/>
        </w:rPr>
        <w:t>74.</w:t>
      </w:r>
      <w:r w:rsidRPr="00CB7314">
        <w:rPr>
          <w:bCs/>
          <w:iCs/>
        </w:rPr>
        <w:tab/>
      </w:r>
      <w:r w:rsidR="008E7C02" w:rsidRPr="00CB7314">
        <w:t>επικροτεί την πρωτοβουλία για το σύμφωνο των ανατολικών περιφερειών, που ανακοινώθηκε πρόσφατα από την Επιτροπή, το οποίο αποσκοπεί στην παροχή εξατομικευμένης στήριξης στα κράτη μέλη κατά μήκος των ανατολικών συνόρων της ΕΕ για τη βελτίωση των υποδομών και την ενίσχυση της ανθεκτικότητας στις παραμεθόριες περιοχές· τονίζει τη θεμελιώδη σημασία του έργου «Ανατολική Ασπίδα» ως στρατηγικής δέσμευσης που αποσκοπεί στην ενίσχυση της ασφάλειας της Ευρώπης, μεταξύ άλλων μέσω της προστασίας των σχετικών στρατιωτικών διαδρόμων για τη διατήρηση της ικανότητας αντίδρασης, επισημαίνοντας τη συμπερίληψή του στη Λευκή Βίβλο για την αμυντική ετοιμότητα· ζητεί την παροχή επαρκών χρηματοδοτικών πόρων για τη διασφάλιση της εφαρμογής του·</w:t>
      </w:r>
    </w:p>
    <w:p w14:paraId="7BFEBFF5" w14:textId="7F3865C2" w:rsidR="008E7C02" w:rsidRPr="00CB7314" w:rsidRDefault="008A6A7F" w:rsidP="008A6A7F">
      <w:pPr>
        <w:pStyle w:val="NormalHanging12a"/>
        <w:ind w:left="570" w:hanging="570"/>
        <w:rPr>
          <w:bCs/>
          <w:iCs/>
        </w:rPr>
      </w:pPr>
      <w:r w:rsidRPr="00CB7314">
        <w:rPr>
          <w:bCs/>
          <w:iCs/>
        </w:rPr>
        <w:t>75.</w:t>
      </w:r>
      <w:r w:rsidRPr="00CB7314">
        <w:rPr>
          <w:bCs/>
          <w:iCs/>
        </w:rPr>
        <w:tab/>
      </w:r>
      <w:r w:rsidR="008E7C02" w:rsidRPr="00CB7314">
        <w:t>υπενθυμίζει ότι τα έργα υποδομών στρατιωτικής κινητικότητας πρέπει να επαναξιολογούνται και να επικαιροποιούνται συνεχώς στο πλαίσιο του ευρωπαϊκού εξαμήνου για την άμυνα σύμφωνα με τις τελευταίες στρατιωτικές απειλές και ικανότητες, πέραν της εδαφικής επέκτασης των λιμένων, ώστε να περιλαμβάνουν την κατάρτιση του προσωπικού και τη βελτίωση της διαχείρισης της θαλάσσιας κυκλοφορίας, καθώς και ικανότητες ανθεκτικότητας έναντι ταχέως εξελισσόμενων απειλών, όπως ο εντοπισμός υποβρύχιων δρόνων·</w:t>
      </w:r>
    </w:p>
    <w:p w14:paraId="771711F6" w14:textId="5EEB2D5E" w:rsidR="008E7C02" w:rsidRPr="00CB7314" w:rsidRDefault="008A6A7F" w:rsidP="008A6A7F">
      <w:pPr>
        <w:pStyle w:val="NormalHanging12a"/>
        <w:ind w:left="570" w:hanging="570"/>
        <w:rPr>
          <w:bCs/>
          <w:iCs/>
        </w:rPr>
      </w:pPr>
      <w:r w:rsidRPr="00CB7314">
        <w:rPr>
          <w:bCs/>
          <w:iCs/>
        </w:rPr>
        <w:t>76.</w:t>
      </w:r>
      <w:r w:rsidRPr="00CB7314">
        <w:rPr>
          <w:bCs/>
          <w:iCs/>
        </w:rPr>
        <w:tab/>
      </w:r>
      <w:r w:rsidR="008E7C02" w:rsidRPr="00CB7314">
        <w:t xml:space="preserve">υποστηρίζει την ευρωπαϊκή πρωτοβουλία για την άμυνα εναντίον δρόνων, υπό το πρίσμα των πρόσφατων και επανειλημμένων παραβιάσεων στον ευρωπαϊκό εναέριο χώρο από δρόνους· ζητεί βελτιώσεις και ενίσχυση των ικανοτήτων των δρόνων σε όλα τα κράτη μέλη σε συνεργασία με το ΝΑΤΟ και με βάση τις εμπειρίες επί του πεδίου των ουκρανικών ενόπλων δυνάμεων· τονίζει ότι αυτές οι ευρωπαϊκές ικανότητες δρόνων θα πρέπει να βασίζονται στα διδάγματα που αντλήθηκαν από την Ουκρανία σχετικά με τη βασική αξία της δημιουργίας καινοτόμων οικοσυστημάτων δρόνων και αναχαίτισης δρόνων, συνδέοντας την έρευνα και την ανάπτυξη με την παραγωγή και με βάση την κλιμακούμενη παραγωγική ικανότητα και τη συνεχή τεχνολογική ανάπτυξη, από τους υποβρύχιους δρόνους, τους δρόνους αναγνώρισης και τους μαχητικούς δρόνους έως τις ικανότητες άμυνας και αναχαίτισης δρόνων· </w:t>
      </w:r>
    </w:p>
    <w:p w14:paraId="4B19033A" w14:textId="484D776B" w:rsidR="008E7C02" w:rsidRPr="00CB7314" w:rsidRDefault="008A6A7F" w:rsidP="008A6A7F">
      <w:pPr>
        <w:pStyle w:val="NormalHanging12a"/>
        <w:ind w:left="570" w:hanging="570"/>
        <w:rPr>
          <w:bCs/>
          <w:iCs/>
        </w:rPr>
      </w:pPr>
      <w:r w:rsidRPr="00CB7314">
        <w:rPr>
          <w:bCs/>
          <w:iCs/>
        </w:rPr>
        <w:t>77.</w:t>
      </w:r>
      <w:r w:rsidRPr="00CB7314">
        <w:rPr>
          <w:bCs/>
          <w:iCs/>
        </w:rPr>
        <w:tab/>
      </w:r>
      <w:r w:rsidR="008E7C02" w:rsidRPr="00CB7314">
        <w:t xml:space="preserve">υπενθυμίζει ότι ένα δίκτυο αναχαίτισης δρόνων θα μπορούσε να προσαρμοστεί για σκοπούς διπλής χρήσης και να συμβάλει στην αντιμετώπιση απειλών που δεν σχετίζονται με την άμυνα ή άλλων κινδύνων που είναι κοινοί για κάθε σύνορο της ΕΕ, </w:t>
      </w:r>
      <w:r w:rsidR="008E7C02" w:rsidRPr="00CB7314">
        <w:lastRenderedPageBreak/>
        <w:t>συμπεριλαμβανομένων της προστασίας των συνόρων, της εργαλειοποίησης της μετανάστευσης, της προστασίας των υποδομών ζωτικής σημασίας και του διακρατικού οργανωμένου εγκλήματος·</w:t>
      </w:r>
    </w:p>
    <w:p w14:paraId="199DA176" w14:textId="77777777" w:rsidR="008E7C02" w:rsidRPr="00CB7314" w:rsidRDefault="008E7C02" w:rsidP="00567E27">
      <w:pPr>
        <w:pStyle w:val="Normal12a24b"/>
        <w:widowControl/>
        <w:spacing w:before="0"/>
        <w:ind w:left="567" w:hanging="567"/>
      </w:pPr>
      <w:r w:rsidRPr="00CB7314">
        <w:rPr>
          <w:rStyle w:val="BoldItalic"/>
        </w:rPr>
        <w:t xml:space="preserve">Ενίσχυση δυνατοτήτων </w:t>
      </w:r>
    </w:p>
    <w:p w14:paraId="4F47FA17" w14:textId="400CDB7F" w:rsidR="008E7C02" w:rsidRPr="00CB7314" w:rsidRDefault="008A6A7F" w:rsidP="008A6A7F">
      <w:pPr>
        <w:pStyle w:val="NormalHanging12a"/>
        <w:ind w:left="570" w:hanging="570"/>
      </w:pPr>
      <w:r w:rsidRPr="00CB7314">
        <w:t>78.</w:t>
      </w:r>
      <w:r w:rsidRPr="00CB7314">
        <w:tab/>
      </w:r>
      <w:r w:rsidR="008E7C02" w:rsidRPr="00CB7314">
        <w:t xml:space="preserve">επαναλαμβάνει ότι τα συστήματα επίγειων μεταφορών είναι οι κύριοι τρόποι μεταφοράς για τη μετακίνηση στρατιωτικών μέσων, τα οποία είναι συνήθως βαριά και υπερμεγέθη και περιέχουν επικίνδυνα εμπορεύματα· </w:t>
      </w:r>
    </w:p>
    <w:p w14:paraId="17523679" w14:textId="7CE032E1" w:rsidR="008E7C02" w:rsidRPr="00CB7314" w:rsidRDefault="008A6A7F" w:rsidP="008A6A7F">
      <w:pPr>
        <w:pStyle w:val="NormalHanging12a"/>
        <w:ind w:left="570" w:hanging="570"/>
        <w:rPr>
          <w:bCs/>
          <w:iCs/>
        </w:rPr>
      </w:pPr>
      <w:r w:rsidRPr="00CB7314">
        <w:rPr>
          <w:bCs/>
          <w:iCs/>
        </w:rPr>
        <w:t>79.</w:t>
      </w:r>
      <w:r w:rsidRPr="00CB7314">
        <w:rPr>
          <w:bCs/>
          <w:iCs/>
        </w:rPr>
        <w:tab/>
      </w:r>
      <w:r w:rsidR="008E7C02" w:rsidRPr="00CB7314">
        <w:t xml:space="preserve">σημειώνει με ανησυχία την τρέχουσα έλλειψη ορισμένων εξοπλισμών στρατιωτικής κινητικότητας, όπως οι επίπεδες φορτάμαξες, και τη μείωση της παραγωγής τους από την περίοδο του Ψυχρού Πολέμου· ζητεί να υποστηριχθεί η ανάπτυξή τους στο πλαίσιο ευρωπαϊκών βιομηχανικών προγραμμάτων· τονίζει την επιτακτική ανάγκη για συνεργασία μεταξύ δημόσιων και ιδιωτικών ενδιαφερόμενων μερών με στόχο τη μόχλευση και τη μεγιστοποίηση του δυναμικού των διαθέσιμων σιδηροδρομικών πόρων για τη στρατιωτική κινητικότητα, ενθαρρύνει δε τη χρήση συμβάσεων ετοιμότητας·  </w:t>
      </w:r>
    </w:p>
    <w:p w14:paraId="48008BEF" w14:textId="0F925C00" w:rsidR="008E7C02" w:rsidRPr="00CB7314" w:rsidRDefault="008A6A7F" w:rsidP="008A6A7F">
      <w:pPr>
        <w:pStyle w:val="Normal12a24b"/>
        <w:widowControl/>
        <w:spacing w:before="0"/>
        <w:ind w:left="570" w:hanging="570"/>
        <w:rPr>
          <w:bCs/>
          <w:iCs/>
        </w:rPr>
      </w:pPr>
      <w:r w:rsidRPr="00CB7314">
        <w:rPr>
          <w:bCs/>
          <w:iCs/>
        </w:rPr>
        <w:t>80.</w:t>
      </w:r>
      <w:r w:rsidRPr="00CB7314">
        <w:rPr>
          <w:bCs/>
          <w:iCs/>
        </w:rPr>
        <w:tab/>
      </w:r>
      <w:r w:rsidR="008E7C02" w:rsidRPr="00CB7314">
        <w:t xml:space="preserve">τονίζει τον επείγοντα χαρακτήρα αντιμετώπισης της έλλειψης στόλου τροχαίου υλικού στους ευρωπαϊκούς σιδηροδρομικούς οργανισμούς· τονίζει τη σημασία μιας εναρμονισμένης διαδικασίας έγκρισης για το τροχαίο υλικό, την οποία θα διαχειρίζεται ο Οργανισμός Σιδηροδρόμων της ΕΕ (ERA)· υπενθυμίζει την ανάγκη αντικατάστασης των εθνικών κανόνων από τεχνικές προδιαγραφές διαλειτουργικότητας (ΤΠΔ) προκειμένου να αυξηθεί η διαθεσιμότητα διασυνοριακού τροχαίου υλικού για στρατιωτικούς και μη στρατιωτικούς σκοπούς· </w:t>
      </w:r>
    </w:p>
    <w:p w14:paraId="580530B5" w14:textId="2E946FD0" w:rsidR="008E7C02" w:rsidRPr="00CB7314" w:rsidRDefault="008A6A7F" w:rsidP="008A6A7F">
      <w:pPr>
        <w:pStyle w:val="NormalHanging12a"/>
        <w:ind w:left="570" w:hanging="570"/>
      </w:pPr>
      <w:r w:rsidRPr="00CB7314">
        <w:t>81.</w:t>
      </w:r>
      <w:r w:rsidRPr="00CB7314">
        <w:tab/>
      </w:r>
      <w:r w:rsidR="008E7C02" w:rsidRPr="00CB7314">
        <w:t xml:space="preserve">ζητεί συντονισμένη προσέγγιση όσον αφορά την αγορά σιδηροδρομικού τροχαίου υλικού, με σκοπό τη μεγιστοποίηση της αποδοτικής χρήσης των διαθέσιμων κατασκευαστικών ικανοτήτων· υπογραμμίζει ότι θα πρέπει να ενθαρρυνθούν οι κοινές δημόσιες συμβάσεις τέτοιων οχημάτων· </w:t>
      </w:r>
    </w:p>
    <w:p w14:paraId="5A2A6446" w14:textId="58CC3EDC" w:rsidR="008E7C02" w:rsidRPr="00CB7314" w:rsidRDefault="008A6A7F" w:rsidP="008A6A7F">
      <w:pPr>
        <w:pStyle w:val="Normal12a24b"/>
        <w:widowControl/>
        <w:spacing w:before="0"/>
        <w:ind w:left="570" w:hanging="570"/>
        <w:rPr>
          <w:bCs/>
          <w:iCs/>
        </w:rPr>
      </w:pPr>
      <w:r w:rsidRPr="00CB7314">
        <w:rPr>
          <w:bCs/>
          <w:iCs/>
        </w:rPr>
        <w:t>82.</w:t>
      </w:r>
      <w:r w:rsidRPr="00CB7314">
        <w:rPr>
          <w:bCs/>
          <w:iCs/>
        </w:rPr>
        <w:tab/>
      </w:r>
      <w:r w:rsidR="008E7C02" w:rsidRPr="00CB7314">
        <w:t>σημειώνει ότι, πέρα από τις επίγειες μεταφορές, οι αεροπορικές μεταφορές είναι ο ταχύτερος τρόπος για να μεταφερθούν τα πρώτα στρατιωτικά μέσα και υλικοτεχνικό υλικό· τονίζει την ανάγκη να αναπτυχθεί ένα ευρωπαϊκό στρατηγικό απόθεμα αερομεταφορών και να ενισχυθούν οι στρατηγικοί παράγοντες διευκόλυνσης της εναέριας στρατιωτικής κινητικότητας, όπως οι βαριές αερομεταφορές·</w:t>
      </w:r>
    </w:p>
    <w:p w14:paraId="2755A713" w14:textId="4B38B032" w:rsidR="008E7C02" w:rsidRPr="00CB7314" w:rsidRDefault="008A6A7F" w:rsidP="008A6A7F">
      <w:pPr>
        <w:pStyle w:val="NormalHanging12a"/>
        <w:ind w:left="570" w:hanging="570"/>
        <w:rPr>
          <w:bCs/>
          <w:iCs/>
        </w:rPr>
      </w:pPr>
      <w:r w:rsidRPr="00CB7314">
        <w:rPr>
          <w:bCs/>
          <w:iCs/>
        </w:rPr>
        <w:t>83.</w:t>
      </w:r>
      <w:r w:rsidRPr="00CB7314">
        <w:rPr>
          <w:bCs/>
          <w:iCs/>
        </w:rPr>
        <w:tab/>
      </w:r>
      <w:r w:rsidR="008E7C02" w:rsidRPr="00CB7314">
        <w:t>σημειώνει την αυξανόμενη χρήση αυτόνομων οχημάτων στην παράδοση στρατιωτικών προμηθειών, η οποία αποτελεί λύση για την έλλειψη προσωπικού στις στρατιωτικές μονάδες υλικοτεχνικής υποστήριξης και ελαχιστοποιεί τις ανθρώπινες απώλειες σε περιόδους συγκρούσεων· ζητεί επιτακτικά την προσαρμογή της νομοθεσίας και των κανονισμών της ΕΕ και των κρατών μελών, ώστε να καταστεί δυνατή η εισαγωγή ημιαυτόνομης υλικοτεχνικής υποστήριξης στους διαδρόμους στρατιωτικής κινητικότητας·</w:t>
      </w:r>
    </w:p>
    <w:p w14:paraId="1BF74EFC" w14:textId="6CB08705" w:rsidR="008E7C02" w:rsidRPr="00CB7314" w:rsidRDefault="008A6A7F" w:rsidP="008A6A7F">
      <w:pPr>
        <w:pStyle w:val="NormalHanging12a"/>
        <w:ind w:left="570" w:hanging="570"/>
        <w:rPr>
          <w:bCs/>
          <w:iCs/>
        </w:rPr>
      </w:pPr>
      <w:r w:rsidRPr="00CB7314">
        <w:rPr>
          <w:bCs/>
          <w:iCs/>
        </w:rPr>
        <w:t>84.</w:t>
      </w:r>
      <w:r w:rsidRPr="00CB7314">
        <w:rPr>
          <w:bCs/>
          <w:iCs/>
        </w:rPr>
        <w:tab/>
      </w:r>
      <w:r w:rsidR="008E7C02" w:rsidRPr="00CB7314">
        <w:t>εγείρει προβληματισμούς σχετικά με τη διαθεσιμότητα και την επάρκεια των ικανοτήτων της ΕΕ για την ιατρική μεταφορά πολλών ασθενών για τραυματισμένο προσωπικό, προκειμένου να διασφαλιστεί η έγκαιρη εκκένωση και η κατάλληλη περίθαλψή τους·</w:t>
      </w:r>
    </w:p>
    <w:p w14:paraId="799DCD2B" w14:textId="2DA9F88A" w:rsidR="008E7C02" w:rsidRPr="00CB7314" w:rsidRDefault="008A6A7F" w:rsidP="008A6A7F">
      <w:pPr>
        <w:pStyle w:val="Normal12a24b"/>
        <w:widowControl/>
        <w:spacing w:before="0"/>
        <w:ind w:left="570" w:hanging="570"/>
      </w:pPr>
      <w:r w:rsidRPr="00CB7314">
        <w:lastRenderedPageBreak/>
        <w:t>85.</w:t>
      </w:r>
      <w:r w:rsidRPr="00CB7314">
        <w:tab/>
      </w:r>
      <w:r w:rsidR="008E7C02" w:rsidRPr="00CB7314">
        <w:t xml:space="preserve">τονίζει την ανάγκη να αξιολογηθούν και να συγκεντρωθούν οι απαιτήσεις των κρατών μελών για τη διασφάλιση της σταθερής διαθεσιμότητας και προσφοράς μέσων διπλής χρήσης, όπως μηχανές, σκάφη, φορτηγά, ρυμουλκούμενα κατάλληλα για μη φυσιολογικά φορτία, στρατηγικές αερομεταφορές, συστήματα ανεφοδιασμού αέρος-αέρος και σταθεροί και κινητοί γερανοί·  </w:t>
      </w:r>
    </w:p>
    <w:p w14:paraId="35D4F098" w14:textId="337F1734" w:rsidR="008E7C02" w:rsidRPr="00CB7314" w:rsidRDefault="008A6A7F" w:rsidP="008A6A7F">
      <w:pPr>
        <w:pStyle w:val="Normal12a24b"/>
        <w:widowControl/>
        <w:spacing w:before="0"/>
        <w:ind w:left="570" w:hanging="570"/>
        <w:rPr>
          <w:bCs/>
        </w:rPr>
      </w:pPr>
      <w:r w:rsidRPr="00CB7314">
        <w:rPr>
          <w:bCs/>
        </w:rPr>
        <w:t>86.</w:t>
      </w:r>
      <w:r w:rsidRPr="00CB7314">
        <w:rPr>
          <w:bCs/>
        </w:rPr>
        <w:tab/>
      </w:r>
      <w:r w:rsidR="008E7C02" w:rsidRPr="00CB7314">
        <w:t xml:space="preserve">τονίζει τη σημασία της καταχώρισης όλων αυτών των μεταφορικών μέσων σε μια «δεξαμενή αλληλεγγύης» στρατιωτικού και πολιτικού τομέα, ώστε να μπορούν να χρησιμοποιούνται όποτε και όπου είναι αναγκαίο με τον πλέον αποτελεσματικό τρόπο, με βάση τα στρατηγικά αποθέματα rescEU των ευρωπαϊκών ικανοτήτων αντιμετώπισης κρίσεων· καλεί την Επιτροπή να διασφαλίσει τον συντονισμό σε επίπεδο ΕΕ με τα κράτη μέλη που θα καθιστά δυνατή την προβλεψιμότητα και τον σχεδιασμό για τη βιομηχανία εφοδιασμού· </w:t>
      </w:r>
    </w:p>
    <w:p w14:paraId="451EC85E" w14:textId="632C3F23" w:rsidR="008E7C02" w:rsidRPr="00CB7314" w:rsidRDefault="008A6A7F" w:rsidP="008A6A7F">
      <w:pPr>
        <w:pStyle w:val="Normal12a24b"/>
        <w:widowControl/>
        <w:spacing w:before="0"/>
        <w:ind w:left="570" w:hanging="570"/>
        <w:rPr>
          <w:bCs/>
          <w:iCs/>
        </w:rPr>
      </w:pPr>
      <w:r w:rsidRPr="00CB7314">
        <w:rPr>
          <w:bCs/>
          <w:iCs/>
        </w:rPr>
        <w:t>87.</w:t>
      </w:r>
      <w:r w:rsidRPr="00CB7314">
        <w:rPr>
          <w:bCs/>
          <w:iCs/>
        </w:rPr>
        <w:tab/>
      </w:r>
      <w:r w:rsidR="008E7C02" w:rsidRPr="00CB7314">
        <w:t xml:space="preserve">τονίζει την ανάγκη να διασφαλιστεί η συνοχή μεταξύ των προτεραιοτήτων του σχεδίου δράσης για τη στρατιωτική κινητικότητα και του προγραμματισμού του EDIP, διασφαλίζοντας ότι οι αξιολογήσεις του κενού ικανοτήτων [σχέδιο ανάπτυξης δυνατοτήτων και συντονισμένη ετήσια επανεξέταση στον τομέα της άμυνας (CARD)] καθοδηγούν τον καθορισμό των προτεραιοτήτων χρηματοδότησης· καλεί την Επιτροπή να δώσει κίνητρα στην ΕΒΤΒΑ να αντιμετωπίσει τα εν λόγω κενά· επισημαίνει την ανάγκη στήριξης των επενδύσεων στην αγορά, επισκευή, συντήρηση και κοινή χρήση μεταφορικών μέσων μέσω χρηματοδοτικών μέσων σε επίπεδο ΕΕ· τονίζει τη σημασία της προβλεψιμότητας όσον αφορά τη ζήτηση για προϊόντα στρατιωτικής κινητικότητας, σε συνδυασμό με επαρκή χρηματοδότηση και απλουστευμένους κανόνες για τις δημόσιες συμβάσεις, γεγονός που θα επιτρέψει στη βιομηχανία εφοδιασμού να αυξήσει και να διατηρήσει τα επίπεδα παραγωγής· </w:t>
      </w:r>
    </w:p>
    <w:p w14:paraId="48F98D1F" w14:textId="494E7D5D" w:rsidR="008E7C02" w:rsidRPr="00CB7314" w:rsidRDefault="008A6A7F" w:rsidP="008A6A7F">
      <w:pPr>
        <w:pStyle w:val="Normal12a24b"/>
        <w:widowControl/>
        <w:spacing w:before="0"/>
        <w:ind w:left="570" w:hanging="570"/>
        <w:rPr>
          <w:bCs/>
          <w:iCs/>
        </w:rPr>
      </w:pPr>
      <w:r w:rsidRPr="00CB7314">
        <w:rPr>
          <w:bCs/>
          <w:iCs/>
        </w:rPr>
        <w:t>88.</w:t>
      </w:r>
      <w:r w:rsidRPr="00CB7314">
        <w:rPr>
          <w:bCs/>
          <w:iCs/>
        </w:rPr>
        <w:tab/>
      </w:r>
      <w:r w:rsidR="008E7C02" w:rsidRPr="00CB7314">
        <w:t xml:space="preserve">ζητεί επενδύσεις στην έρευνα και την ανάπτυξη για την προώθηση των ικανοτήτων διπλής χρήσης· τονίζει τη σημασία της στήριξης της ΕΕ για την τόνωση της καινοτομίας στις τεχνολογίες οχημάτων διπλής χρήσης, συμπεριλαμβανομένων σπονδυλωτών πλατφορμών προσαρμόσιμων τόσο για μη στρατιωτική όσο και για στρατιωτική χρήση, καθώς και στον τομέα του μη στρατιωτικού ναυτικού και στον εναέριο τομέα για την προώθηση νέων τεχνολογιών· </w:t>
      </w:r>
    </w:p>
    <w:p w14:paraId="28A7C956" w14:textId="77777777" w:rsidR="008E7C02" w:rsidRPr="00CB7314" w:rsidRDefault="008E7C02" w:rsidP="00567E27">
      <w:pPr>
        <w:pStyle w:val="Normal12a24b"/>
        <w:widowControl/>
        <w:spacing w:before="0"/>
        <w:ind w:left="567" w:hanging="567"/>
      </w:pPr>
      <w:r w:rsidRPr="00CB7314">
        <w:rPr>
          <w:rStyle w:val="BoldItalic"/>
        </w:rPr>
        <w:t>Ενίσχυση της συνεργασίας ΕΕ-ΝΑΤΟ</w:t>
      </w:r>
    </w:p>
    <w:p w14:paraId="47E3B15F" w14:textId="02F9EEE5" w:rsidR="008E7C02" w:rsidRPr="00CB7314" w:rsidRDefault="008A6A7F" w:rsidP="008A6A7F">
      <w:pPr>
        <w:pStyle w:val="NormalHanging12a"/>
        <w:ind w:left="570" w:hanging="570"/>
      </w:pPr>
      <w:r w:rsidRPr="00CB7314">
        <w:t>89.</w:t>
      </w:r>
      <w:r w:rsidRPr="00CB7314">
        <w:tab/>
      </w:r>
      <w:r w:rsidR="008E7C02" w:rsidRPr="00CB7314">
        <w:t>πιστεύει ότι η ενισχυμένη στρατιωτική κινητικότητα ενισχύει την ΚΠΑΑ και τη διατλαντική συμμαχία· τονίζει ότι το ΝΑΤΟ βασίζεται στις υποδομές των κρατών μελών της ΕΕ για τη μετακίνηση στρατευμάτων και εξοπλισμού· σημειώνει με ικανοποίηση ότι, χάρη στην πρόοδο στη συνεργασία ΕΕ-ΝΑΤΟ, μεταξύ άλλων μέσω του διαρθρωμένου διαλόγου ΕΕ-ΝΑΤΟ για τη στρατιωτική κινητικότητα, οι σχετικές στρατιωτικές απαιτήσεις της ΕΕ συνάδουν με τις τεχνικές και γεωγραφικές απαιτήσεις του ΝΑΤΟ σε επίπεδο περίπου 95 %·</w:t>
      </w:r>
    </w:p>
    <w:p w14:paraId="05186E25" w14:textId="433FD5CD" w:rsidR="008E7C02" w:rsidRPr="00CB7314" w:rsidRDefault="008A6A7F" w:rsidP="008A6A7F">
      <w:pPr>
        <w:pStyle w:val="NormalHanging12a"/>
        <w:ind w:left="570" w:hanging="570"/>
        <w:rPr>
          <w:bCs/>
          <w:iCs/>
        </w:rPr>
      </w:pPr>
      <w:r w:rsidRPr="00CB7314">
        <w:rPr>
          <w:bCs/>
          <w:iCs/>
        </w:rPr>
        <w:t>90.</w:t>
      </w:r>
      <w:r w:rsidRPr="00CB7314">
        <w:rPr>
          <w:bCs/>
          <w:iCs/>
        </w:rPr>
        <w:tab/>
      </w:r>
      <w:r w:rsidR="008E7C02" w:rsidRPr="00CB7314">
        <w:t xml:space="preserve">καλεί τα κράτη μέλη να ενισχύσουν τη μεταξύ τους συνεργασία και τη συνεργασία τους με το ΝΑΤΟ, ιδίως στο πλαίσιο του υφιστάμενου συστήματος αγωγών της Κεντρικής Ευρώπης (CEPS) και του επενδυτικού προγράμματος του ΝΑΤΟ για την ασφάλεια, προκειμένου να διασφαλιστούν η διαλειτουργικότητα, η ασφάλεια στον κυβερνοχώρο και επαρκείς ικανότητες μεταφοράς και αποθήκευσης για στρατιωτικές επιχειρήσεις της ΕΕ και του ΝΑΤΟ· </w:t>
      </w:r>
    </w:p>
    <w:p w14:paraId="154632BF" w14:textId="0FB58F1C" w:rsidR="008E7C02" w:rsidRPr="00CB7314" w:rsidRDefault="008A6A7F" w:rsidP="008A6A7F">
      <w:pPr>
        <w:pStyle w:val="NormalHanging12a"/>
        <w:ind w:left="570" w:hanging="570"/>
      </w:pPr>
      <w:r w:rsidRPr="00CB7314">
        <w:lastRenderedPageBreak/>
        <w:t>91.</w:t>
      </w:r>
      <w:r w:rsidRPr="00CB7314">
        <w:tab/>
      </w:r>
      <w:r w:rsidR="008E7C02" w:rsidRPr="00CB7314">
        <w:t>εκφράζει τη λύπη του για το γεγονός ότι εξακολουθούν να υφίστανται πολιτικά και διαδικαστικά εμπόδια στην ανταλλαγή διαβαθμισμένων πληροφοριών σχετικά με τα δίκτυα υλικοτεχνικής υποστήριξης μεταξύ του ΝΑΤΟ και της ΕΕ και ζητεί την κοινή κατανόηση στο πλαίσιο αυτό για την επίτευξη συνεργειών· υπογραμμίζει ότι τα εμπόδια αυτά, ιδίως η απουσία συμφωνίας με το ΝΑΤΟ για την ανταλλαγή διαβαθμισμένων πληροφοριών, υπονομεύουν σημαντικά την αποδοτικότητα των αμυντικών προσπαθειών αμφότερων των οργανισμών· ζητεί να καταβληθούν έντονες προσπάθειες από τα κράτη μέλη της ΕΕ για την υπέρβαση των πολιτικών εμποδίων που εμποδίζουν την επίτευξη συμφωνίας σχετικά με την ανταλλαγή διαβαθμισμένων πληροφοριών· ζητεί τη δημιουργία μιας μόνιμης πλατφόρμας ανταλλαγής πληροφοριών ΕΕ-ΝΑΤΟ για τη στήριξη του έργου της Διακλαδικής Διοίκησης Υποστήριξης και Διευκόλυνσης του ΝΑΤΟ·</w:t>
      </w:r>
    </w:p>
    <w:p w14:paraId="411590CB" w14:textId="6757005B" w:rsidR="008E7C02" w:rsidRPr="00CB7314" w:rsidRDefault="008A6A7F" w:rsidP="008A6A7F">
      <w:pPr>
        <w:pStyle w:val="NormalHanging12a"/>
        <w:ind w:left="570" w:hanging="570"/>
      </w:pPr>
      <w:r w:rsidRPr="00CB7314">
        <w:t>92.</w:t>
      </w:r>
      <w:r w:rsidRPr="00CB7314">
        <w:tab/>
      </w:r>
      <w:r w:rsidR="008E7C02" w:rsidRPr="00CB7314">
        <w:t xml:space="preserve">ζητεί τη διοργάνωση τακτικών κοινών ασκήσεων ΕΕ-ΝΑΤΟ και προσομοιώσεων ακραίων καταστάσεων με τη συμμετοχή των ενόπλων δυνάμεων, της πολιτικής προστασίας, των διαχειριστών υποδομών και των μεταφορέων, προκειμένου να βελτιωθούν η επικοινωνία και ο συντονισμός, να εξορθολογιστούν οι διαδικασίες και να εντοπιστούν και να αρθούν τα εμπόδια στη στρατιωτική κινητικότητα· </w:t>
      </w:r>
    </w:p>
    <w:p w14:paraId="7360998E" w14:textId="05E618ED" w:rsidR="008E7C02" w:rsidRPr="00CB7314" w:rsidRDefault="008A6A7F" w:rsidP="008A6A7F">
      <w:pPr>
        <w:pStyle w:val="NormalHanging12a"/>
        <w:ind w:left="570" w:hanging="570"/>
        <w:rPr>
          <w:bCs/>
          <w:iCs/>
        </w:rPr>
      </w:pPr>
      <w:r w:rsidRPr="00CB7314">
        <w:rPr>
          <w:bCs/>
          <w:iCs/>
        </w:rPr>
        <w:t>93.</w:t>
      </w:r>
      <w:r w:rsidRPr="00CB7314">
        <w:rPr>
          <w:bCs/>
          <w:iCs/>
        </w:rPr>
        <w:tab/>
      </w:r>
      <w:r w:rsidR="008E7C02" w:rsidRPr="00CB7314">
        <w:t xml:space="preserve">καλεί την Επιτροπή και το ΝΑΤΟ να εμβαθύνουν τον συντονισμό όσον αφορά τη θαλάσσια κινητικότητα, διασφαλίζοντας πρότυπα διαλειτουργικότητας για τις θαλάσσιες μεταφορές, πρόσβαση στους λιμένες και την προστασία των θαλάσσιων γραμμών επικοινωνίας, με ιδιαίτερη προσοχή στον Ατλαντικό, τη Μεσόγειο και τις εξόχως απόκεντρες περιοχές· ζητεί τη στενή συνεργασία ΕΕ-ΝΑΤΟ για τη διασφάλιση της διατλαντικής παράδοσης στρατιωτικού εξοπλισμού και προμηθειών διά θαλάσσης και αέρος λόγω της σημασίας τους· αναγνωρίζει τον σημαντικό ρόλο της Τουρκίας στη διασφάλιση των οδών μεταφοράς και της συνολικής στρατιωτικής κινητικότητας ΕΕ-ΝΑΤΟ, ιδίως την απόφασή της να κλείσει τα στενά του Εύξεινου Πόντου τον Φεβρουάριο του 2022, γεγονός που εμπόδισε τη Ρωσία να ενισχύσει τη ναυτική της παρουσία στον Εύξεινο Πόντο· </w:t>
      </w:r>
    </w:p>
    <w:p w14:paraId="5BEFC64F" w14:textId="4B61E6F5" w:rsidR="008E7C02" w:rsidRPr="00CB7314" w:rsidRDefault="008A6A7F" w:rsidP="008A6A7F">
      <w:pPr>
        <w:pStyle w:val="NormalHanging12a"/>
        <w:ind w:left="570" w:hanging="570"/>
      </w:pPr>
      <w:r w:rsidRPr="00CB7314">
        <w:t>94.</w:t>
      </w:r>
      <w:r w:rsidRPr="00CB7314">
        <w:tab/>
      </w:r>
      <w:r w:rsidR="008E7C02" w:rsidRPr="00CB7314">
        <w:t>σημειώνει ότι το χρονοδιάγραμμα επιχειρησιακής σχεδίασης του ΝΑΤΟ είναι διάρκειας τριών ημερών· επιμένει, επομένως, στη συμμόρφωση με τις δεσμεύσεις για την επίτευξη του στόχου των τριών έως πέντε ημερών κατά μέγιστο για την ολοκλήρωση των σχετικών διαδικασιών διέλευσης των συνόρων και αδειοδότησης μη κανονικών, υπερμεγέθων και υπέρβαρων μεταφορών, με βάση εξορθολογισμένες, εναρμονισμένες και ψηφιακές διαδικασίες· ζητεί να μειωθεί ο χρόνος σε τρεις ημέρες για τις μονάδες ταχείας αντίδρασης σε «καιρό ειρήνης» και σε 24 ώρες σε κατάσταση κρίσης· ζητεί εκ νέου τη συγχώνευση των δύο εντύπων 302 που χρησιμοποιούνται από το ΝΑΤΟ και την ΕΕ σε ένα, προκειμένου να μειωθούν οι περιττές αλληλεπικαλύψεις και να διευκολυνθούν οι ταχύτερες διασυνοριακές μετακινήσεις· προκειμένου να επιταχυνθούν οι διαδικασίες αδειοδότησης, ζητεί τη θέσπιση αυτόματης αναγνώρισης για αναλύσεις διαδρομών και γεφυρών εντός των κρατών μελών και σε διασυνοριακό επίπεδο και ενός καθεστώτος ταχείας διαδικασίας βάσει κοινοποιήσεων για πιστοποιημένους φορείς εκμετάλλευσης που εκτελούν στρατιωτικές μεταφορές ή μεταφορές έκτακτης ανάγκης στο πλαίσιο της δέσμης μέτρων για τη στρατιωτική κινητικότητα·</w:t>
      </w:r>
    </w:p>
    <w:p w14:paraId="1897A9EE" w14:textId="0E00AFB8" w:rsidR="008E7C02" w:rsidRPr="00CB7314" w:rsidRDefault="008A6A7F" w:rsidP="008A6A7F">
      <w:pPr>
        <w:pStyle w:val="NormalHanging12a"/>
        <w:ind w:left="570" w:hanging="570"/>
      </w:pPr>
      <w:r w:rsidRPr="00CB7314">
        <w:t>95.</w:t>
      </w:r>
      <w:r w:rsidRPr="00CB7314">
        <w:tab/>
      </w:r>
      <w:r w:rsidR="008E7C02" w:rsidRPr="00CB7314">
        <w:t xml:space="preserve">καλεί τα κράτη μέλη να αναπτύξουν επειγόντως τις απαραίτητες αμυντικές δυνατότητες για τις στρατιωτικές μεταφορές, συμπεριλαμβανομένης της επέκτασης των δικτύων αγωγών του NATO και των δυνατοτήτων στρατηγικών μεταφορών, με βάση τη </w:t>
      </w:r>
      <w:r w:rsidR="008E7C02" w:rsidRPr="00CB7314">
        <w:lastRenderedPageBreak/>
        <w:t>συντονισμένη ετήσια επανεξέταση των πορισμάτων στον τομέα της άμυνας και τις προτεραιότητες της ΕΕ για την ανάπτυξη δυνατοτήτων για το 2023· θεωρεί σημαντικό να καλυφθούν, σε συνεννόηση με το ΝΑΤΟ, κατά περίπτωση, οι στρατιωτικές απαιτήσεις και να μετριαστούν τα τεχνικά και γεωγραφικά κενά·</w:t>
      </w:r>
    </w:p>
    <w:p w14:paraId="0D5ED227" w14:textId="7260FE17" w:rsidR="008E7C02" w:rsidRPr="00CB7314" w:rsidRDefault="008A6A7F" w:rsidP="008A6A7F">
      <w:pPr>
        <w:pStyle w:val="NormalHanging12a"/>
        <w:ind w:left="570" w:hanging="570"/>
      </w:pPr>
      <w:r w:rsidRPr="00CB7314">
        <w:t>96.</w:t>
      </w:r>
      <w:r w:rsidRPr="00CB7314">
        <w:tab/>
      </w:r>
      <w:r w:rsidR="008E7C02" w:rsidRPr="00CB7314">
        <w:t>τονίζει την προστιθέμενη αξία της κατ’ εξαίρεσης συμμετοχής των ΗΠΑ, του Καναδά, του Ηνωμένου Βασιλείου, της Νορβηγίας και της Ελβετίας, καθώς και άλλων ομοϊδεατών εταίρων στο έργο στρατιωτικής κινητικότητας της μόνιμης διαρθρωμένης συνεργασίας (PESCO)· ζητεί την υλοποίηση των στόχων όσον αφορά τις δυνατότητες και την επέκταση της συμμετοχής σε στρατηγικές χώρες εταίρους, όπως η Ουκρανία και η Δημοκρατία της Μολδαβίας, σύμφωνα με τους κανόνες της PESCO·</w:t>
      </w:r>
    </w:p>
    <w:p w14:paraId="09B0C89C" w14:textId="6A7A56CE" w:rsidR="008E7C02" w:rsidRPr="00CB7314" w:rsidRDefault="008A6A7F" w:rsidP="008A6A7F">
      <w:pPr>
        <w:pStyle w:val="NormalHanging12a"/>
        <w:ind w:left="570" w:hanging="570"/>
      </w:pPr>
      <w:r w:rsidRPr="00CB7314">
        <w:t>97.</w:t>
      </w:r>
      <w:r w:rsidRPr="00CB7314">
        <w:tab/>
      </w:r>
      <w:r w:rsidR="008E7C02" w:rsidRPr="00CB7314">
        <w:t xml:space="preserve">υπογραμμίζει την ανάγκη για διαλειτουργικότητα, επίσης με βασικούς περιφερειακούς εταίρους και υποψήφιες προς ένταξη χώρες, όπως η Ουκρανία, η Δημοκρατία της Μολδαβίας και τα Δυτικά Βαλκάνια· ζητεί την παροχή ειδικής βοήθειας στη Δημοκρατία της Μολδαβίας, ώστε να καταστεί πιο ανθεκτική σε υβριδικές απειλές και καλύτερα συνδεδεμένη με τα συστήματα μεταφορών και ασφάλειας της ΕΕ· υπογραμμίζει τη σημασία της ενίσχυσης του συντονισμού με τους περιφερειακούς εταίρους όσον αφορά τα τεχνικά πρότυπα, την ασφάλεια των υποδομών ζωτικής σημασίας και την προστασία των δικτύων από υβριδικές απειλές και επιθέσεις· θεωρεί ότι η διαλειτουργικότητα με τρίτες χώρες πρέπει να συνοδεύεται από τακτική αξιολόγηση· </w:t>
      </w:r>
    </w:p>
    <w:p w14:paraId="2AA62373" w14:textId="33F150E3" w:rsidR="008E7C02" w:rsidRPr="00CB7314" w:rsidRDefault="008E7C02" w:rsidP="00567E27">
      <w:pPr>
        <w:pStyle w:val="NormalHanging12a"/>
      </w:pPr>
      <w:r w:rsidRPr="00CB7314">
        <w:t>98.</w:t>
      </w:r>
      <w:r w:rsidRPr="00CB7314">
        <w:tab/>
        <w:t>τονίζει τη σημασία του Κοινοβουλίου όχι μόνο ως συννομοθέτη στην πολιτική στρατιωτικής κινητικότητας, στο πλαίσιο της φιλοδοξίας της ΕΕ να επιτύχει αμυντική ετοιμότητα έως το 2030, αλλά και στον ρόλο του στη δημοκρατική εποπτεία της δράσης της ΕΕ· καλεί, επομένως, την Επιτροπή να παρέχει συστηματικότερη παρακολούθηση και αυστηρότερη υποβολή εκθέσεων, μεταξύ άλλων όσον αφορά τη συνεργασία ΕΕ-ΝΑΤΟ και την PESCO, σχετικά με τα μέτρα στρατιωτικής κινητικότητας, την εφαρμογή και τη χρηματοδότηση·</w:t>
      </w:r>
    </w:p>
    <w:p w14:paraId="42AACC8B" w14:textId="77777777" w:rsidR="008E7C02" w:rsidRPr="00CB7314" w:rsidRDefault="008E7C02" w:rsidP="00567E27">
      <w:pPr>
        <w:pStyle w:val="NormalCenter12a"/>
        <w:widowControl/>
        <w:ind w:left="567" w:hanging="567"/>
      </w:pPr>
      <w:r w:rsidRPr="00CB7314">
        <w:t>°</w:t>
      </w:r>
    </w:p>
    <w:p w14:paraId="2D75BB33" w14:textId="77777777" w:rsidR="008E7C02" w:rsidRPr="00CB7314" w:rsidRDefault="008E7C02" w:rsidP="00567E27">
      <w:pPr>
        <w:pStyle w:val="NormalCenter12a"/>
        <w:widowControl/>
        <w:ind w:left="567" w:hanging="567"/>
      </w:pPr>
      <w:r w:rsidRPr="00CB7314">
        <w:t>°</w:t>
      </w:r>
      <w:r w:rsidRPr="00CB7314">
        <w:tab/>
        <w:t>°</w:t>
      </w:r>
    </w:p>
    <w:p w14:paraId="189B710A" w14:textId="43856394" w:rsidR="000E7061" w:rsidRPr="00CB7314" w:rsidRDefault="008A6A7F" w:rsidP="008A6A7F">
      <w:pPr>
        <w:pStyle w:val="NormalHanging12a"/>
        <w:ind w:left="570" w:hanging="570"/>
      </w:pPr>
      <w:r w:rsidRPr="00CB7314">
        <w:t>9</w:t>
      </w:r>
      <w:r w:rsidR="00D13479" w:rsidRPr="00D13479">
        <w:t>9</w:t>
      </w:r>
      <w:r w:rsidRPr="00CB7314">
        <w:t>.</w:t>
      </w:r>
      <w:r w:rsidRPr="00CB7314">
        <w:tab/>
      </w:r>
      <w:r w:rsidR="008E7C02" w:rsidRPr="00CB7314">
        <w:t>αναθέτει στην Πρόεδρό του να διαβιβάσει το παρόν ψήφισμα στο Συμβούλιο, στην Επιτροπή, στο ΝΑΤΟ, στην Κοινοβουλευτική Συνέλευση του ΝΑΤΟ, στους οργανισμούς της ΕΕ για την ασφάλεια και την άμυνα, καθώς και στις κυβερνήσεις και τα κοινοβούλια των κρατών μελών.</w:t>
      </w:r>
    </w:p>
    <w:p w14:paraId="3E3B6A74" w14:textId="05D0A8EF" w:rsidR="00E365E1" w:rsidRPr="00CB7314" w:rsidRDefault="00E365E1" w:rsidP="00567E27">
      <w:pPr>
        <w:widowControl/>
        <w:spacing w:after="240"/>
        <w:ind w:left="567" w:hanging="567"/>
      </w:pPr>
    </w:p>
    <w:sectPr w:rsidR="00E365E1" w:rsidRPr="00CB7314" w:rsidSect="000E70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90D5A" w14:textId="77777777" w:rsidR="0063633B" w:rsidRPr="000E7061" w:rsidRDefault="0063633B">
      <w:r w:rsidRPr="000E7061">
        <w:separator/>
      </w:r>
    </w:p>
  </w:endnote>
  <w:endnote w:type="continuationSeparator" w:id="0">
    <w:p w14:paraId="175681D7" w14:textId="77777777" w:rsidR="0063633B" w:rsidRPr="000E7061" w:rsidRDefault="0063633B">
      <w:r w:rsidRPr="000E70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4CA36" w14:textId="77777777" w:rsidR="00064002" w:rsidRPr="000E70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590A4" w14:textId="77777777" w:rsidR="00064002" w:rsidRPr="000E70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539A9" w14:textId="77777777" w:rsidR="00064002" w:rsidRPr="000E70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40257" w14:textId="77777777" w:rsidR="0063633B" w:rsidRPr="000E7061" w:rsidRDefault="0063633B">
      <w:r w:rsidRPr="000E7061">
        <w:separator/>
      </w:r>
    </w:p>
  </w:footnote>
  <w:footnote w:type="continuationSeparator" w:id="0">
    <w:p w14:paraId="1D0F2820" w14:textId="77777777" w:rsidR="0063633B" w:rsidRPr="000E7061" w:rsidRDefault="0063633B">
      <w:r w:rsidRPr="000E7061">
        <w:continuationSeparator/>
      </w:r>
    </w:p>
  </w:footnote>
  <w:footnote w:id="1">
    <w:p w14:paraId="72381651" w14:textId="4D4A63C4" w:rsidR="008E7C02" w:rsidRPr="008A6A7F" w:rsidRDefault="008E7C02" w:rsidP="00FC42C1">
      <w:pPr>
        <w:pStyle w:val="FootnoteText"/>
        <w:spacing w:line="240" w:lineRule="auto"/>
        <w:ind w:left="567" w:hanging="567"/>
        <w:rPr>
          <w:sz w:val="24"/>
          <w:lang w:val="fi-FI"/>
        </w:rPr>
      </w:pPr>
      <w:r w:rsidRPr="000E7061">
        <w:rPr>
          <w:rStyle w:val="FootnoteReference"/>
          <w:sz w:val="24"/>
          <w:lang w:val="el-GR"/>
        </w:rPr>
        <w:footnoteRef/>
      </w:r>
      <w:r w:rsidR="000E7061" w:rsidRPr="008A6A7F">
        <w:rPr>
          <w:sz w:val="24"/>
          <w:lang w:val="fi-FI"/>
        </w:rPr>
        <w:t xml:space="preserve"> </w:t>
      </w:r>
      <w:r w:rsidR="000E7061" w:rsidRPr="008A6A7F">
        <w:rPr>
          <w:sz w:val="24"/>
          <w:lang w:val="fi-FI"/>
        </w:rPr>
        <w:tab/>
      </w:r>
      <w:r w:rsidRPr="000E7061">
        <w:rPr>
          <w:sz w:val="24"/>
          <w:lang w:val="el-GR"/>
        </w:rPr>
        <w:t>ΕΕ</w:t>
      </w:r>
      <w:r w:rsidRPr="008A6A7F">
        <w:rPr>
          <w:sz w:val="24"/>
          <w:lang w:val="fi-FI"/>
        </w:rPr>
        <w:t xml:space="preserve"> L, 2024/1679, 28.6.2024, ELI: </w:t>
      </w:r>
      <w:hyperlink r:id="rId1" w:history="1">
        <w:r w:rsidRPr="008A6A7F">
          <w:rPr>
            <w:rStyle w:val="Hyperlink"/>
            <w:sz w:val="24"/>
            <w:lang w:val="fi-FI"/>
          </w:rPr>
          <w:t>http://data.europa.eu/eli/reg/2024/1679/oj</w:t>
        </w:r>
      </w:hyperlink>
      <w:r w:rsidRPr="008A6A7F">
        <w:rPr>
          <w:sz w:val="24"/>
          <w:lang w:val="fi-FI"/>
        </w:rPr>
        <w:t>.</w:t>
      </w:r>
    </w:p>
  </w:footnote>
  <w:footnote w:id="2">
    <w:p w14:paraId="6CBD285F" w14:textId="0700712C" w:rsidR="008E7C02" w:rsidRPr="000E7061" w:rsidRDefault="008E7C02" w:rsidP="00FC42C1">
      <w:pPr>
        <w:pStyle w:val="FootnoteText"/>
        <w:spacing w:line="240" w:lineRule="auto"/>
        <w:ind w:left="567" w:hanging="567"/>
        <w:rPr>
          <w:sz w:val="24"/>
          <w:lang w:val="el-GR"/>
        </w:rPr>
      </w:pPr>
      <w:r w:rsidRPr="000E7061">
        <w:rPr>
          <w:rStyle w:val="FootnoteReference"/>
          <w:sz w:val="24"/>
          <w:lang w:val="el-GR"/>
        </w:rPr>
        <w:footnoteRef/>
      </w:r>
      <w:r w:rsidR="000E7061" w:rsidRPr="000E7061">
        <w:rPr>
          <w:sz w:val="24"/>
          <w:lang w:val="el-GR"/>
        </w:rPr>
        <w:t xml:space="preserve"> </w:t>
      </w:r>
      <w:r w:rsidR="000E7061" w:rsidRPr="000E7061">
        <w:rPr>
          <w:sz w:val="24"/>
          <w:lang w:val="el-GR"/>
        </w:rPr>
        <w:tab/>
      </w:r>
      <w:r w:rsidRPr="000E7061">
        <w:rPr>
          <w:sz w:val="24"/>
          <w:lang w:val="el-GR"/>
        </w:rPr>
        <w:t xml:space="preserve">ΕΕ L 249 της 14.7.2021, σ. 38, ELI: </w:t>
      </w:r>
      <w:hyperlink r:id="rId2" w:history="1">
        <w:r w:rsidRPr="004D7211">
          <w:rPr>
            <w:rStyle w:val="Hyperlink"/>
            <w:sz w:val="24"/>
            <w:lang w:val="el-GR"/>
          </w:rPr>
          <w:t>http://data.europa.eu/eli/reg/2021/1153/oj</w:t>
        </w:r>
      </w:hyperlink>
      <w:r w:rsidRPr="000E7061">
        <w:rPr>
          <w:sz w:val="24"/>
          <w:lang w:val="el-GR"/>
        </w:rPr>
        <w:t>.</w:t>
      </w:r>
    </w:p>
  </w:footnote>
  <w:footnote w:id="3">
    <w:p w14:paraId="2FC2A399" w14:textId="7B861A91" w:rsidR="008E7C02" w:rsidRPr="000E7061" w:rsidRDefault="008E7C02" w:rsidP="00FC42C1">
      <w:pPr>
        <w:pStyle w:val="FootnoteText"/>
        <w:spacing w:line="240" w:lineRule="auto"/>
        <w:ind w:left="567" w:hanging="567"/>
        <w:rPr>
          <w:sz w:val="24"/>
          <w:lang w:val="el-GR"/>
        </w:rPr>
      </w:pPr>
      <w:r w:rsidRPr="000E7061">
        <w:rPr>
          <w:rStyle w:val="FootnoteReference"/>
          <w:sz w:val="24"/>
          <w:lang w:val="el-GR"/>
        </w:rPr>
        <w:footnoteRef/>
      </w:r>
      <w:r w:rsidR="000E7061" w:rsidRPr="000E7061">
        <w:rPr>
          <w:sz w:val="24"/>
          <w:lang w:val="el-GR"/>
        </w:rPr>
        <w:t xml:space="preserve"> </w:t>
      </w:r>
      <w:r w:rsidR="000E7061" w:rsidRPr="000E7061">
        <w:rPr>
          <w:sz w:val="24"/>
          <w:lang w:val="el-GR"/>
        </w:rPr>
        <w:tab/>
      </w:r>
      <w:r w:rsidRPr="000E7061">
        <w:rPr>
          <w:sz w:val="24"/>
          <w:lang w:val="el-GR"/>
        </w:rPr>
        <w:t xml:space="preserve">ΕΕ L 288 της 11.8.2021, σ. 37, ELI: </w:t>
      </w:r>
      <w:hyperlink r:id="rId3" w:history="1">
        <w:r w:rsidRPr="00FC42C1">
          <w:rPr>
            <w:rStyle w:val="Hyperlink"/>
            <w:sz w:val="24"/>
            <w:lang w:val="el-GR"/>
          </w:rPr>
          <w:t>http://data.europa.eu/eli/reg_impl/2021/1328/oj</w:t>
        </w:r>
      </w:hyperlink>
      <w:r w:rsidRPr="000E7061">
        <w:rPr>
          <w:sz w:val="24"/>
          <w:lang w:val="el-GR"/>
        </w:rPr>
        <w:t>.</w:t>
      </w:r>
    </w:p>
  </w:footnote>
  <w:footnote w:id="4">
    <w:p w14:paraId="590AEB63" w14:textId="77FDC8FB" w:rsidR="008E7C02" w:rsidRPr="000E7061" w:rsidRDefault="008E7C02" w:rsidP="00FC42C1">
      <w:pPr>
        <w:pStyle w:val="FootnoteText"/>
        <w:spacing w:line="240" w:lineRule="auto"/>
        <w:ind w:left="567" w:hanging="567"/>
        <w:rPr>
          <w:sz w:val="24"/>
          <w:lang w:val="el-GR"/>
        </w:rPr>
      </w:pPr>
      <w:r w:rsidRPr="000E7061">
        <w:rPr>
          <w:rStyle w:val="FootnoteReference"/>
          <w:sz w:val="24"/>
          <w:lang w:val="el-GR"/>
        </w:rPr>
        <w:footnoteRef/>
      </w:r>
      <w:r w:rsidR="000E7061" w:rsidRPr="000E7061">
        <w:rPr>
          <w:sz w:val="24"/>
          <w:lang w:val="el-GR"/>
        </w:rPr>
        <w:t xml:space="preserve"> </w:t>
      </w:r>
      <w:r w:rsidR="000E7061" w:rsidRPr="000E7061">
        <w:rPr>
          <w:sz w:val="24"/>
          <w:lang w:val="el-GR"/>
        </w:rPr>
        <w:tab/>
      </w:r>
      <w:r w:rsidRPr="000E7061">
        <w:rPr>
          <w:sz w:val="24"/>
          <w:lang w:val="el-GR"/>
        </w:rPr>
        <w:t>Κείμενα που εγκρίθηκαν, P10_TA(2025)0058.</w:t>
      </w:r>
    </w:p>
  </w:footnote>
  <w:footnote w:id="5">
    <w:p w14:paraId="12F527C2" w14:textId="4A691C21" w:rsidR="008E7C02" w:rsidRPr="000E7061" w:rsidRDefault="008E7C02" w:rsidP="00FC42C1">
      <w:pPr>
        <w:pStyle w:val="FootnoteText"/>
        <w:spacing w:line="240" w:lineRule="auto"/>
        <w:ind w:left="567" w:hanging="567"/>
        <w:rPr>
          <w:sz w:val="24"/>
          <w:lang w:val="el-GR"/>
        </w:rPr>
      </w:pPr>
      <w:r w:rsidRPr="000E7061">
        <w:rPr>
          <w:rStyle w:val="FootnoteReference"/>
          <w:sz w:val="24"/>
          <w:lang w:val="el-GR"/>
        </w:rPr>
        <w:footnoteRef/>
      </w:r>
      <w:r w:rsidR="000E7061" w:rsidRPr="000E7061">
        <w:rPr>
          <w:sz w:val="24"/>
          <w:lang w:val="el-GR"/>
        </w:rPr>
        <w:t xml:space="preserve"> </w:t>
      </w:r>
      <w:r w:rsidR="000E7061" w:rsidRPr="000E7061">
        <w:rPr>
          <w:sz w:val="24"/>
          <w:lang w:val="el-GR"/>
        </w:rPr>
        <w:tab/>
      </w:r>
      <w:r w:rsidRPr="000E7061">
        <w:rPr>
          <w:sz w:val="24"/>
          <w:lang w:val="el-GR"/>
        </w:rPr>
        <w:t>Κείμενα που εγκρίθηκαν, P10_TA(2025)0034.</w:t>
      </w:r>
    </w:p>
  </w:footnote>
  <w:footnote w:id="6">
    <w:p w14:paraId="6202FB71" w14:textId="7E8CD7EB" w:rsidR="008E7C02" w:rsidRPr="008A6A7F" w:rsidRDefault="008E7C02" w:rsidP="00FC42C1">
      <w:pPr>
        <w:pStyle w:val="FootnoteText"/>
        <w:spacing w:line="240" w:lineRule="auto"/>
        <w:ind w:left="567" w:hanging="567"/>
        <w:rPr>
          <w:sz w:val="24"/>
          <w:lang w:val="fi-FI"/>
        </w:rPr>
      </w:pPr>
      <w:r w:rsidRPr="000E7061">
        <w:rPr>
          <w:rStyle w:val="FootnoteReference"/>
          <w:sz w:val="24"/>
          <w:lang w:val="el-GR"/>
        </w:rPr>
        <w:footnoteRef/>
      </w:r>
      <w:r w:rsidR="000E7061" w:rsidRPr="008A6A7F">
        <w:rPr>
          <w:sz w:val="24"/>
          <w:lang w:val="fi-FI"/>
        </w:rPr>
        <w:t xml:space="preserve"> </w:t>
      </w:r>
      <w:r w:rsidR="000E7061" w:rsidRPr="008A6A7F">
        <w:rPr>
          <w:sz w:val="24"/>
          <w:lang w:val="fi-FI"/>
        </w:rPr>
        <w:tab/>
      </w:r>
      <w:r w:rsidRPr="000E7061">
        <w:rPr>
          <w:sz w:val="24"/>
          <w:lang w:val="el-GR"/>
        </w:rPr>
        <w:t>ΕΕ</w:t>
      </w:r>
      <w:r w:rsidRPr="008A6A7F">
        <w:rPr>
          <w:sz w:val="24"/>
          <w:lang w:val="fi-FI"/>
        </w:rPr>
        <w:t xml:space="preserve"> C, C/2024/5716, 17.10.2024, ELI: </w:t>
      </w:r>
      <w:hyperlink r:id="rId4" w:history="1">
        <w:r w:rsidRPr="008A6A7F">
          <w:rPr>
            <w:rStyle w:val="Hyperlink"/>
            <w:sz w:val="24"/>
            <w:lang w:val="fi-FI"/>
          </w:rPr>
          <w:t>http://data.europa.eu/eli/C/2024/5716/oj</w:t>
        </w:r>
      </w:hyperlink>
      <w:r w:rsidRPr="008A6A7F">
        <w:rPr>
          <w:sz w:val="24"/>
          <w:lang w:val="fi-FI"/>
        </w:rPr>
        <w:t>.</w:t>
      </w:r>
    </w:p>
  </w:footnote>
  <w:footnote w:id="7">
    <w:p w14:paraId="27750035" w14:textId="0295D730" w:rsidR="008E7C02" w:rsidRPr="000E7061" w:rsidRDefault="008E7C02" w:rsidP="00FC42C1">
      <w:pPr>
        <w:pStyle w:val="FootnoteText"/>
        <w:spacing w:line="240" w:lineRule="auto"/>
        <w:ind w:left="567" w:hanging="567"/>
        <w:rPr>
          <w:sz w:val="24"/>
          <w:lang w:val="el-GR"/>
        </w:rPr>
      </w:pPr>
      <w:r w:rsidRPr="000E7061">
        <w:rPr>
          <w:rStyle w:val="FootnoteReference"/>
          <w:sz w:val="24"/>
          <w:lang w:val="el-GR"/>
        </w:rPr>
        <w:footnoteRef/>
      </w:r>
      <w:r w:rsidR="000E7061" w:rsidRPr="000E7061">
        <w:rPr>
          <w:sz w:val="24"/>
          <w:lang w:val="el-GR"/>
        </w:rPr>
        <w:t xml:space="preserve"> </w:t>
      </w:r>
      <w:r w:rsidR="000E7061" w:rsidRPr="000E7061">
        <w:rPr>
          <w:sz w:val="24"/>
          <w:lang w:val="el-GR"/>
        </w:rPr>
        <w:tab/>
      </w:r>
      <w:r w:rsidRPr="000E7061">
        <w:rPr>
          <w:sz w:val="24"/>
          <w:lang w:val="el-GR"/>
        </w:rPr>
        <w:t>ΕΕ C 465 της 6.12.2022, σ. 164.</w:t>
      </w:r>
    </w:p>
  </w:footnote>
  <w:footnote w:id="8">
    <w:p w14:paraId="4E95C925" w14:textId="74DC2E9A" w:rsidR="008E7C02" w:rsidRPr="000E7061" w:rsidRDefault="008E7C02" w:rsidP="00FC42C1">
      <w:pPr>
        <w:pStyle w:val="FootnoteText"/>
        <w:spacing w:line="240" w:lineRule="auto"/>
        <w:ind w:left="567" w:hanging="567"/>
        <w:rPr>
          <w:sz w:val="24"/>
          <w:lang w:val="el-GR"/>
        </w:rPr>
      </w:pPr>
      <w:r w:rsidRPr="000E7061">
        <w:rPr>
          <w:rStyle w:val="FootnoteReference"/>
          <w:sz w:val="24"/>
          <w:lang w:val="el-GR"/>
        </w:rPr>
        <w:footnoteRef/>
      </w:r>
      <w:r w:rsidR="000E7061" w:rsidRPr="000E7061">
        <w:rPr>
          <w:sz w:val="24"/>
          <w:lang w:val="el-GR"/>
        </w:rPr>
        <w:t xml:space="preserve"> </w:t>
      </w:r>
      <w:r w:rsidR="000E7061" w:rsidRPr="000E7061">
        <w:rPr>
          <w:sz w:val="24"/>
          <w:lang w:val="el-GR"/>
        </w:rPr>
        <w:tab/>
      </w:r>
      <w:r w:rsidRPr="000E7061">
        <w:rPr>
          <w:sz w:val="24"/>
          <w:lang w:val="el-GR"/>
        </w:rPr>
        <w:t>ΕΕ C 99 της 1.3.2022, σ. 105.</w:t>
      </w:r>
    </w:p>
  </w:footnote>
  <w:footnote w:id="9">
    <w:p w14:paraId="63526CC0" w14:textId="72FBE58C" w:rsidR="008E7C02" w:rsidRPr="000E7061" w:rsidRDefault="008E7C02" w:rsidP="00FC42C1">
      <w:pPr>
        <w:pStyle w:val="FootnoteText"/>
        <w:spacing w:line="240" w:lineRule="auto"/>
        <w:ind w:left="567" w:hanging="567"/>
        <w:rPr>
          <w:sz w:val="24"/>
          <w:lang w:val="el-GR"/>
        </w:rPr>
      </w:pPr>
      <w:r w:rsidRPr="000E7061">
        <w:rPr>
          <w:rStyle w:val="FootnoteReference"/>
          <w:sz w:val="24"/>
          <w:lang w:val="el-GR"/>
        </w:rPr>
        <w:footnoteRef/>
      </w:r>
      <w:r w:rsidR="000E7061" w:rsidRPr="000E7061">
        <w:rPr>
          <w:sz w:val="24"/>
          <w:lang w:val="el-GR"/>
        </w:rPr>
        <w:t xml:space="preserve"> </w:t>
      </w:r>
      <w:r w:rsidR="000E7061" w:rsidRPr="000E7061">
        <w:rPr>
          <w:sz w:val="24"/>
          <w:lang w:val="el-GR"/>
        </w:rPr>
        <w:tab/>
      </w:r>
      <w:r w:rsidRPr="000E7061">
        <w:rPr>
          <w:sz w:val="24"/>
          <w:lang w:val="el-GR"/>
        </w:rPr>
        <w:t>ΕΕ C 388 της 13.11.2020, σ. 22.</w:t>
      </w:r>
    </w:p>
  </w:footnote>
  <w:footnote w:id="10">
    <w:p w14:paraId="6C22F98F" w14:textId="4324C601" w:rsidR="008E7C02" w:rsidRPr="000E7061" w:rsidRDefault="008E7C02" w:rsidP="00FC42C1">
      <w:pPr>
        <w:pStyle w:val="FootnoteText"/>
        <w:spacing w:line="240" w:lineRule="auto"/>
        <w:ind w:left="567" w:hanging="567"/>
        <w:rPr>
          <w:sz w:val="24"/>
          <w:lang w:val="el-GR"/>
        </w:rPr>
      </w:pPr>
      <w:r w:rsidRPr="000E7061">
        <w:rPr>
          <w:rStyle w:val="FootnoteReference"/>
          <w:sz w:val="24"/>
          <w:lang w:val="el-GR"/>
        </w:rPr>
        <w:footnoteRef/>
      </w:r>
      <w:r w:rsidR="000E7061" w:rsidRPr="000E7061">
        <w:rPr>
          <w:sz w:val="24"/>
          <w:lang w:val="el-GR"/>
        </w:rPr>
        <w:t xml:space="preserve"> </w:t>
      </w:r>
      <w:r w:rsidR="000E7061" w:rsidRPr="000E7061">
        <w:rPr>
          <w:sz w:val="24"/>
          <w:lang w:val="el-GR"/>
        </w:rPr>
        <w:tab/>
      </w:r>
      <w:r w:rsidRPr="000E7061">
        <w:rPr>
          <w:sz w:val="24"/>
          <w:lang w:val="el-GR"/>
        </w:rPr>
        <w:t xml:space="preserve">Κανονισμός (ΕΕ) 2023/2418 του Ευρωπαϊκού Κοινοβουλίου και του Συμβουλίου, της 18ης Οκτωβρίου 2023, σχετικά με τη θέσπιση μέσου για την ενίσχυση της ευρωπαϊκής αμυντικής βιομηχανίας μέσω κοινών προμηθειών (κανονισμός EDIRPA) (ΕΕ L, 2023/2418, 26.10.2023, ELI: </w:t>
      </w:r>
      <w:hyperlink r:id="rId5" w:history="1">
        <w:r w:rsidRPr="00FC42C1">
          <w:rPr>
            <w:rStyle w:val="Hyperlink"/>
            <w:sz w:val="24"/>
            <w:lang w:val="el-GR"/>
          </w:rPr>
          <w:t>http://data.europa.eu/eli/reg/2023/2418/oj</w:t>
        </w:r>
      </w:hyperlink>
      <w:r w:rsidRPr="000E7061">
        <w:rPr>
          <w:sz w:val="24"/>
          <w:lang w:val="el-GR"/>
        </w:rPr>
        <w:t>).</w:t>
      </w:r>
    </w:p>
  </w:footnote>
  <w:footnote w:id="11">
    <w:p w14:paraId="14CCCDCD" w14:textId="10BD7676" w:rsidR="008E7C02" w:rsidRPr="000E7061" w:rsidRDefault="008E7C02" w:rsidP="00FC42C1">
      <w:pPr>
        <w:pStyle w:val="FootnoteText"/>
        <w:spacing w:line="240" w:lineRule="auto"/>
        <w:ind w:left="567" w:hanging="567"/>
        <w:rPr>
          <w:sz w:val="24"/>
          <w:lang w:val="el-GR"/>
        </w:rPr>
      </w:pPr>
      <w:r w:rsidRPr="000E7061">
        <w:rPr>
          <w:rStyle w:val="FootnoteReference"/>
          <w:sz w:val="24"/>
          <w:lang w:val="el-GR"/>
        </w:rPr>
        <w:footnoteRef/>
      </w:r>
      <w:r w:rsidR="000E7061" w:rsidRPr="000E7061">
        <w:rPr>
          <w:sz w:val="24"/>
          <w:lang w:val="el-GR"/>
        </w:rPr>
        <w:t xml:space="preserve"> </w:t>
      </w:r>
      <w:r w:rsidR="000E7061" w:rsidRPr="000E7061">
        <w:rPr>
          <w:sz w:val="24"/>
          <w:lang w:val="el-GR"/>
        </w:rPr>
        <w:tab/>
      </w:r>
      <w:r w:rsidRPr="000E7061">
        <w:rPr>
          <w:sz w:val="24"/>
          <w:lang w:val="el-GR"/>
        </w:rPr>
        <w:t>Κανονισμός (ΕΕ) 2019/452 του Ευρωπαϊκού Κοινοβουλίου και του Συμβουλίου, της 19ης Μαρτίου 2019, για τη θέσπιση πλαισίου για τον έλεγχο των άμεσων ξένων επενδύσεων στην Ένωση (ΕΕ L 79</w:t>
      </w:r>
      <w:r w:rsidR="00FC42C1">
        <w:rPr>
          <w:sz w:val="24"/>
          <w:lang w:val="el-GR"/>
        </w:rPr>
        <w:t xml:space="preserve"> </w:t>
      </w:r>
      <w:r w:rsidRPr="000E7061">
        <w:rPr>
          <w:sz w:val="24"/>
          <w:lang w:val="el-GR"/>
        </w:rPr>
        <w:t>I της 21.3.2019, σ. 1</w:t>
      </w:r>
      <w:r w:rsidR="00FC42C1">
        <w:rPr>
          <w:sz w:val="24"/>
          <w:lang w:val="el-GR"/>
        </w:rPr>
        <w:t>,</w:t>
      </w:r>
      <w:r w:rsidRPr="000E7061">
        <w:rPr>
          <w:sz w:val="24"/>
          <w:lang w:val="el-GR"/>
        </w:rPr>
        <w:t xml:space="preserve"> ELI: </w:t>
      </w:r>
      <w:hyperlink r:id="rId6" w:history="1">
        <w:r w:rsidRPr="00FC42C1">
          <w:rPr>
            <w:rStyle w:val="Hyperlink"/>
            <w:sz w:val="24"/>
            <w:lang w:val="el-GR"/>
          </w:rPr>
          <w:t>http://data.europa.eu/eli/reg/2019/452/oj</w:t>
        </w:r>
      </w:hyperlink>
      <w:r w:rsidRPr="000E7061">
        <w:rPr>
          <w:sz w:val="24"/>
          <w:lang w:val="el-GR"/>
        </w:rPr>
        <w:t>).</w:t>
      </w:r>
    </w:p>
  </w:footnote>
  <w:footnote w:id="12">
    <w:p w14:paraId="0FFFE5DA" w14:textId="2ABCEB6B" w:rsidR="008E7C02" w:rsidRPr="000E7061" w:rsidRDefault="008E7C02" w:rsidP="00FC42C1">
      <w:pPr>
        <w:pStyle w:val="FootnoteText"/>
        <w:spacing w:line="240" w:lineRule="auto"/>
        <w:ind w:left="567" w:hanging="567"/>
        <w:rPr>
          <w:sz w:val="24"/>
          <w:lang w:val="el-GR"/>
        </w:rPr>
      </w:pPr>
      <w:r w:rsidRPr="000E7061">
        <w:rPr>
          <w:rStyle w:val="FootnoteReference"/>
          <w:sz w:val="24"/>
          <w:lang w:val="el-GR"/>
        </w:rPr>
        <w:footnoteRef/>
      </w:r>
      <w:r w:rsidR="000E7061" w:rsidRPr="000E7061">
        <w:rPr>
          <w:sz w:val="24"/>
          <w:lang w:val="el-GR"/>
        </w:rPr>
        <w:t xml:space="preserve"> </w:t>
      </w:r>
      <w:r w:rsidR="000E7061" w:rsidRPr="000E7061">
        <w:rPr>
          <w:sz w:val="24"/>
          <w:lang w:val="el-GR"/>
        </w:rPr>
        <w:tab/>
      </w:r>
      <w:r w:rsidRPr="000E7061">
        <w:rPr>
          <w:sz w:val="24"/>
          <w:lang w:val="el-GR"/>
        </w:rPr>
        <w:t>Κείμενα που εγκρίθηκαν, P10_TA(2025)0102.</w:t>
      </w:r>
    </w:p>
  </w:footnote>
  <w:footnote w:id="13">
    <w:p w14:paraId="67218E65" w14:textId="3F6BE765" w:rsidR="008E7C02" w:rsidRPr="000E7061" w:rsidRDefault="008E7C02" w:rsidP="00FC42C1">
      <w:pPr>
        <w:pStyle w:val="FootnoteText"/>
        <w:spacing w:line="240" w:lineRule="auto"/>
        <w:ind w:left="567" w:hanging="567"/>
        <w:rPr>
          <w:sz w:val="24"/>
          <w:lang w:val="el-GR"/>
        </w:rPr>
      </w:pPr>
      <w:r w:rsidRPr="000E7061">
        <w:rPr>
          <w:rStyle w:val="FootnoteReference"/>
          <w:sz w:val="24"/>
          <w:lang w:val="el-GR"/>
        </w:rPr>
        <w:footnoteRef/>
      </w:r>
      <w:r w:rsidR="000E7061" w:rsidRPr="000E7061">
        <w:rPr>
          <w:sz w:val="24"/>
          <w:lang w:val="el-GR"/>
        </w:rPr>
        <w:t xml:space="preserve"> </w:t>
      </w:r>
      <w:r w:rsidR="000E7061" w:rsidRPr="000E7061">
        <w:rPr>
          <w:sz w:val="24"/>
          <w:lang w:val="el-GR"/>
        </w:rPr>
        <w:tab/>
      </w:r>
      <w:r w:rsidRPr="000E7061">
        <w:rPr>
          <w:sz w:val="24"/>
          <w:lang w:val="el-GR"/>
        </w:rPr>
        <w:t>Κοινή ανακοίνωση της Επιτροπής και της Ύπατης Εκπροσώπου της Ένωσης για θέματα εξωτερικής πολιτικής και πολιτικής ασφαλείας, της 16ης Οκτωβρίου 2025, με τίτλο «Διαφύλαξη της ειρήνης — Χάρτης πορείας για την αμυντική ετοιμότητα με ορίζοντα το 2030» (JOIN(2025)0027)</w:t>
      </w:r>
      <w:r w:rsidR="00FC42C1">
        <w:rPr>
          <w:sz w:val="24"/>
          <w:lang w:val="el-GR"/>
        </w:rPr>
        <w:t>.</w:t>
      </w:r>
    </w:p>
  </w:footnote>
  <w:footnote w:id="14">
    <w:p w14:paraId="0D60AD5C" w14:textId="4F7634CE" w:rsidR="008E7C02" w:rsidRPr="000E7061" w:rsidRDefault="008E7C02" w:rsidP="00FC42C1">
      <w:pPr>
        <w:pStyle w:val="FootnoteText"/>
        <w:spacing w:line="240" w:lineRule="auto"/>
        <w:ind w:left="567" w:hanging="567"/>
        <w:rPr>
          <w:rFonts w:eastAsiaTheme="minorHAnsi"/>
          <w:sz w:val="24"/>
          <w:lang w:val="el-GR"/>
        </w:rPr>
      </w:pPr>
      <w:r w:rsidRPr="000E7061">
        <w:rPr>
          <w:rStyle w:val="FootnoteReference"/>
          <w:sz w:val="24"/>
          <w:lang w:val="el-GR"/>
        </w:rPr>
        <w:footnoteRef/>
      </w:r>
      <w:r w:rsidR="000E7061" w:rsidRPr="000E7061">
        <w:rPr>
          <w:sz w:val="24"/>
          <w:lang w:val="el-GR"/>
        </w:rPr>
        <w:t xml:space="preserve"> </w:t>
      </w:r>
      <w:r w:rsidR="000E7061" w:rsidRPr="000E7061">
        <w:rPr>
          <w:sz w:val="24"/>
          <w:lang w:val="el-GR"/>
        </w:rPr>
        <w:tab/>
      </w:r>
      <w:r w:rsidRPr="000E7061">
        <w:rPr>
          <w:sz w:val="24"/>
          <w:lang w:val="el-GR"/>
        </w:rPr>
        <w:t>Οδηγία (ΕΕ) 2022/2555 του Ευρωπαϊκού Κοινοβουλίου και του Συμβουλίου, της 14ης</w:t>
      </w:r>
      <w:r w:rsidR="00FC42C1">
        <w:rPr>
          <w:sz w:val="24"/>
          <w:lang w:val="el-GR"/>
        </w:rPr>
        <w:t> </w:t>
      </w:r>
      <w:r w:rsidRPr="000E7061">
        <w:rPr>
          <w:sz w:val="24"/>
          <w:lang w:val="el-GR"/>
        </w:rPr>
        <w:t xml:space="preserve">Δεκεμβρίου 2022, σχετικά με μέτρα για υψηλό κοινό επίπεδο κυβερνοασφάλειας σε ολόκληρη την Ένωση, την τροποποίηση του κανονισμού (ΕΕ) αριθ. 910/2014 και της οδηγίας (ΕΕ) 2018/1972, και για την κατάργηση της οδηγίας (ΕΕ) 2016/1148 (οδηγία NIS 2) (ΕΕ L 333 της 27.12.2022, σ. 80, ELI: </w:t>
      </w:r>
      <w:hyperlink r:id="rId7" w:history="1">
        <w:r w:rsidRPr="00FC42C1">
          <w:rPr>
            <w:rStyle w:val="Hyperlink"/>
            <w:sz w:val="24"/>
            <w:lang w:val="el-GR"/>
          </w:rPr>
          <w:t>http://data.europa.eu/eli/dir/2022/2555/oj</w:t>
        </w:r>
      </w:hyperlink>
      <w:r w:rsidRPr="000E7061">
        <w:rPr>
          <w:sz w:val="24"/>
          <w:lang w:val="el-GR"/>
        </w:rPr>
        <w:t>).</w:t>
      </w:r>
    </w:p>
  </w:footnote>
  <w:footnote w:id="15">
    <w:p w14:paraId="50E74EC7" w14:textId="6B78AEA6" w:rsidR="008E7C02" w:rsidRPr="000E7061" w:rsidRDefault="008E7C02" w:rsidP="00FC42C1">
      <w:pPr>
        <w:pStyle w:val="FootnoteText"/>
        <w:spacing w:line="240" w:lineRule="auto"/>
        <w:ind w:left="567" w:hanging="567"/>
        <w:rPr>
          <w:sz w:val="24"/>
          <w:lang w:val="el-GR"/>
        </w:rPr>
      </w:pPr>
      <w:r w:rsidRPr="000E7061">
        <w:rPr>
          <w:rStyle w:val="FootnoteReference"/>
          <w:sz w:val="24"/>
          <w:lang w:val="el-GR"/>
        </w:rPr>
        <w:footnoteRef/>
      </w:r>
      <w:r w:rsidR="000E7061" w:rsidRPr="000E7061">
        <w:rPr>
          <w:sz w:val="24"/>
          <w:lang w:val="el-GR"/>
        </w:rPr>
        <w:t xml:space="preserve"> </w:t>
      </w:r>
      <w:r w:rsidR="000E7061" w:rsidRPr="000E7061">
        <w:rPr>
          <w:sz w:val="24"/>
          <w:lang w:val="el-GR"/>
        </w:rPr>
        <w:tab/>
      </w:r>
      <w:r w:rsidRPr="000E7061">
        <w:rPr>
          <w:sz w:val="24"/>
          <w:lang w:val="el-GR"/>
        </w:rPr>
        <w:t xml:space="preserve">Οδηγία 2009/119/ΕΚ του Συμβουλίου, της 14ης Σεπτεμβρίου 2009, σχετικά με υποχρέωση διατήρησης ενός ελάχιστου επιπέδου αποθεμάτων αργού πετρελαίου ή/και προϊόντων πετρελαίου από τα κράτη μέλη (ΕΕ L 265 της 9.10.2009, σ. 9, ELI: </w:t>
      </w:r>
      <w:hyperlink r:id="rId8" w:history="1">
        <w:r w:rsidRPr="00FC42C1">
          <w:rPr>
            <w:rStyle w:val="Hyperlink"/>
            <w:sz w:val="24"/>
            <w:lang w:val="el-GR"/>
          </w:rPr>
          <w:t>http://data.europa.eu/eli/dir/2009/119/oj</w:t>
        </w:r>
      </w:hyperlink>
      <w:r w:rsidRPr="000E7061">
        <w:rPr>
          <w:sz w:val="24"/>
          <w:lang w:val="el-GR"/>
        </w:rPr>
        <w:t>).</w:t>
      </w:r>
    </w:p>
  </w:footnote>
  <w:footnote w:id="16">
    <w:p w14:paraId="54C61683" w14:textId="732451CD" w:rsidR="008E7C02" w:rsidRPr="000E7061" w:rsidRDefault="008E7C02" w:rsidP="00FC42C1">
      <w:pPr>
        <w:pStyle w:val="FootnoteText"/>
        <w:spacing w:line="240" w:lineRule="auto"/>
        <w:ind w:left="567" w:hanging="567"/>
        <w:rPr>
          <w:rFonts w:eastAsiaTheme="minorHAnsi"/>
          <w:sz w:val="24"/>
          <w:lang w:val="el-GR"/>
        </w:rPr>
      </w:pPr>
      <w:r w:rsidRPr="000E7061">
        <w:rPr>
          <w:rStyle w:val="FootnoteReference"/>
          <w:sz w:val="24"/>
          <w:lang w:val="el-GR"/>
        </w:rPr>
        <w:footnoteRef/>
      </w:r>
      <w:r w:rsidR="000E7061" w:rsidRPr="000E7061">
        <w:rPr>
          <w:sz w:val="24"/>
          <w:lang w:val="el-GR"/>
        </w:rPr>
        <w:t xml:space="preserve"> </w:t>
      </w:r>
      <w:r w:rsidR="000E7061" w:rsidRPr="000E7061">
        <w:rPr>
          <w:sz w:val="24"/>
          <w:lang w:val="el-GR"/>
        </w:rPr>
        <w:tab/>
      </w:r>
      <w:r w:rsidRPr="000E7061">
        <w:rPr>
          <w:sz w:val="24"/>
          <w:lang w:val="el-GR"/>
        </w:rPr>
        <w:t xml:space="preserve">Κανονισμός (ΕΕ) 2023/1804 του Ευρωπαϊκού Κοινοβουλίου και του Συμβουλίου, της 13ης Σεπτεμβρίου 2023, για την ανάπτυξη υποδομών εναλλακτικών καυσίμων και για την κατάργηση της οδηγίας 2014/94/ΕΕ (ΕΕ L 234 της 22.9.2023, σ. 1, ELI: </w:t>
      </w:r>
      <w:hyperlink r:id="rId9" w:history="1">
        <w:r w:rsidRPr="00FC42C1">
          <w:rPr>
            <w:rStyle w:val="Hyperlink"/>
            <w:sz w:val="24"/>
            <w:lang w:val="el-GR"/>
          </w:rPr>
          <w:t>http://data.europa.eu/eli/reg/2023/1804/oj</w:t>
        </w:r>
      </w:hyperlink>
      <w:r w:rsidRPr="000E7061">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741E8" w14:textId="77777777" w:rsidR="00064002" w:rsidRPr="000E70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220E8" w14:textId="77777777" w:rsidR="00064002" w:rsidRPr="000E70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04A78" w14:textId="77777777" w:rsidR="00064002" w:rsidRPr="000E70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E68C9"/>
    <w:multiLevelType w:val="hybridMultilevel"/>
    <w:tmpl w:val="782A4BBA"/>
    <w:lvl w:ilvl="0" w:tplc="CF4E8330">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7743269">
    <w:abstractNumId w:val="1"/>
  </w:num>
  <w:num w:numId="2" w16cid:durableId="1039823175">
    <w:abstractNumId w:val="2"/>
  </w:num>
  <w:num w:numId="3" w16cid:durableId="185002635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EL"/>
    <w:docVar w:name="dvnumam" w:val="0"/>
    <w:docVar w:name="dvpe" w:val="774.374"/>
    <w:docVar w:name="dvrapporteur" w:val="Εισηγητές: "/>
    <w:docVar w:name="dvtitre" w:val="Ψήφισμα του Ευρωπαϊκού Κοινοβουλίου σχετικά με τη στρατιωτική κινητικότητα(2025/2090(INI))"/>
  </w:docVars>
  <w:rsids>
    <w:rsidRoot w:val="0063633B"/>
    <w:rsid w:val="00002272"/>
    <w:rsid w:val="00064002"/>
    <w:rsid w:val="000677B9"/>
    <w:rsid w:val="000831BA"/>
    <w:rsid w:val="000A42CC"/>
    <w:rsid w:val="000E7061"/>
    <w:rsid w:val="000E7DD9"/>
    <w:rsid w:val="0010095E"/>
    <w:rsid w:val="00125B37"/>
    <w:rsid w:val="00187494"/>
    <w:rsid w:val="001F32AE"/>
    <w:rsid w:val="002767FF"/>
    <w:rsid w:val="002B18FE"/>
    <w:rsid w:val="002B5493"/>
    <w:rsid w:val="002C7016"/>
    <w:rsid w:val="00343214"/>
    <w:rsid w:val="00361C00"/>
    <w:rsid w:val="00382E40"/>
    <w:rsid w:val="00395FA1"/>
    <w:rsid w:val="003E15D4"/>
    <w:rsid w:val="00411CCE"/>
    <w:rsid w:val="0041666E"/>
    <w:rsid w:val="00421060"/>
    <w:rsid w:val="00471C19"/>
    <w:rsid w:val="004867E3"/>
    <w:rsid w:val="00494A28"/>
    <w:rsid w:val="004B54F5"/>
    <w:rsid w:val="004C0004"/>
    <w:rsid w:val="004C5D52"/>
    <w:rsid w:val="004D7211"/>
    <w:rsid w:val="0050519A"/>
    <w:rsid w:val="005072A1"/>
    <w:rsid w:val="00514517"/>
    <w:rsid w:val="00545827"/>
    <w:rsid w:val="00560270"/>
    <w:rsid w:val="00567E27"/>
    <w:rsid w:val="005C2568"/>
    <w:rsid w:val="005D404F"/>
    <w:rsid w:val="005E4B49"/>
    <w:rsid w:val="005F1B17"/>
    <w:rsid w:val="006037C0"/>
    <w:rsid w:val="0063633B"/>
    <w:rsid w:val="006631B6"/>
    <w:rsid w:val="00680577"/>
    <w:rsid w:val="006A024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A7F"/>
    <w:rsid w:val="008C2AC6"/>
    <w:rsid w:val="008E7C0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3417"/>
    <w:rsid w:val="00BD48FE"/>
    <w:rsid w:val="00BD7BD8"/>
    <w:rsid w:val="00BE6ADC"/>
    <w:rsid w:val="00C05BFE"/>
    <w:rsid w:val="00C23CD4"/>
    <w:rsid w:val="00C61C0C"/>
    <w:rsid w:val="00C941CB"/>
    <w:rsid w:val="00CB7314"/>
    <w:rsid w:val="00CC2357"/>
    <w:rsid w:val="00CF071A"/>
    <w:rsid w:val="00D058B8"/>
    <w:rsid w:val="00D1347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3F6"/>
    <w:rsid w:val="00F87713"/>
    <w:rsid w:val="00FB4360"/>
    <w:rsid w:val="00FC42C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7F827"/>
  <w15:chartTrackingRefBased/>
  <w15:docId w15:val="{764E80E9-C361-498A-9E06-B447F78C3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7C02"/>
    <w:pPr>
      <w:spacing w:before="480" w:after="240"/>
    </w:pPr>
    <w:rPr>
      <w:snapToGrid w:val="0"/>
      <w:lang w:eastAsia="en-US"/>
    </w:rPr>
  </w:style>
  <w:style w:type="paragraph" w:customStyle="1" w:styleId="NormalBold">
    <w:name w:val="NormalBold"/>
    <w:basedOn w:val="Normal"/>
    <w:rsid w:val="008E7C02"/>
    <w:rPr>
      <w:b/>
      <w:snapToGrid w:val="0"/>
      <w:lang w:eastAsia="en-US"/>
    </w:rPr>
  </w:style>
  <w:style w:type="paragraph" w:customStyle="1" w:styleId="NormalHanging12a">
    <w:name w:val="NormalHanging12a"/>
    <w:basedOn w:val="Normal"/>
    <w:link w:val="NormalHanging12aChar"/>
    <w:rsid w:val="008E7C02"/>
    <w:pPr>
      <w:widowControl/>
      <w:spacing w:after="240"/>
      <w:ind w:left="567" w:hanging="567"/>
    </w:pPr>
    <w:rPr>
      <w:snapToGrid w:val="0"/>
      <w:lang w:eastAsia="en-US"/>
    </w:rPr>
  </w:style>
  <w:style w:type="paragraph" w:customStyle="1" w:styleId="NormalCenter12a">
    <w:name w:val="NormalCenter12a"/>
    <w:basedOn w:val="Normal"/>
    <w:rsid w:val="008E7C02"/>
    <w:pPr>
      <w:spacing w:after="240"/>
      <w:jc w:val="center"/>
    </w:pPr>
  </w:style>
  <w:style w:type="character" w:customStyle="1" w:styleId="BoldItalic">
    <w:name w:val="BoldItalic"/>
    <w:uiPriority w:val="1"/>
    <w:rsid w:val="008E7C02"/>
    <w:rPr>
      <w:b/>
      <w:i/>
      <w:u w:val="none"/>
    </w:rPr>
  </w:style>
  <w:style w:type="character" w:customStyle="1" w:styleId="Italic">
    <w:name w:val="Italic"/>
    <w:uiPriority w:val="1"/>
    <w:rsid w:val="008E7C02"/>
    <w:rPr>
      <w:i/>
    </w:rPr>
  </w:style>
  <w:style w:type="paragraph" w:customStyle="1" w:styleId="Normal12a24b">
    <w:name w:val="Normal12a24b"/>
    <w:basedOn w:val="Normal"/>
    <w:rsid w:val="008E7C02"/>
    <w:pPr>
      <w:spacing w:before="360" w:after="240"/>
    </w:pPr>
    <w:rPr>
      <w:snapToGrid w:val="0"/>
      <w:lang w:eastAsia="en-US"/>
    </w:rPr>
  </w:style>
  <w:style w:type="character" w:styleId="Hyperlink">
    <w:name w:val="Hyperlink"/>
    <w:basedOn w:val="DefaultParagraphFont"/>
    <w:rsid w:val="008E7C02"/>
    <w:rPr>
      <w:color w:val="0000FF"/>
      <w:u w:val="single"/>
    </w:rPr>
  </w:style>
  <w:style w:type="character" w:customStyle="1" w:styleId="NormalHanging12aChar">
    <w:name w:val="NormalHanging12a Char"/>
    <w:basedOn w:val="DefaultParagraphFont"/>
    <w:link w:val="NormalHanging12a"/>
    <w:rsid w:val="008E7C02"/>
    <w:rPr>
      <w:snapToGrid w:val="0"/>
      <w:sz w:val="24"/>
      <w:lang w:val="el-GR" w:eastAsia="en-US"/>
    </w:rPr>
  </w:style>
  <w:style w:type="paragraph" w:styleId="Revision">
    <w:name w:val="Revision"/>
    <w:hidden/>
    <w:uiPriority w:val="99"/>
    <w:semiHidden/>
    <w:rsid w:val="00567E27"/>
    <w:rPr>
      <w:sz w:val="24"/>
      <w:lang w:val="el-GR"/>
    </w:rPr>
  </w:style>
  <w:style w:type="character" w:styleId="UnresolvedMention">
    <w:name w:val="Unresolved Mention"/>
    <w:basedOn w:val="DefaultParagraphFont"/>
    <w:uiPriority w:val="99"/>
    <w:semiHidden/>
    <w:unhideWhenUsed/>
    <w:rsid w:val="004D7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9/119/oj" TargetMode="External"/><Relationship Id="rId3" Type="http://schemas.openxmlformats.org/officeDocument/2006/relationships/hyperlink" Target="http://data.europa.eu/eli/reg_impl/2021/1328/oj" TargetMode="External"/><Relationship Id="rId7" Type="http://schemas.openxmlformats.org/officeDocument/2006/relationships/hyperlink" Target="http://data.europa.eu/eli/dir/2022/2555/oj" TargetMode="External"/><Relationship Id="rId2" Type="http://schemas.openxmlformats.org/officeDocument/2006/relationships/hyperlink" Target="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reg/2019/452/oj" TargetMode="External"/><Relationship Id="rId5" Type="http://schemas.openxmlformats.org/officeDocument/2006/relationships/hyperlink" Target="http://data.europa.eu/eli/reg/2023/2418/oj" TargetMode="External"/><Relationship Id="rId4" Type="http://schemas.openxmlformats.org/officeDocument/2006/relationships/hyperlink" Target="http://data.europa.eu/eli/C/2024/5716/oj" TargetMode="External"/><Relationship Id="rId9" Type="http://schemas.openxmlformats.org/officeDocument/2006/relationships/hyperlink" Target="http://data.europa.eu/eli/reg/2023/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9770</Words>
  <Characters>61242</Characters>
  <Application>Microsoft Office Word</Application>
  <DocSecurity>0</DocSecurity>
  <Lines>510</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RELFINAL Amalia</dc:creator>
  <cp:keywords/>
  <cp:lastModifiedBy>STEFOS Stefanos</cp:lastModifiedBy>
  <cp:revision>2</cp:revision>
  <cp:lastPrinted>2004-11-19T15:42:00Z</cp:lastPrinted>
  <dcterms:created xsi:type="dcterms:W3CDTF">2026-02-03T08:43:00Z</dcterms:created>
  <dcterms:modified xsi:type="dcterms:W3CDTF">2026-02-03T08:43:00Z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A10-0242/2025</vt:lpwstr>
  </property>
  <property fmtid="{D5CDD505-2E9C-101B-9397-08002B2CF9AE}" pid="4" name="&lt;Type&gt;">
    <vt:lpwstr>RR</vt:lpwstr>
  </property>
</Properties>
</file>