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2DE3" w14:paraId="078C258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87E1DB" w14:textId="77777777" w:rsidR="00751A4A" w:rsidRPr="00442DE3" w:rsidRDefault="0096177F" w:rsidP="0010095E">
            <w:pPr>
              <w:pStyle w:val="EPName"/>
            </w:pPr>
            <w:r w:rsidRPr="00442DE3">
              <w:t>Európsky parlament</w:t>
            </w:r>
          </w:p>
          <w:p w14:paraId="11F072F7" w14:textId="77777777" w:rsidR="00751A4A" w:rsidRPr="00442D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2DE3">
              <w:t>2024</w:t>
            </w:r>
            <w:r w:rsidR="00817416" w:rsidRPr="00442DE3">
              <w:t>-202</w:t>
            </w:r>
            <w:r w:rsidRPr="00442DE3">
              <w:t>9</w:t>
            </w:r>
          </w:p>
        </w:tc>
        <w:tc>
          <w:tcPr>
            <w:tcW w:w="2268" w:type="dxa"/>
            <w:shd w:val="clear" w:color="auto" w:fill="auto"/>
          </w:tcPr>
          <w:p w14:paraId="5077307E" w14:textId="77777777" w:rsidR="00751A4A" w:rsidRPr="00442DE3" w:rsidRDefault="00187494" w:rsidP="0010095E">
            <w:pPr>
              <w:pStyle w:val="EPLogo"/>
            </w:pPr>
            <w:r w:rsidRPr="00442DE3">
              <w:rPr>
                <w:noProof/>
                <w:lang w:eastAsia="ja-JP"/>
              </w:rPr>
              <w:drawing>
                <wp:inline distT="0" distB="0" distL="0" distR="0" wp14:anchorId="5E580DF2" wp14:editId="731BE1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89222F" w14:textId="77777777" w:rsidR="00D058B8" w:rsidRPr="00442DE3" w:rsidRDefault="00D058B8" w:rsidP="004C5D52">
      <w:pPr>
        <w:pStyle w:val="LineTop"/>
      </w:pPr>
    </w:p>
    <w:p w14:paraId="75F132FF" w14:textId="77777777" w:rsidR="00680577" w:rsidRPr="00442DE3" w:rsidRDefault="0096177F" w:rsidP="00680577">
      <w:pPr>
        <w:pStyle w:val="EPBodyTA1"/>
      </w:pPr>
      <w:r w:rsidRPr="00442DE3">
        <w:t>PRIJATÉ TEXTY</w:t>
      </w:r>
    </w:p>
    <w:p w14:paraId="413E5D3E" w14:textId="77777777" w:rsidR="00D058B8" w:rsidRPr="00442DE3" w:rsidRDefault="00D058B8" w:rsidP="00D058B8">
      <w:pPr>
        <w:pStyle w:val="LineBottom"/>
      </w:pPr>
    </w:p>
    <w:p w14:paraId="108BF010" w14:textId="5D9CD9EF" w:rsidR="0096177F" w:rsidRPr="00442DE3" w:rsidRDefault="0096177F" w:rsidP="0096177F">
      <w:pPr>
        <w:pStyle w:val="ATHeading1"/>
      </w:pPr>
      <w:bookmarkStart w:id="0" w:name="TANumber"/>
      <w:r w:rsidRPr="00442DE3">
        <w:t>P10_TA(2025)0</w:t>
      </w:r>
      <w:r w:rsidR="00442DE3" w:rsidRPr="00442DE3">
        <w:t>33</w:t>
      </w:r>
      <w:r w:rsidR="00C62349">
        <w:t>5</w:t>
      </w:r>
      <w:bookmarkEnd w:id="0"/>
    </w:p>
    <w:p w14:paraId="638555CD" w14:textId="77777777" w:rsidR="0096177F" w:rsidRPr="00442DE3" w:rsidRDefault="0096177F" w:rsidP="0096177F">
      <w:pPr>
        <w:pStyle w:val="ATHeading2"/>
      </w:pPr>
      <w:bookmarkStart w:id="1" w:name="title"/>
      <w:r w:rsidRPr="00442DE3">
        <w:t>Vojenská mobilita</w:t>
      </w:r>
      <w:bookmarkEnd w:id="1"/>
    </w:p>
    <w:p w14:paraId="0D3977F6" w14:textId="77777777" w:rsidR="0096177F" w:rsidRPr="00442DE3" w:rsidRDefault="0096177F" w:rsidP="0096177F">
      <w:pPr>
        <w:rPr>
          <w:i/>
          <w:vanish/>
        </w:rPr>
      </w:pPr>
      <w:r w:rsidRPr="00442DE3">
        <w:rPr>
          <w:i/>
        </w:rPr>
        <w:fldChar w:fldCharType="begin"/>
      </w:r>
      <w:r w:rsidRPr="00442DE3">
        <w:rPr>
          <w:i/>
        </w:rPr>
        <w:instrText xml:space="preserve"> TC"(</w:instrText>
      </w:r>
      <w:bookmarkStart w:id="2" w:name="DocNumber"/>
      <w:r w:rsidRPr="00442DE3">
        <w:rPr>
          <w:i/>
        </w:rPr>
        <w:instrText>A10-0242/2025</w:instrText>
      </w:r>
      <w:bookmarkEnd w:id="2"/>
      <w:r w:rsidRPr="00442DE3">
        <w:rPr>
          <w:i/>
        </w:rPr>
        <w:instrText xml:space="preserve"> - Spravodajcovia: </w:instrText>
      </w:r>
      <w:proofErr w:type="spellStart"/>
      <w:r w:rsidRPr="00442DE3">
        <w:rPr>
          <w:i/>
        </w:rPr>
        <w:instrText>Petras</w:instrText>
      </w:r>
      <w:proofErr w:type="spellEnd"/>
      <w:r w:rsidRPr="00442DE3">
        <w:rPr>
          <w:i/>
        </w:rPr>
        <w:instrText xml:space="preserve"> </w:instrText>
      </w:r>
      <w:proofErr w:type="spellStart"/>
      <w:r w:rsidRPr="00442DE3">
        <w:rPr>
          <w:i/>
        </w:rPr>
        <w:instrText>Auštrevičius</w:instrText>
      </w:r>
      <w:proofErr w:type="spellEnd"/>
      <w:r w:rsidRPr="00442DE3">
        <w:rPr>
          <w:i/>
        </w:rPr>
        <w:instrText xml:space="preserve">, </w:instrText>
      </w:r>
      <w:proofErr w:type="spellStart"/>
      <w:r w:rsidRPr="00442DE3">
        <w:rPr>
          <w:i/>
        </w:rPr>
        <w:instrText>Roberts</w:instrText>
      </w:r>
      <w:proofErr w:type="spellEnd"/>
      <w:r w:rsidRPr="00442DE3">
        <w:rPr>
          <w:i/>
        </w:rPr>
        <w:instrText xml:space="preserve"> </w:instrText>
      </w:r>
      <w:proofErr w:type="spellStart"/>
      <w:r w:rsidRPr="00442DE3">
        <w:rPr>
          <w:i/>
        </w:rPr>
        <w:instrText>Zīle</w:instrText>
      </w:r>
      <w:proofErr w:type="spellEnd"/>
      <w:r w:rsidRPr="00442DE3">
        <w:rPr>
          <w:i/>
        </w:rPr>
        <w:instrText xml:space="preserve">)"\l3 \n&gt; \* MERGEFORMAT </w:instrText>
      </w:r>
      <w:r w:rsidRPr="00442DE3">
        <w:rPr>
          <w:i/>
        </w:rPr>
        <w:fldChar w:fldCharType="end"/>
      </w:r>
    </w:p>
    <w:p w14:paraId="70BBCDB7" w14:textId="77777777" w:rsidR="0096177F" w:rsidRPr="00442DE3" w:rsidRDefault="0096177F" w:rsidP="0096177F">
      <w:pPr>
        <w:rPr>
          <w:vanish/>
        </w:rPr>
      </w:pPr>
      <w:bookmarkStart w:id="3" w:name="Commission"/>
      <w:r w:rsidRPr="00442DE3">
        <w:rPr>
          <w:vanish/>
        </w:rPr>
        <w:t>Výbor pre bezpečnosť a obranu, Výbor pre dopravu a cestovný ruch</w:t>
      </w:r>
      <w:bookmarkEnd w:id="3"/>
    </w:p>
    <w:p w14:paraId="6FCFCBE8" w14:textId="77777777" w:rsidR="0096177F" w:rsidRPr="00442DE3" w:rsidRDefault="0096177F" w:rsidP="0096177F">
      <w:pPr>
        <w:rPr>
          <w:vanish/>
        </w:rPr>
      </w:pPr>
      <w:bookmarkStart w:id="4" w:name="PE"/>
      <w:r w:rsidRPr="00442DE3">
        <w:rPr>
          <w:vanish/>
        </w:rPr>
        <w:t>PE774.374</w:t>
      </w:r>
      <w:bookmarkEnd w:id="4"/>
    </w:p>
    <w:p w14:paraId="11CE68D0" w14:textId="243192AA" w:rsidR="0096177F" w:rsidRPr="00442DE3" w:rsidRDefault="0096177F" w:rsidP="0096177F">
      <w:pPr>
        <w:pStyle w:val="ATHeading3"/>
      </w:pPr>
      <w:bookmarkStart w:id="5" w:name="Sujet"/>
      <w:r w:rsidRPr="00442DE3">
        <w:t>Uznesenie Európskeho parlamentu z</w:t>
      </w:r>
      <w:r w:rsidR="00384269" w:rsidRPr="00442DE3">
        <w:t>o</w:t>
      </w:r>
      <w:r w:rsidRPr="00442DE3">
        <w:t xml:space="preserve"> </w:t>
      </w:r>
      <w:r w:rsidR="00384269" w:rsidRPr="00442DE3">
        <w:t>17</w:t>
      </w:r>
      <w:r w:rsidRPr="00442DE3">
        <w:t>. decembra 2025 o vojenskej mobilite</w:t>
      </w:r>
      <w:bookmarkEnd w:id="5"/>
      <w:r w:rsidRPr="00442DE3">
        <w:t xml:space="preserve"> </w:t>
      </w:r>
      <w:bookmarkStart w:id="6" w:name="References"/>
      <w:r w:rsidRPr="00442DE3">
        <w:t>(2025/2090(INI))</w:t>
      </w:r>
      <w:bookmarkEnd w:id="6"/>
    </w:p>
    <w:p w14:paraId="2D38920F" w14:textId="77777777" w:rsidR="00603610" w:rsidRPr="00442DE3" w:rsidRDefault="00603610" w:rsidP="00603610">
      <w:pPr>
        <w:pStyle w:val="EPComma"/>
      </w:pPr>
      <w:r w:rsidRPr="00442DE3">
        <w:rPr>
          <w:rStyle w:val="Italic"/>
        </w:rPr>
        <w:t>Európsky parlament</w:t>
      </w:r>
      <w:r w:rsidRPr="00442DE3">
        <w:t>,</w:t>
      </w:r>
    </w:p>
    <w:p w14:paraId="6E481799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Zmluvu o fungovaní Európskej únie, a najmä na jej hlavy XVII, VI a XVI,</w:t>
      </w:r>
    </w:p>
    <w:p w14:paraId="5EBE33BA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Zmluvu o Európskej únii, najmä na jej hlavu V,</w:t>
      </w:r>
    </w:p>
    <w:p w14:paraId="41D35D2F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 xml:space="preserve">so zreteľom na nariadenie Európskeho parlamentu a Rady (EÚ) 2024/1679 z 13. júna 2024 o usmerneniach Únie pre rozvoj </w:t>
      </w:r>
      <w:proofErr w:type="spellStart"/>
      <w:r w:rsidRPr="00442DE3">
        <w:t>transeurópskej</w:t>
      </w:r>
      <w:proofErr w:type="spellEnd"/>
      <w:r w:rsidRPr="00442DE3">
        <w:t xml:space="preserve"> dopravnej siete, o zmene nariadenia (EÚ) 2021/1153 a nariadenia (EÚ) č. 913/2010 a o zrušení nariadenia (EÚ) č. 1315/2013</w:t>
      </w:r>
      <w:r w:rsidRPr="00442DE3">
        <w:rPr>
          <w:rStyle w:val="FootnoteReference"/>
        </w:rPr>
        <w:footnoteReference w:id="1"/>
      </w:r>
      <w:r w:rsidRPr="00442DE3">
        <w:t>,</w:t>
      </w:r>
    </w:p>
    <w:p w14:paraId="64AA9C27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nariadenie Európskeho parlamentu a Rady (EÚ) 2021/1153 zo 7. júla 2021, ktorým sa zriaďuje Nástroj na prepájanie Európy a zrušujú nariadenia (EÚ) č. 1316/2013 a (EÚ) č. 283/2014</w:t>
      </w:r>
      <w:r w:rsidRPr="00442DE3">
        <w:rPr>
          <w:rStyle w:val="FootnoteReference"/>
        </w:rPr>
        <w:footnoteReference w:id="2"/>
      </w:r>
      <w:r w:rsidRPr="00442DE3">
        <w:t>,</w:t>
      </w:r>
    </w:p>
    <w:p w14:paraId="00357A56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závery Európskej rady, najmä na závery z 26. júna 2025, 6. marca 2025, 21. a 22. marca 2024, 14. a 15. decembra 2023, 29. a 30. júna 2023, 15. decembra 2022 a 30. a 31. mája 2022,</w:t>
      </w:r>
    </w:p>
    <w:p w14:paraId="1EA2D384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závery Rady, najmä na závery zo 6. decembra 2024, 18. novembra 2024, 13. júna 2024, 27. mája 2024, 24. októbra 2023, 24. januára 2022 a 22. januára 2018,</w:t>
      </w:r>
    </w:p>
    <w:p w14:paraId="6799311D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spoločné oznámenie Komisie a vysokého predstaviteľa Únie pre zahraničné veci a bezpečnostnú politiku z 10. novembra 2017 s názvom Zlepšovanie vojenskej mobility v Európskej únii (JOIN(2017)0041),</w:t>
      </w:r>
    </w:p>
    <w:p w14:paraId="7AFE1CAB" w14:textId="77777777" w:rsidR="00603610" w:rsidRPr="00442DE3" w:rsidRDefault="00603610" w:rsidP="00603610">
      <w:pPr>
        <w:pStyle w:val="NormalHanging12a"/>
      </w:pPr>
      <w:r w:rsidRPr="00442DE3">
        <w:lastRenderedPageBreak/>
        <w:t>–</w:t>
      </w:r>
      <w:r w:rsidRPr="00442DE3">
        <w:tab/>
        <w:t>so zreteľom na vykonávacie nariadenie Komisie (EÚ) 2021/1328 z 10. augusta 2021, ktorým sa špecifikujú požiadavky na infraštruktúru uplatniteľné na niektoré kategórie opatrení v oblasti infraštruktúry s dvojakým použitím podľa nariadenia Európskeho parlamentu a Rady (EÚ) 2021/1153</w:t>
      </w:r>
      <w:r w:rsidRPr="00442DE3">
        <w:rPr>
          <w:rStyle w:val="FootnoteReference"/>
        </w:rPr>
        <w:footnoteReference w:id="3"/>
      </w:r>
      <w:r w:rsidRPr="00442DE3">
        <w:t>,</w:t>
      </w:r>
    </w:p>
    <w:p w14:paraId="019EC4FC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spoločnú správu Komisie a vysokej predstaviteľky Únie pre zahraničné veci a bezpečnostnú politiku z 24. septembra 2021 o vykonávaní akčného plánu v oblasti vojenskej mobility od októbra 2020 do septembra 2021 (JOIN(2021)0026),</w:t>
      </w:r>
    </w:p>
    <w:p w14:paraId="42F7AA93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Strategický kompas pre bezpečnosť a obranu – za Európsku úniu, ktorá chráni svojich občanov, hodnoty a záujmy a prispieva k medzinárodnému mieru a bezpečnosti, ktorý Rada prijala 21. marca 2022,</w:t>
      </w:r>
    </w:p>
    <w:p w14:paraId="325797A1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spoločné oznámenie Komisie a vysokého predstaviteľa Únie pre zahraničné veci a bezpečnostnú politiku z 10. novembra 2022 s názvom Akčný plán v oblasti vojenskej mobility 2.0 (JOIN(2022)0048),</w:t>
      </w:r>
    </w:p>
    <w:p w14:paraId="6560D2B4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spoločnú správu Komisie a vysokého predstaviteľa Únie pre zahraničné veci a bezpečnostnú politiku z 13. novembra 2023 o vykonávaní akčného plánu v oblasti vojenskej mobility 2.0 od novembra 2022 do októbra 2023, (JOIN(2023)0037),</w:t>
      </w:r>
    </w:p>
    <w:p w14:paraId="4E802DB7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–</w:t>
      </w:r>
      <w:r w:rsidRPr="00442DE3">
        <w:tab/>
        <w:t>so zreteľom na spoločné oznámenie Komisie a vysokého predstaviteľa Únie pre zahraničné veci a bezpečnostnú politiku z 28. mája 2025 o strategickom prístupe Európskej únie k čiernomorskému regiónu (JOIN(2025)0135),</w:t>
      </w:r>
    </w:p>
    <w:p w14:paraId="266695A8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–</w:t>
      </w:r>
      <w:r w:rsidRPr="00442DE3">
        <w:tab/>
        <w:t>so zreteľom na podpornú štúdiu Komisie, ktorá bola uverejnená v roku 2024, o potrebách adaptácie na zmenu klímy a cezhraničných investícií na realizáciu siete TEN-T,</w:t>
      </w:r>
    </w:p>
    <w:p w14:paraId="48880F25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spoločnú správu Komisie a vysokej predstaviteľky Únie pre zahraničné veci a bezpečnostnú politiku z 20. marca 2025 o vykonávaní akčného pláne v oblasti vojenskej mobility 2.0 (JOIN(2025)0011),</w:t>
      </w:r>
    </w:p>
    <w:p w14:paraId="26B9D25D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bielu knihu Komisie a vysokej predstaviteľky Únie pre zahraničné veci a bezpečnostnú politiku z 19. marca 2025 s názvom spoločná biela kniha o európskej obrannej pripravenosti 2030 (JOIN(2025)0120),</w:t>
      </w:r>
    </w:p>
    <w:p w14:paraId="41C7FE0C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 xml:space="preserve">so zreteľom na revidovanú prílohu II k Vojenským požiadavkám na vojenskú mobilitu v rámci Únie a mimo nej, ktorú prijala Rada 18. marca 2025 (ST 6728/25 ADD1), </w:t>
      </w:r>
    </w:p>
    <w:p w14:paraId="3069D80B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výročné správy Európskej obrannej agentúry z rokov 2022, 2023 a 2024, ako aj na jej správy o vojenskej mobilite z marca 2018 a 26. januára 2024,</w:t>
      </w:r>
    </w:p>
    <w:p w14:paraId="6791F4FC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osobitnú správu Európskeho dvora audítorov 04/2025 z 5. februára 2025 s názvom Vojenská mobilita EÚ – Nedosiahla sa plná rýchlosť pre nedostatky v návrhu a prekážky na trase,</w:t>
      </w:r>
    </w:p>
    <w:p w14:paraId="65706354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 xml:space="preserve">so zreteľom na správu </w:t>
      </w:r>
      <w:proofErr w:type="spellStart"/>
      <w:r w:rsidRPr="00442DE3">
        <w:t>Sauliho</w:t>
      </w:r>
      <w:proofErr w:type="spellEnd"/>
      <w:r w:rsidRPr="00442DE3">
        <w:t xml:space="preserve"> </w:t>
      </w:r>
      <w:proofErr w:type="spellStart"/>
      <w:r w:rsidRPr="00442DE3">
        <w:t>Niinistöa</w:t>
      </w:r>
      <w:proofErr w:type="spellEnd"/>
      <w:r w:rsidRPr="00442DE3">
        <w:t xml:space="preserve"> z 30. októbra 2024 s názvom Spoločne vo väčšom bezpečí: Posilnenie civilnej a vojenskej pripravenosti a pohotovosti Európy,</w:t>
      </w:r>
    </w:p>
    <w:p w14:paraId="239F6A0E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lastRenderedPageBreak/>
        <w:t>–</w:t>
      </w:r>
      <w:r w:rsidRPr="00442DE3">
        <w:tab/>
        <w:t>so zreteľom na vyhlásenie o vojenskej mobilite, ktoré z 27. mája 2025 vydali ministri dopravy Bulharska, Česka, Estónska, Fínska, Maďarska, Islandu, Lotyšska, Litvy, Nórska, Poľska, Rumunska a Slovenska,</w:t>
      </w:r>
    </w:p>
    <w:p w14:paraId="35B45B13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desiatu správu z 10. júna 2025 o pokroku vo vykonávaní spoločného súboru návrhov schválených Radou EÚ a Severoatlantickou radou 6. decembra 2016 a 5. decembra 2018,</w:t>
      </w:r>
    </w:p>
    <w:p w14:paraId="6316C663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komuniké zo samitu vo Vilniuse, ktoré vydali hlavy štátov a predsedovia vlád členských krajín NATO, ktorí sa zúčastnili na zasadnutí Severoatlantickej rady 11. júla 2023 vo Vilniuse, a na vyhlásenie zo samitu vo Washingtone, ktoré vydali hlavy štátov a predsedovia vlád členských krajín NATO, ktorí sa zúčastnili na zasadnutí Severoatlantickej rady NATO 10. júla 2024 vo Washingtone,</w:t>
      </w:r>
    </w:p>
    <w:p w14:paraId="7BC59FAC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tri spoločné vyhlásenia o spolupráci medzi EÚ a NATO podpísané predsedami Európskej rady a Komisie, ako aj generálnym tajomníkom NATO 10. januára 2023, 5. decembra 2018 a 6. decembra 2016,</w:t>
      </w:r>
    </w:p>
    <w:p w14:paraId="678B9646" w14:textId="15234F63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návrh Komisie z 19. marca 2025 na nariadenie Rady, ktorým sa zriaďuje Nástroj bezpečnostnej akcie pre Európu posilnením európskeho obranného priemyslu (SAFE) (</w:t>
      </w:r>
      <w:r w:rsidR="00384269" w:rsidRPr="00442DE3">
        <w:t>COM(2025)0122</w:t>
      </w:r>
      <w:r w:rsidRPr="00442DE3">
        <w:t>),</w:t>
      </w:r>
    </w:p>
    <w:p w14:paraId="7110E0F4" w14:textId="06A93C4B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návrh nariadenia Európskeho parlamentu a Rady, ktorým sa menia nariadenia (EÚ) 2021/1058 a (EÚ) 2021/1056, pokiaľ ide o osobitné opatrenia na riešenie strategických výziev v rámci strednodobého preskúmania (</w:t>
      </w:r>
      <w:r w:rsidR="00384269" w:rsidRPr="00442DE3">
        <w:t>COM(2025)0123</w:t>
      </w:r>
      <w:r w:rsidRPr="00442DE3">
        <w:t>), ktorý Komisia predložila 1. apríla 2025,</w:t>
      </w:r>
    </w:p>
    <w:p w14:paraId="2F92F591" w14:textId="257ACCFC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 xml:space="preserve">so zreteľom na návrh nariadenia Európskeho parlamentu a Rady, ktorým sa menia nariadenia (EÚ) 2021/694, (EÚ) 2021/695, (EÚ) 2021/697, (EÚ) 2021/1153, (EÚ) 2023/1525 a 2024/795, pokiaľ ide o stimulovanie investícií do obrany v rozpočte EÚ na účely vykonávania plánu </w:t>
      </w:r>
      <w:proofErr w:type="spellStart"/>
      <w:r w:rsidRPr="00442DE3">
        <w:t>ReArm</w:t>
      </w:r>
      <w:proofErr w:type="spellEnd"/>
      <w:r w:rsidRPr="00442DE3">
        <w:t xml:space="preserve"> </w:t>
      </w:r>
      <w:proofErr w:type="spellStart"/>
      <w:r w:rsidRPr="00442DE3">
        <w:t>Europe</w:t>
      </w:r>
      <w:proofErr w:type="spellEnd"/>
      <w:r w:rsidRPr="00442DE3">
        <w:t xml:space="preserve"> (</w:t>
      </w:r>
      <w:r w:rsidR="00384269" w:rsidRPr="00442DE3">
        <w:t>COM(2025)0188</w:t>
      </w:r>
      <w:r w:rsidRPr="00442DE3">
        <w:t>), ktorý Komisia predložila 22. apríla 2025,</w:t>
      </w:r>
    </w:p>
    <w:p w14:paraId="33E37825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svoje uznesenie z 2. apríla 2025 o vykonávaní spoločnej bezpečnostnej a obrannej politiky – výročná správa za rok 2024</w:t>
      </w:r>
      <w:r w:rsidRPr="00442DE3">
        <w:rPr>
          <w:rStyle w:val="FootnoteReference"/>
        </w:rPr>
        <w:footnoteReference w:id="4"/>
      </w:r>
      <w:r w:rsidRPr="00442DE3">
        <w:t>,</w:t>
      </w:r>
    </w:p>
    <w:p w14:paraId="3884ED52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svoje uznesenie z 12. marca 2025 o bielej knihe o budúcnosti európskej obrany</w:t>
      </w:r>
      <w:r w:rsidRPr="00442DE3">
        <w:rPr>
          <w:rStyle w:val="FootnoteReference"/>
        </w:rPr>
        <w:footnoteReference w:id="5"/>
      </w:r>
      <w:r w:rsidRPr="00442DE3">
        <w:t>,</w:t>
      </w:r>
    </w:p>
    <w:p w14:paraId="5E91405F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svoje uznesenie zo 17. januára 2024 o vypracovaní komplexnej európskej stratégie pre prístavy</w:t>
      </w:r>
      <w:r w:rsidRPr="00442DE3">
        <w:rPr>
          <w:rStyle w:val="FootnoteReference"/>
        </w:rPr>
        <w:footnoteReference w:id="6"/>
      </w:r>
      <w:r w:rsidRPr="00442DE3">
        <w:t>,</w:t>
      </w:r>
    </w:p>
    <w:p w14:paraId="055F77B3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svoje uznesenie z 5. mája 2022 o vplyve nezákonnej vojenskej agresie Ruska voči Ukrajine na odvetvie dopravy a cestovného ruchu EÚ</w:t>
      </w:r>
      <w:r w:rsidRPr="00442DE3">
        <w:rPr>
          <w:rStyle w:val="FootnoteReference"/>
        </w:rPr>
        <w:footnoteReference w:id="7"/>
      </w:r>
      <w:r w:rsidRPr="00442DE3">
        <w:t>,</w:t>
      </w:r>
    </w:p>
    <w:p w14:paraId="3A7FB2D1" w14:textId="77777777" w:rsidR="00603610" w:rsidRPr="00442DE3" w:rsidRDefault="00603610" w:rsidP="00603610">
      <w:pPr>
        <w:pStyle w:val="NormalHanging12a"/>
      </w:pPr>
      <w:r w:rsidRPr="00442DE3">
        <w:lastRenderedPageBreak/>
        <w:t>–</w:t>
      </w:r>
      <w:r w:rsidRPr="00442DE3">
        <w:tab/>
        <w:t>so zreteľom na svoje uznesenie zo 7. júla 2021 o spolupráci medzi EÚ a NATO v kontexte transatlantických vzťahov</w:t>
      </w:r>
      <w:r w:rsidRPr="00442DE3">
        <w:rPr>
          <w:rStyle w:val="FootnoteReference"/>
        </w:rPr>
        <w:footnoteReference w:id="8"/>
      </w:r>
      <w:r w:rsidRPr="00442DE3">
        <w:t>,</w:t>
      </w:r>
    </w:p>
    <w:p w14:paraId="4FFBDCE2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svoje uznesenie z 11. decembra 2018 o vojenskej mobilite</w:t>
      </w:r>
      <w:r w:rsidRPr="00442DE3">
        <w:rPr>
          <w:rStyle w:val="FootnoteReference"/>
        </w:rPr>
        <w:footnoteReference w:id="9"/>
      </w:r>
      <w:r w:rsidRPr="00442DE3">
        <w:t>,</w:t>
      </w:r>
    </w:p>
    <w:p w14:paraId="0C55A598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zo zreteľom na článok 55 rokovacieho poriadku,</w:t>
      </w:r>
    </w:p>
    <w:p w14:paraId="4CBE6361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spoločné schôdze Výboru pre bezpečnosť a obranu a Výboru pre dopravu a cestovný ruch podľa článku 59 rokovacieho poriadku,</w:t>
      </w:r>
    </w:p>
    <w:p w14:paraId="3EF74BB1" w14:textId="77777777" w:rsidR="00603610" w:rsidRPr="00442DE3" w:rsidRDefault="00603610" w:rsidP="00603610">
      <w:pPr>
        <w:pStyle w:val="NormalHanging12a"/>
      </w:pPr>
      <w:r w:rsidRPr="00442DE3">
        <w:t>–</w:t>
      </w:r>
      <w:r w:rsidRPr="00442DE3">
        <w:tab/>
        <w:t>so zreteľom na správu Výboru pre bezpečnosť a obranu a Výboru pre dopravu a cestovný ruch (A10-0242/2025),</w:t>
      </w:r>
    </w:p>
    <w:p w14:paraId="301F9BC5" w14:textId="77777777" w:rsidR="00603610" w:rsidRPr="00442DE3" w:rsidRDefault="00603610" w:rsidP="00603610">
      <w:pPr>
        <w:pStyle w:val="NormalHanging12a"/>
      </w:pPr>
      <w:r w:rsidRPr="00442DE3">
        <w:t>A.</w:t>
      </w:r>
      <w:r w:rsidRPr="00442DE3">
        <w:tab/>
        <w:t>keďže útočná vojna Ruska proti Ukrajine opätovne upriamila pozornosť na vojenskú mobilitu, pričom zdôraznila naliehavú potrebu uľahčiť rýchly cezhraničný pohyb jednotiek, vybavenia a prostriedkov v celej EÚ s cieľom posilniť odrádzanie a obranu;</w:t>
      </w:r>
    </w:p>
    <w:p w14:paraId="47A79F92" w14:textId="77777777" w:rsidR="00603610" w:rsidRPr="00442DE3" w:rsidRDefault="00603610" w:rsidP="00603610">
      <w:pPr>
        <w:pStyle w:val="NormalHanging12a"/>
      </w:pPr>
      <w:r w:rsidRPr="00442DE3">
        <w:t>B.</w:t>
      </w:r>
      <w:r w:rsidRPr="00442DE3">
        <w:tab/>
        <w:t xml:space="preserve">keďže nestabilná situácia a meniace sa geopolitické krízy v rôznych regiónoch sveta by si vyžadovali, aby EÚ a jej členské štáty v koordinácii s NATO boli pripravené reagovať na prípadné akty agresie alebo rôzne druhy kríz na všetkých svojich vonkajších hraniciach; </w:t>
      </w:r>
    </w:p>
    <w:p w14:paraId="04A17710" w14:textId="77777777" w:rsidR="00603610" w:rsidRPr="00442DE3" w:rsidRDefault="00603610" w:rsidP="00603610">
      <w:pPr>
        <w:pStyle w:val="NormalHanging12a"/>
      </w:pPr>
      <w:r w:rsidRPr="00442DE3">
        <w:t>C.</w:t>
      </w:r>
      <w:r w:rsidRPr="00442DE3">
        <w:tab/>
        <w:t xml:space="preserve">keďže členské štáty, ktoré majú spoločné vonkajšie hranice s Ruskom alebo Bieloruskom, ako aj tie, ktoré susedia s Ukrajinou, a ktorých vzdušný priestor narúša Rusko, sú vystavené priamej bezpečnostnej hrozbe, najmä vzhľadom na varovania západných bezpečnostných služieb, že Rusko by mohlo v krátkodobom horizonte zaútočiť na EÚ; </w:t>
      </w:r>
    </w:p>
    <w:p w14:paraId="41615E2E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D.</w:t>
      </w:r>
      <w:r w:rsidRPr="00442DE3">
        <w:tab/>
        <w:t xml:space="preserve">keďže vojenská mobilita je základným faktorom umožňujúcim spoločnú európsku bezpečnosť a obranu a bola označená za kľúčový faktor v prioritách EÚ v oblasti rozvoja spôsobilostí (CDP) na rok 2023; </w:t>
      </w:r>
    </w:p>
    <w:p w14:paraId="4F66DB7C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E.</w:t>
      </w:r>
      <w:r w:rsidRPr="00442DE3">
        <w:tab/>
        <w:t>keďže odolnosť, odstrašovanie a rýchlosť vojenských presunov v Európe sa v súčasnosti stali základnou podmienkou dôveryhodnosti európskej obrany; keďže vojenská mobilita v EÚ výrazne posilňuje bezpečnosť a odolnosť 27 členských štátov, a to aj proti čoraz častejším sabotážam namiereným proti kritickej infraštruktúre a nárastu hybridných hrozieb, za predpokladu, že je možné plne využiť jej potenciál;</w:t>
      </w:r>
    </w:p>
    <w:p w14:paraId="37FEF68B" w14:textId="77777777" w:rsidR="00603610" w:rsidRPr="00442DE3" w:rsidRDefault="00603610" w:rsidP="00603610">
      <w:pPr>
        <w:pStyle w:val="NormalHanging12a"/>
      </w:pPr>
      <w:r w:rsidRPr="00442DE3">
        <w:t>F.</w:t>
      </w:r>
      <w:r w:rsidRPr="00442DE3">
        <w:tab/>
        <w:t>keďže je potrebné vynaložiť značné úsilie na zlepšenie regionálnych dopravných spojení a posilnenie celoeurópskej siete spájajúcej krajiny EÚ od Fínska a pobaltských štátov na severe až po Pyrenejský polostrov na juhu; keďže rozvoj súdržnej infraštruktúry vojenskej mobility v štyroch prioritných koridoroch vojenskej mobility EÚ by bol nevyhnutný na nasadenie a dodávanie jednotiek a vojenského vybavenia v krátkom čase a vo veľkom rozsahu železničnou, cestnou, vodnou, námornou a leteckou dopravou vtedy a tam, kde je to potrebné, pričom by sa zabezpečila jej funkcia dvojakého použitia na zachovanie fungovania základných civilných dodávateľských reťazcov;</w:t>
      </w:r>
    </w:p>
    <w:p w14:paraId="4B450BCF" w14:textId="77777777" w:rsidR="00603610" w:rsidRPr="00442DE3" w:rsidRDefault="00603610" w:rsidP="00603610">
      <w:pPr>
        <w:pStyle w:val="NormalHanging12a"/>
      </w:pPr>
      <w:r w:rsidRPr="00442DE3">
        <w:lastRenderedPageBreak/>
        <w:t>G.</w:t>
      </w:r>
      <w:r w:rsidRPr="00442DE3">
        <w:tab/>
        <w:t xml:space="preserve">keďže vojenská mobilita je prioritou spolupráce medzi EÚ a NATO a prostredníctvom zosúladeného prístupu musí umožňovať presun spojeneckých síl tak v čase mieru, ako aj v čase krízy alebo vojny; keďže posilnenie </w:t>
      </w:r>
      <w:proofErr w:type="spellStart"/>
      <w:r w:rsidRPr="00442DE3">
        <w:t>interoperability</w:t>
      </w:r>
      <w:proofErr w:type="spellEnd"/>
      <w:r w:rsidRPr="00442DE3">
        <w:t xml:space="preserve"> v rámci EÚ, s NATO a s partnermi, ako je Ukrajina, má zásadný význam pre kolektívnu obranu; keďže s cieľom dosiahnuť strategické ciele partnerstva EÚ a NATO je na transformáciu technickej spolupráce na spoločnú strategickú víziu potrebné silné vedenie a koordinované riadenie, čím sa posilní mobilita ako nástroj súdržnosti a kolektívnej bezpečnosti;</w:t>
      </w:r>
    </w:p>
    <w:p w14:paraId="32E2F1D2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H.</w:t>
      </w:r>
      <w:r w:rsidRPr="00442DE3">
        <w:tab/>
        <w:t>keďže stála štruktúrovaná spolupráca (PESCO) zohráva kľúčovú úlohu pri posilňovaní a zosúlaďovaní obranných spôsobilostí EÚ, čím sa znižuje závislosť od strategických faktorov, ako je napríklad vojenská mobilita;</w:t>
      </w:r>
    </w:p>
    <w:p w14:paraId="4763D52A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I.</w:t>
      </w:r>
      <w:r w:rsidRPr="00442DE3">
        <w:tab/>
        <w:t>keďže EÚ pracuje na podpore prepojenosti s regionálnymi partnermi a kandidátskymi krajinami;</w:t>
      </w:r>
    </w:p>
    <w:p w14:paraId="5BF577DC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J.</w:t>
      </w:r>
      <w:r w:rsidRPr="00442DE3">
        <w:tab/>
        <w:t>keďže obranná priemyselná základňa EÚ trpí zraniteľnosťou vrátane nadmerného spoliehania sa na dovoz z krajín mimo EÚ, fragmentovanej výroby a dodávok, nedostatočných investícií a obmedzenej výrobnej kapacity; keďže v európskej stratégii hospodárskej bezpečnosti sa zdôrazňuje význam znižovania strategických závislostí a ochrany kritických technológií a aktív s cieľom chrániť suverenitu a konkurencieschopnosť EÚ;</w:t>
      </w:r>
    </w:p>
    <w:p w14:paraId="73041753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K.</w:t>
      </w:r>
      <w:r w:rsidRPr="00442DE3">
        <w:tab/>
        <w:t xml:space="preserve">keďže v záveroch Európskej rady zo 6. marca 2025 sa zdôraznilo, že Únia sa musí stať „suverénnejšou, zodpovednejšou za svoju vlastnú obranu a lepšie vybavenou, aby mohla konať a samostatne riešiť bezprostredné a budúce výzvy a hrozby“, čím sa opätovne potvrdila potreba znížiť vonkajšiu závislosť a konsolidovať európsku obrannú technologickú a priemyselnú základňu (EDTIB); </w:t>
      </w:r>
    </w:p>
    <w:p w14:paraId="7EFFB446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L.</w:t>
      </w:r>
      <w:r w:rsidRPr="00442DE3">
        <w:tab/>
        <w:t>keďže v rámci iniciatívy SAFE, ktorú Rada prijala 27. mája 2025, sa poskytuje až 150 miliárd EUR na podporu spoločného obstarávania, rozširovania priemyslu a výroby súvisiacej s obranou v rámci EÚ, čím sa vytvára strategická príležitosť uviesť do praxe zásadu európskej preferencie a zabezpečiť, aby finančné prostriedky EÚ posilňovali európsky priemysel namiesto posilňovania vonkajšej závislosti;</w:t>
      </w:r>
    </w:p>
    <w:p w14:paraId="32B3DBA4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M.</w:t>
      </w:r>
      <w:r w:rsidRPr="00442DE3">
        <w:tab/>
        <w:t>keďže nástroj na posilnenie európskeho obranného priemyslu prostredníctvom spoločného obstarávania</w:t>
      </w:r>
      <w:r w:rsidRPr="00442DE3">
        <w:rPr>
          <w:bCs/>
          <w:iCs/>
          <w:vertAlign w:val="superscript"/>
        </w:rPr>
        <w:footnoteReference w:id="10"/>
      </w:r>
      <w:r w:rsidRPr="00442DE3">
        <w:t xml:space="preserve"> (EDIRPA) a Program pre európsky obranný priemysel (EDIP) môžu zohrávať dôležitú úlohu pri podpore rozvoja inovačných technológií a spôsobilostí relevantných pre vojenskú mobilitu; zdôrazňuje, že by sa mali v plnej miere využiť synergie medzi programom EDIP, nástrojom EDIRPA, Nástrojom na prepájanie Európy a ďalšími finančnými nástrojmi EÚ s cieľom posilniť odolnosť dopravnej infraštruktúry a zvýšiť celkovú kapacitu EÚ pre rýchly a bezpečný vojenský presun;</w:t>
      </w:r>
    </w:p>
    <w:p w14:paraId="38FDDFF2" w14:textId="77777777" w:rsidR="00603610" w:rsidRPr="00442DE3" w:rsidRDefault="00603610" w:rsidP="00603610">
      <w:pPr>
        <w:pStyle w:val="NormalHanging12a"/>
      </w:pPr>
      <w:r w:rsidRPr="00442DE3">
        <w:t>N.</w:t>
      </w:r>
      <w:r w:rsidRPr="00442DE3">
        <w:tab/>
        <w:t xml:space="preserve">keďže dôkladné preverovanie investícií prispieva k hospodárskej bezpečnosti EÚ, chráni kritickú infraštruktúru a technológie pred nepriateľskými akvizíciami a dopĺňa priemyselné politiky zamerané na podporu európskej autonómie a vedúceho postavenia </w:t>
      </w:r>
      <w:r w:rsidRPr="00442DE3">
        <w:lastRenderedPageBreak/>
        <w:t>v oblasti technológií; keďže revízia nariadenia (EÚ) 2019/452</w:t>
      </w:r>
      <w:r w:rsidRPr="00442DE3">
        <w:rPr>
          <w:vertAlign w:val="superscript"/>
        </w:rPr>
        <w:footnoteReference w:id="11"/>
      </w:r>
      <w:r w:rsidRPr="00442DE3">
        <w:t xml:space="preserve"> o preverovaní priamych zahraničných investícií do Únie je kľúčovým nástrojom na ochranu bezpečnosti, verejného poriadku a strategických záujmov EÚ;</w:t>
      </w:r>
    </w:p>
    <w:p w14:paraId="7E8517AF" w14:textId="73169AD0" w:rsidR="00603610" w:rsidRPr="00442DE3" w:rsidRDefault="00603610" w:rsidP="00603610">
      <w:pPr>
        <w:pStyle w:val="NormalHanging12a"/>
        <w:rPr>
          <w:bCs/>
          <w:iCs/>
        </w:rPr>
      </w:pPr>
      <w:r w:rsidRPr="00442DE3">
        <w:t>O.</w:t>
      </w:r>
      <w:r w:rsidRPr="00442DE3">
        <w:tab/>
        <w:t xml:space="preserve">keďže </w:t>
      </w:r>
      <w:r w:rsidR="003B4506" w:rsidRPr="00442DE3">
        <w:t>Európsky p</w:t>
      </w:r>
      <w:r w:rsidRPr="00442DE3">
        <w:t>arlament prijal pozíciu k navrhovanému nariadeniu</w:t>
      </w:r>
      <w:r w:rsidRPr="00442DE3">
        <w:rPr>
          <w:bCs/>
          <w:iCs/>
          <w:vertAlign w:val="superscript"/>
        </w:rPr>
        <w:footnoteReference w:id="12"/>
      </w:r>
      <w:r w:rsidRPr="00442DE3">
        <w:t xml:space="preserve">, pričom zdôraznil, že od všetkých členských štátov by sa malo vyžadovať, aby udržiavali mechanizmus preverovania zahraničných investícií z dôvodov bezpečnosti alebo verejného poriadku, a že je potrebná silnejšia harmonizácia medzi vnútroštátnymi systémami s cieľom riešiť strategické závislosti a vznikajúce zraniteľné miesta v oblasti technológií a infraštruktúry; </w:t>
      </w:r>
    </w:p>
    <w:p w14:paraId="52EA8D6F" w14:textId="77777777" w:rsidR="00603610" w:rsidRPr="00442DE3" w:rsidRDefault="00603610" w:rsidP="00603610">
      <w:pPr>
        <w:pStyle w:val="NormalHanging12a"/>
      </w:pPr>
      <w:r w:rsidRPr="00442DE3">
        <w:t>P.</w:t>
      </w:r>
      <w:r w:rsidRPr="00442DE3">
        <w:tab/>
        <w:t>keďže napriek výraznému pokroku v posledných rokoch pri posilňovaní vojenskej mobility prostredníctvom vykonávania opatrení stanovených v akčnom pláne v oblasti vojenskej mobility 2.0 pretrvávajú značné regulačné, administratívne a finančné prekážky, ako aj úzke miesta a problémy v infraštruktúre;</w:t>
      </w:r>
    </w:p>
    <w:p w14:paraId="0B40B4B8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Q.</w:t>
      </w:r>
      <w:r w:rsidRPr="00442DE3">
        <w:tab/>
        <w:t xml:space="preserve">keďže je naliehavo potrebné zintenzívniť koordinované a integrované úsilie na úrovni EÚ, NATO a členských štátov s cieľom zvýšiť zdroje a odstraňovať tieto fyzické, právne a regulačné prekážky; </w:t>
      </w:r>
    </w:p>
    <w:p w14:paraId="4C619EB5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R.</w:t>
      </w:r>
      <w:r w:rsidRPr="00442DE3">
        <w:tab/>
        <w:t>keďže interné audity a nedávne skúsenosti poukazujú na vážne nedostatky v politike EÚ v oblasti vojenskej mobility, pričom oneskorenia spôsobené byrokraciou a nedostatočnou infraštruktúrou znamenajú, že by mohlo trvať viac než jeden mesiac, kým sa vojenské vybavenie presunie cez hranice v reakcii na útok;</w:t>
      </w:r>
    </w:p>
    <w:p w14:paraId="58125181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S.</w:t>
      </w:r>
      <w:r w:rsidRPr="00442DE3">
        <w:tab/>
        <w:t>keďže mnohé európske dopravné trasy ešte stále nie sú vhodné pre ťažké vojenské vozidlá; keďže tanky dostali zákaz vstupu do niektorých členských štátov, pretože prekračujú vnútroštátny hmotnostný limit, a konvoje boli zastavené na mostoch, ktoré nie sú určené na takýto náklad, čo zvýrazňuje naliehavú potrebu modernizácie kľúčovej infraštruktúry, napríklad železničných tratí, ciest, tunelov a mostov, aby spĺňali vojenské normy;</w:t>
      </w:r>
    </w:p>
    <w:p w14:paraId="51CDB434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T.</w:t>
      </w:r>
      <w:r w:rsidRPr="00442DE3">
        <w:tab/>
        <w:t xml:space="preserve">keďže investície do zlepšovania existujúcej leteckej, železničnej, cestnej a námornej a riečnej infraštruktúry s dvojakým použitím sú významným prínosom pre komunity a podniky v časoch mieru, ako aj prínosom pre systémy osobnej aj nákladnej dopravy, a prispievajú k dekarbonizácii dopravy, k dobudovaniu </w:t>
      </w:r>
      <w:proofErr w:type="spellStart"/>
      <w:r w:rsidRPr="00442DE3">
        <w:t>transeurópskej</w:t>
      </w:r>
      <w:proofErr w:type="spellEnd"/>
      <w:r w:rsidRPr="00442DE3">
        <w:t xml:space="preserve"> dopravnej siete (TEN-T), k spôsobilostiam v oblasti civilnej ochrany a k posilňovaniu jednotného trhu;</w:t>
      </w:r>
    </w:p>
    <w:p w14:paraId="5B870FC6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U.</w:t>
      </w:r>
      <w:r w:rsidRPr="00442DE3">
        <w:tab/>
        <w:t>keďže prevádzkovatelia dopravy zohrávajú dôležitú úlohu vo vojenskej mobilite; keďže neharmonizované postupy však často spôsobujú vážne oneskorenia pri prepravných operáciách a vydávaní cezhraničných povolení;</w:t>
      </w:r>
    </w:p>
    <w:p w14:paraId="6774F372" w14:textId="77777777" w:rsidR="00603610" w:rsidRPr="00442DE3" w:rsidRDefault="00603610" w:rsidP="00603610">
      <w:pPr>
        <w:pStyle w:val="Normal12a24b"/>
      </w:pPr>
      <w:r w:rsidRPr="00442DE3">
        <w:rPr>
          <w:rStyle w:val="BoldItalic"/>
        </w:rPr>
        <w:t>Reakcia na meniacu sa geopolitickú realitu</w:t>
      </w:r>
    </w:p>
    <w:p w14:paraId="0CAC586D" w14:textId="77777777" w:rsidR="00603610" w:rsidRPr="00442DE3" w:rsidRDefault="00603610" w:rsidP="00603610">
      <w:pPr>
        <w:pStyle w:val="NormalHanging12a"/>
      </w:pPr>
      <w:r w:rsidRPr="00442DE3">
        <w:lastRenderedPageBreak/>
        <w:t>1.</w:t>
      </w:r>
      <w:r w:rsidRPr="00442DE3">
        <w:tab/>
        <w:t xml:space="preserve">zdôrazňuje význam vojenskej mobility pre európsku bezpečnosť a obranu; zdôrazňuje, že vzhľadom na útočnú vojnu Ruska proti Ukrajine sa riešenie strategických nedostatkov EÚ a potreba zvýšenej vojenskej mobility EÚ stali ešte naliehavejšími; </w:t>
      </w:r>
    </w:p>
    <w:p w14:paraId="4AC8F250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2.</w:t>
      </w:r>
      <w:r w:rsidRPr="00442DE3">
        <w:tab/>
        <w:t xml:space="preserve">víta ambíciu EÚ a členských štátov v rámci príslušných politík EÚ a spoločnej bezpečnostnej a obrannej politiky (SBOP), ako aj v kontexte NATO podstatne zvýšiť svoju obrannú pripravenosť, znížiť strategickú závislosť, riešiť nedostatky v spôsobilostiach a posilniť európsku obrannú, technologickú a priemyselnú základňu; víta spoluprácu medzi EÚ a NATO pri posilňovaní vojenskej mobility; domnieva sa však, že nastal čas, aby sa stanovené spoločné ciele EÚ a NATO urýchlene premenili na skutočný pokrok; </w:t>
      </w:r>
    </w:p>
    <w:p w14:paraId="1A04C10E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3.</w:t>
      </w:r>
      <w:r w:rsidRPr="00442DE3">
        <w:tab/>
        <w:t xml:space="preserve">oceňuje kolektívne úsilie o podporu Ukrajiny; trvá na tom, že je potrebné, aby sa z útočnej vojny Ruska proti Ukrajine systematicky vyvodzovali ponaučenia vrátane tých v oblasti vojenskej mobility, najmä na základe skúseností ukrajinských ozbrojených síl, ako aj z vnútroštátnych a nadnárodných cvičení; zdôrazňuje, že je dôležité zabezpečiť logistické rezervy a záložné plánovanie, ako aj identifikovať slabé a chýbajúce prepojenia; zdôrazňuje význam včasnej a účinnej koordinácie so strategickými partnermi, najmä s NATO; </w:t>
      </w:r>
    </w:p>
    <w:p w14:paraId="436EEF55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4.</w:t>
      </w:r>
      <w:r w:rsidRPr="00442DE3">
        <w:tab/>
        <w:t xml:space="preserve">zdôrazňuje, že Rusko predstavuje značnú hrozbu pre bezpečnosť Európskej únie a že rozvoj spôsobilosti rýchleho nasadenia jednotiek a vojenských spôsobilostí na východnom krídle EÚ má zásadný význam; </w:t>
      </w:r>
    </w:p>
    <w:p w14:paraId="11E06108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5.</w:t>
      </w:r>
      <w:r w:rsidRPr="00442DE3">
        <w:tab/>
        <w:t xml:space="preserve">zdôrazňuje strategickú potrebu investícií vo všetkých členských štátoch pozdĺž štyroch prioritných koridorov vojenskej mobility EÚ – severného, východného, stredno-južného a stredno-severného koridoru –, keďže posilnená a účinná vojenská mobilita je nevyhnutná pre bezpečnosť všetkých členských štátov a všetkých európskych občanov; </w:t>
      </w:r>
    </w:p>
    <w:p w14:paraId="67F71884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6.</w:t>
      </w:r>
      <w:r w:rsidRPr="00442DE3">
        <w:tab/>
        <w:t xml:space="preserve">zdôrazňuje, že posilnená vojenská mobilita posilní SBOP EÚ a jej misie a operácie; vyzýva EÚ a členské štáty, aby prijali spoločnú víziu toho, ako dosiahnuť pokrok vo svojich opatreniach v oblasti vojenskej mobility, a aby sformulovali konkrétne ciele, ktoré by sa mali začleniť do Strategického kompasu EÚ; naliehavo vyzýva na konkrétnu pripravenosť v oblasti vojenskej mobility prechodom na komplexný prístup k vojenskej logistike vrátane bezpečnosti kritickej infraštruktúry, dopravných uzlov, údržby, skladovania, dopĺňania paliva, opráv a munície; </w:t>
      </w:r>
    </w:p>
    <w:p w14:paraId="0D746B07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7.</w:t>
      </w:r>
      <w:r w:rsidRPr="00442DE3">
        <w:tab/>
        <w:t xml:space="preserve">zdôrazňuje, že vojenská mobilita sa neobmedzuje len na presun vojsk, zbraní a vybavenia, ale týka sa aj humanitárnej pomoci a činností solidarity; zdôrazňuje, že podpora vojenskej mobility môže byť významným prínosom aj pre občanov, keďže schopnosť rýchleho nasadenia vojenských síl môže uľahčiť rýchlejšie poskytovanie humanitárnej pomoci a zdravotníckej podpory, ako aj opravu infraštruktúry v prípade prírodných katastrof, pandémií alebo iných kríz; ďalej zdôrazňuje, že investície EÚ do infraštruktúry vojenskej mobility by mohli priniesť hmatateľné výhody pre miestne komunity a pre prepojenia, čím by sa zvýšila miestna odolnosť, hospodárska integrácia, tvorba pracovných miest a podpora verejnosti pre Európsky program v oblasti bezpečnosti; </w:t>
      </w:r>
    </w:p>
    <w:p w14:paraId="463AB4AC" w14:textId="77777777" w:rsidR="00603610" w:rsidRPr="00442DE3" w:rsidRDefault="00603610" w:rsidP="00603610">
      <w:pPr>
        <w:pStyle w:val="Normal12a24b"/>
      </w:pPr>
      <w:r w:rsidRPr="00442DE3">
        <w:rPr>
          <w:rStyle w:val="BoldItalic"/>
        </w:rPr>
        <w:t>Riešenie finančných otázok</w:t>
      </w:r>
    </w:p>
    <w:p w14:paraId="55320F1D" w14:textId="77777777" w:rsidR="00603610" w:rsidRPr="00442DE3" w:rsidRDefault="00603610" w:rsidP="00603610">
      <w:pPr>
        <w:pStyle w:val="NormalHanging12a"/>
      </w:pPr>
      <w:r w:rsidRPr="00442DE3">
        <w:lastRenderedPageBreak/>
        <w:t>8.</w:t>
      </w:r>
      <w:r w:rsidRPr="00442DE3">
        <w:tab/>
        <w:t xml:space="preserve">zdôrazňuje, že centrálne riadený a špecializovaný nástroj EÚ na financovanie dopravy, ako je Nástroj na prepájanie Európy (NPE), musí v budúcom viacročnom finančnom rámci (VFR) naďalej slúžiť ako hlavný zdroj rozsiahleho financovania vojenskej mobility a jeho celkový rozpočet na dopravu sa musí výrazne zvýšiť; víta preto návrh na zvýšenie rozpočtu na vojenskú mobilitu v nadchádzajúcom VFR, v ktorom sa vyčleňuje viac ako 50 miliárd EUR na dopravu v rámci NPE na roky 2028 – 2034 vrátane viac ako 17 miliárd EUR na vojenskú mobilitu; </w:t>
      </w:r>
    </w:p>
    <w:p w14:paraId="7C7AA333" w14:textId="453E116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9.</w:t>
      </w:r>
      <w:r w:rsidRPr="00442DE3">
        <w:tab/>
        <w:t xml:space="preserve">pripomína, že Rada vo VFR na roky 2021 až 2027 vykonala bezprecedentné zníženie rozpočtových prostriedkov na vojenskú mobilitu o 75 % v porovnaní s pozíciou </w:t>
      </w:r>
      <w:r w:rsidR="003B4506" w:rsidRPr="00442DE3">
        <w:t>Európskeho p</w:t>
      </w:r>
      <w:r w:rsidRPr="00442DE3">
        <w:t xml:space="preserve">arlamentu a Komisie, a zdôrazňuje, že takáto situácia sa nesmie zopakovať; zdôrazňuje, že v dôsledku rozsiahlej invázie Ruska na Ukrajinu sa rozpočet na vojenskú mobilitu musel prednostne vyčleniť a bol do začiatku roku 2024 úplne vyčerpaný;  trvá na tom, aby sa zdroje vyčlenené na vojenskú mobilitu v rámci budúceho VFR výrazne zvýšili s cieľom zosúladiť ich s odhadovanou investičnou potrebou vo výške najmenej 100 miliárd EUR na riešenie 500 </w:t>
      </w:r>
      <w:proofErr w:type="spellStart"/>
      <w:r w:rsidRPr="00442DE3">
        <w:t>hotspotov</w:t>
      </w:r>
      <w:proofErr w:type="spellEnd"/>
      <w:r w:rsidRPr="00442DE3">
        <w:t xml:space="preserve">, ktoré boli v EÚ označené za </w:t>
      </w:r>
      <w:proofErr w:type="spellStart"/>
      <w:r w:rsidRPr="00442DE3">
        <w:t>hotspoty</w:t>
      </w:r>
      <w:proofErr w:type="spellEnd"/>
      <w:r w:rsidRPr="00442DE3">
        <w:t xml:space="preserve"> vyžadujúce naliehavú modernizáciu</w:t>
      </w:r>
      <w:r w:rsidRPr="00442DE3">
        <w:rPr>
          <w:bCs/>
          <w:iCs/>
          <w:vertAlign w:val="superscript"/>
        </w:rPr>
        <w:footnoteReference w:id="13"/>
      </w:r>
      <w:r w:rsidRPr="00442DE3">
        <w:t>;</w:t>
      </w:r>
    </w:p>
    <w:p w14:paraId="07D3C94D" w14:textId="77777777" w:rsidR="00603610" w:rsidRPr="00442DE3" w:rsidRDefault="00603610" w:rsidP="00603610">
      <w:pPr>
        <w:pStyle w:val="NormalHanging12a"/>
      </w:pPr>
      <w:r w:rsidRPr="00442DE3">
        <w:t>10.</w:t>
      </w:r>
      <w:r w:rsidRPr="00442DE3">
        <w:tab/>
        <w:t xml:space="preserve">vzhľadom na túto investičnú potrebu, ako aj na odporúčania </w:t>
      </w:r>
      <w:proofErr w:type="spellStart"/>
      <w:r w:rsidRPr="00442DE3">
        <w:t>Draghiho</w:t>
      </w:r>
      <w:proofErr w:type="spellEnd"/>
      <w:r w:rsidRPr="00442DE3">
        <w:t xml:space="preserve"> správy trvá na tom, že je dôležité zachovať aspoň uvedenú sumu 17 miliárd EUR v následných rokovaniach o celkovom strope VFR a zároveň chrániť pridelené prostriedky na dosiahnutie TEN-T; zdôrazňuje, že Rada nesmie predložiť žiadny návrh na zníženie sumy týchto finančných prostriedkov, a domnieva sa, že bude potrebné dôkladne monitorovať nasmerovanie týchto finančných prostriedkov na vojenskú mobilitu; </w:t>
      </w:r>
    </w:p>
    <w:p w14:paraId="62DE467E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11.</w:t>
      </w:r>
      <w:r w:rsidRPr="00442DE3">
        <w:tab/>
        <w:t>zdôrazňuje, že je potrebné úspešne podporovať spoluprácu a zosúladenie medzi členskými štátmi v oblasti cezhraničných a rozsiahlych dopravných projektov a zavádzania infraštruktúry s dvojakým použitím s cieľom umožniť rýchlu a účinnú rozsiahlu mobilizáciu a pohyb vojenských jednotiek, vybavenia a prostriedkov v celej EÚ;</w:t>
      </w:r>
    </w:p>
    <w:p w14:paraId="04434078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12.</w:t>
      </w:r>
      <w:r w:rsidRPr="00442DE3">
        <w:tab/>
        <w:t xml:space="preserve">opakuje, že iniciatívy a financovanie vojenskej mobility by nemali brániť celkovému vykonávaniu opatrení týkajúcich sa dokončenia inteligentnej, odolnej, </w:t>
      </w:r>
      <w:proofErr w:type="spellStart"/>
      <w:r w:rsidRPr="00442DE3">
        <w:t>interoperabilnej</w:t>
      </w:r>
      <w:proofErr w:type="spellEnd"/>
      <w:r w:rsidRPr="00442DE3">
        <w:t>, dekarbonizovanej a udržateľnej siete TEN-T; pripomína cieľ dokončiť základnú sieť TEN-T do roku 2030 vrátane zavedenia Európskeho systému riadenia železničnej dopravy (ERTMS) a rozšírenú základnú sieť do roku 2040;</w:t>
      </w:r>
    </w:p>
    <w:p w14:paraId="230CF644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13.</w:t>
      </w:r>
      <w:r w:rsidRPr="00442DE3">
        <w:tab/>
        <w:t>zdôrazňuje, že včasné dokončenie cezhraničných projektov dopravnej infraštruktúry v rámci siete TEN-T je nevyhnutným zámerom na dosiahnutie cieľov v oblasti účinného dvojakého použitia a účinnej vojenskej mobility v Európe; pripomína, že podľa pozičného dokumentu koordinátorov TEN-T z apríla 2024 celkové investície potrebné na dokončenie základnej a rozšírenej základnej siete TEN-T predstavujú 845 miliárd EUR v nasledujúcich 15 rokoch a že len v prípade projektov s najvyššou pridanou hodnotou EÚ sa zostávajúca suma, ktorá sa má investovať, odhaduje na najmenej 210 miliárd EUR;</w:t>
      </w:r>
    </w:p>
    <w:p w14:paraId="43504ACC" w14:textId="77777777" w:rsidR="00603610" w:rsidRPr="00442DE3" w:rsidRDefault="00603610" w:rsidP="00603610">
      <w:pPr>
        <w:pStyle w:val="NormalHanging12a"/>
      </w:pPr>
      <w:r w:rsidRPr="00442DE3">
        <w:lastRenderedPageBreak/>
        <w:t>14.</w:t>
      </w:r>
      <w:r w:rsidRPr="00442DE3">
        <w:tab/>
        <w:t>pripomína, že realizácia veľkých projektov dopravnej infraštruktúry, ktoré sú kľúčové pre vojenskú mobilitu, si vzhľadom na povahu opatrení, ktoré sa majú prijať, vyžaduje dlhodobé financovanie;</w:t>
      </w:r>
    </w:p>
    <w:p w14:paraId="7A524182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15.</w:t>
      </w:r>
      <w:r w:rsidRPr="00442DE3">
        <w:tab/>
        <w:t>zdôrazňuje potrebu zefektívniť a zjednodušiť v ďalšom VFR postupy na získanie finančných prostriedkov na projekty infraštruktúry s dvojakým použitím v rámci vojenskej mobility NPE;</w:t>
      </w:r>
    </w:p>
    <w:p w14:paraId="40A80A6B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16.</w:t>
      </w:r>
      <w:r w:rsidRPr="00442DE3">
        <w:tab/>
        <w:t>víta počiatočné úvery poskytované Európskou investičnou bankou (EIB) na investície do projektov infraštruktúry s dvojakým použitím v snahe zvýšiť vojenskú mobilitu; žiada, aby sa EIB trvalo podieľala na financovaní ďalších projektov a spôsobilostí v oblasti infraštruktúry s dvojakým použitím;</w:t>
      </w:r>
    </w:p>
    <w:p w14:paraId="09A47DD2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17.</w:t>
      </w:r>
      <w:r w:rsidRPr="00442DE3">
        <w:tab/>
        <w:t>nabáda na preskúmanie vytvorenia ďalších finančných mechanizmov, ako je napríklad banka pre obranu, bezpečnosť a odolnosť, s cieľom riešiť potreby financovania v oblasti bezpečnosti, obrany a odolnosti;</w:t>
      </w:r>
    </w:p>
    <w:p w14:paraId="067B97B1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18.</w:t>
      </w:r>
      <w:r w:rsidRPr="00442DE3">
        <w:tab/>
        <w:t xml:space="preserve">pripomína, že členské štáty môžu využiť maximálnu výšku finančných prostriedkov dostupných v rámci súčasného VFR vrátane nedávno zavedených opatrení na prerozdelenie zdrojov z Európskeho fondu regionálneho rozvoja a Kohézneho fondu, ako aj urýchlene presmerovať nevyužité finančné prostriedky z Mechanizmu na podporu obnovy a odolnosti na investície do obrany vrátane infraštruktúry s dvojakým použitím a mobilných prostriedkov s cieľom podporiť vojenskú mobilitu vrátane vojenskej </w:t>
      </w:r>
      <w:proofErr w:type="spellStart"/>
      <w:r w:rsidRPr="00442DE3">
        <w:t>protimobility</w:t>
      </w:r>
      <w:proofErr w:type="spellEnd"/>
      <w:r w:rsidRPr="00442DE3">
        <w:t>;</w:t>
      </w:r>
    </w:p>
    <w:p w14:paraId="4E770FD5" w14:textId="792E6F5C" w:rsidR="00603610" w:rsidRPr="00442DE3" w:rsidRDefault="00603610" w:rsidP="00603610">
      <w:pPr>
        <w:pStyle w:val="NormalHanging12a"/>
        <w:rPr>
          <w:bCs/>
          <w:iCs/>
        </w:rPr>
      </w:pPr>
      <w:r w:rsidRPr="00442DE3">
        <w:t>19.</w:t>
      </w:r>
      <w:r w:rsidRPr="00442DE3">
        <w:tab/>
        <w:t>požaduje uistenie, že osobitné rozpočty v rámci EDIP, Európskeho obranného fondu, programu SAFE a opatrení prijatých v rámci súhrnného balíka opatrení v oblasti obrannej pripravenosti a iných obranných iniciatív EÚ bude možné použiť na podporu rozširovania a modernizácie fyzickej aj digitálnej infraštruktúry s dvojakým použitím a spoločného a predvídateľného získavania spôsobilostí umožňujúcich nasadenie v oblasti obrany vrátane vojenskej mobility s cieľom posilniť skutočnú európsku obrannú úniu;</w:t>
      </w:r>
    </w:p>
    <w:p w14:paraId="48A73080" w14:textId="77777777" w:rsidR="00603610" w:rsidRPr="00442DE3" w:rsidRDefault="00603610" w:rsidP="00603610">
      <w:pPr>
        <w:pStyle w:val="Normal12a24b"/>
      </w:pPr>
      <w:r w:rsidRPr="00442DE3">
        <w:rPr>
          <w:rStyle w:val="BoldItalic"/>
        </w:rPr>
        <w:t>Odstraňovanie prekážok vojenskej mobility a prechod na tzv. vojenský schengenský priestor</w:t>
      </w:r>
    </w:p>
    <w:p w14:paraId="50FC7B56" w14:textId="77777777" w:rsidR="00603610" w:rsidRPr="00442DE3" w:rsidRDefault="00603610" w:rsidP="00603610">
      <w:pPr>
        <w:pStyle w:val="NormalHanging12a"/>
      </w:pPr>
      <w:r w:rsidRPr="00442DE3">
        <w:t>20.</w:t>
      </w:r>
      <w:r w:rsidRPr="00442DE3">
        <w:tab/>
        <w:t>opätovne vyzýva na vytvorenie tzv. vojenského schengenského priestoru a nabáda Komisiu, aby bezodkladne poskytla plán na splnenie tohto cieľa;</w:t>
      </w:r>
    </w:p>
    <w:p w14:paraId="01146E1C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21.</w:t>
      </w:r>
      <w:r w:rsidRPr="00442DE3">
        <w:tab/>
        <w:t>opätovne vyjadruje hlboké znepokojenie nad súčasným nedostatkom schopnosti reagovať a účinnosti vojenskej mobility, ktorej bráni zložitosť regulácie a procesov a nedostatočná harmonizácia, čo vedie k pomalej koordinácii a časovým stratám;</w:t>
      </w:r>
    </w:p>
    <w:p w14:paraId="07D0CFD0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22.</w:t>
      </w:r>
      <w:r w:rsidRPr="00442DE3">
        <w:tab/>
        <w:t xml:space="preserve">vyzýva Komisiu a členské štáty, aby zaviedli celospoločenský prístup k vojenskej mobilite, do ktorého by boli zapojené všetky príslušné zainteresované strany vrátane verejného, súkromného a občianskeho sektora, a to komunikáciou a vysvetľovaním, pokiaľ ide o prijaté opatrenia; </w:t>
      </w:r>
    </w:p>
    <w:p w14:paraId="70C11569" w14:textId="77777777" w:rsidR="00603610" w:rsidRPr="00442DE3" w:rsidRDefault="00603610" w:rsidP="00603610">
      <w:pPr>
        <w:pStyle w:val="NormalHanging12a"/>
      </w:pPr>
      <w:r w:rsidRPr="00442DE3">
        <w:t>23.</w:t>
      </w:r>
      <w:r w:rsidRPr="00442DE3">
        <w:tab/>
        <w:t>vyzýva Komisiu a členské štáty, aby urýchlene v plnej miere vykonali 13 záväzkov prijatých v oblasti vojenskej mobility na rok 2024 so zameraním na investície do dopravnej infraštruktúry a dopravných prostriedkov, harmonizáciu regulácie, urýchlenie povolení cezhraničného presunu a posilnenie SBOP a spolupráce medzi EÚ a NATO;</w:t>
      </w:r>
    </w:p>
    <w:p w14:paraId="3A5F40FD" w14:textId="77777777" w:rsidR="00603610" w:rsidRPr="00442DE3" w:rsidRDefault="00603610" w:rsidP="00603610">
      <w:pPr>
        <w:pStyle w:val="NormalHanging12a"/>
      </w:pPr>
      <w:r w:rsidRPr="00442DE3">
        <w:lastRenderedPageBreak/>
        <w:t>24.</w:t>
      </w:r>
      <w:r w:rsidRPr="00442DE3">
        <w:tab/>
        <w:t>naliehavo vyzýva Komisiu, aby zaujala horizontálny prístup pri navrhovaní ďalších opatrení harmonizáciou a zjednodušením predpisov a postupov s naliehavým cieľom integrovať a koordinovať prístup EÚ k odstráneniu všetkých existujúcich administratívnych, diplomatických, logistických a infraštruktúrnych prekážok vojenskej mobility;</w:t>
      </w:r>
    </w:p>
    <w:p w14:paraId="734CF210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25.</w:t>
      </w:r>
      <w:r w:rsidRPr="00442DE3">
        <w:tab/>
        <w:t xml:space="preserve">vyzýva na vytvorenie európskeho digitálneho jednotného kontaktného miesta na vydávanie povolení na cezhraničný presun vojenského materiálu vrátane kodifikovaného systému priorít a databázy zdieľanej s NATO; </w:t>
      </w:r>
    </w:p>
    <w:p w14:paraId="69EF4CF1" w14:textId="77777777" w:rsidR="00603610" w:rsidRPr="00442DE3" w:rsidRDefault="00603610" w:rsidP="00603610">
      <w:pPr>
        <w:pStyle w:val="NormalHanging12a"/>
      </w:pPr>
      <w:r w:rsidRPr="00442DE3">
        <w:t>26.</w:t>
      </w:r>
      <w:r w:rsidRPr="00442DE3">
        <w:tab/>
        <w:t>zdôrazňuje, že je potrebné zefektívniť zložité, zdĺhavé a rozdielne vnútroštátne pravidlá a postupy; trvá na tom, aby sa v nadchádzajúcom balíku opatrení v oblasti vojenskej mobility navrhli zjednodušené, harmonizované, jednotné a digitalizované postupy vo všetkých druhoch dopravy vrátane colných poplatkov, prepravy nebezpečného tovaru, neobvyklej prepravy, diplomatických povolení a používania rovnakých povolení, ako sú ponuky/kredity na cezhraničný presun a dokumentácia súvisiaca s formulárom EÚ/NATO 302, ktoré by mali uznávať a používať všetky členské štáty; ďalej vyzýva na vytvorenie vojenského colného systému s cieľom digitalizovať colné formality a znížiť administratívnu záťaž a náklady v súvislosti s existujúcimi projektmi EÚ, ako je bezpečný digitálny systém vojenskej mobility;</w:t>
      </w:r>
    </w:p>
    <w:p w14:paraId="1C67A094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27.</w:t>
      </w:r>
      <w:r w:rsidRPr="00442DE3">
        <w:tab/>
        <w:t xml:space="preserve">zdôrazňuje, že je dôležité odstrániť administratívne a </w:t>
      </w:r>
      <w:proofErr w:type="spellStart"/>
      <w:r w:rsidRPr="00442DE3">
        <w:t>infraštrukturálne</w:t>
      </w:r>
      <w:proofErr w:type="spellEnd"/>
      <w:r w:rsidRPr="00442DE3">
        <w:t xml:space="preserve"> prekážky, ktorým čelia spoločnosti prevádzkujúce neobvyklú cestnú prepravu vojenského vybavenia a žeriavov pre projekty kritickej infraštruktúry; vyzýva preto na ďalšiu harmonizáciu pravidiel týkajúcich sa neobvyklej cestnej prepravy v rámci prebiehajúcej revízie smernice o hmotnostiach a rozmeroch; </w:t>
      </w:r>
    </w:p>
    <w:p w14:paraId="4E881E3D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28.</w:t>
      </w:r>
      <w:r w:rsidRPr="00442DE3">
        <w:tab/>
        <w:t>zdôrazňuje, že poskytnutie poistného krytia vojnových rizík pre poskytovateľov logistických služieb s vysokým rizikom môže slúžiť ako stimul pre spoločnosti, pretože prispieva k zmierneniu prevádzkových rizík;</w:t>
      </w:r>
    </w:p>
    <w:p w14:paraId="56FCE725" w14:textId="77777777" w:rsidR="00603610" w:rsidRPr="00442DE3" w:rsidRDefault="00603610" w:rsidP="00603610">
      <w:pPr>
        <w:pStyle w:val="NormalHanging12a"/>
      </w:pPr>
      <w:r w:rsidRPr="00442DE3">
        <w:t>29.</w:t>
      </w:r>
      <w:r w:rsidRPr="00442DE3">
        <w:tab/>
        <w:t xml:space="preserve">zdôrazňuje, že harmonizácia postupov a účinná </w:t>
      </w:r>
      <w:proofErr w:type="spellStart"/>
      <w:r w:rsidRPr="00442DE3">
        <w:t>interoperabilita</w:t>
      </w:r>
      <w:proofErr w:type="spellEnd"/>
      <w:r w:rsidRPr="00442DE3">
        <w:t xml:space="preserve"> posilnia vzájomnú dôveru medzi členskými štátmi a prehĺbia cezhraničnú prepojenosť;</w:t>
      </w:r>
    </w:p>
    <w:p w14:paraId="3F3C603E" w14:textId="77777777" w:rsidR="00603610" w:rsidRPr="00442DE3" w:rsidRDefault="00603610" w:rsidP="00603610">
      <w:pPr>
        <w:pStyle w:val="NormalHanging12a"/>
      </w:pPr>
      <w:r w:rsidRPr="00442DE3">
        <w:t>30.</w:t>
      </w:r>
      <w:r w:rsidRPr="00442DE3">
        <w:tab/>
        <w:t>víta cieľ zjednodušiť právne a administratívne rámce, ako sa navrhuje v súhrnnom balíku opatrení v oblasti obrannej pripravenosti a v nadchádzajúcom spoločnom oznámení o vojenskej mobilite do roku 2025, a vyzýva na urýchlené nadobudnutie jeho účinnosti a vykonávanie;</w:t>
      </w:r>
    </w:p>
    <w:p w14:paraId="0A44F049" w14:textId="77777777" w:rsidR="00603610" w:rsidRPr="00442DE3" w:rsidRDefault="00603610" w:rsidP="00603610">
      <w:pPr>
        <w:pStyle w:val="NormalHanging12a"/>
        <w:spacing w:before="360"/>
        <w:rPr>
          <w:b/>
          <w:i/>
        </w:rPr>
      </w:pPr>
      <w:r w:rsidRPr="00442DE3">
        <w:rPr>
          <w:b/>
          <w:i/>
        </w:rPr>
        <w:t>Krízový rámec</w:t>
      </w:r>
    </w:p>
    <w:p w14:paraId="11C2D81F" w14:textId="77777777" w:rsidR="00603610" w:rsidRPr="00442DE3" w:rsidRDefault="00603610" w:rsidP="00603610">
      <w:pPr>
        <w:pStyle w:val="NormalHanging12a"/>
      </w:pPr>
      <w:r w:rsidRPr="00442DE3">
        <w:t>31.</w:t>
      </w:r>
      <w:r w:rsidRPr="00442DE3">
        <w:tab/>
        <w:t xml:space="preserve">naliehavo vyzýva Komisiu, aby predložila právny a operačný rámec na riešenie „krízových situácií“, v ktorom sa jasne rozlišuje aspoň medzi troma „fázami“, ako je „čas mieru“, „kríza“ a „čas vojny“ a ktorý bude zahŕňať pravidlá pre každú fázu s cieľom zabezpečiť </w:t>
      </w:r>
      <w:proofErr w:type="spellStart"/>
      <w:r w:rsidRPr="00442DE3">
        <w:t>interoperabilitu</w:t>
      </w:r>
      <w:proofErr w:type="spellEnd"/>
      <w:r w:rsidRPr="00442DE3">
        <w:t xml:space="preserve"> a prioritný prístup ozbrojených síl k dopravným zariadeniam, sieťam a prostriedkom, ako aj zjednodušený presun vojenského personálu a vybavenia cez vojenské koridory a medzi nimi; žiada, aby tento rámec poskytoval jasné vymedzenia „núdzových situácií“ a „núdzových riešení“ s cieľom zaručiť kontinuitu vojenskej dopravy v prípade narušenia, ako aj usmernenia pre členské štáty pri poverovaní rôznych poskytovateľov bezpečnosti dohľadom nad kritickou infraštruktúrou a jej ochranou;</w:t>
      </w:r>
    </w:p>
    <w:p w14:paraId="7AE9C831" w14:textId="77777777" w:rsidR="00603610" w:rsidRPr="00442DE3" w:rsidRDefault="00603610" w:rsidP="00603610">
      <w:pPr>
        <w:pStyle w:val="NormalHanging12a"/>
      </w:pPr>
      <w:r w:rsidRPr="00442DE3">
        <w:lastRenderedPageBreak/>
        <w:t>32.</w:t>
      </w:r>
      <w:r w:rsidRPr="00442DE3">
        <w:tab/>
        <w:t>očakáva, že v nadchádzajúcom právnom rámci bude vytvorený systém účinnej a jasnej komunikácie a koordinácie medzi vojenskými a civilnými orgánmi vrátane NATO, a to aj s cieľom vymieňať si na základe potreby poznať informácie s manažérmi infraštruktúry a prevádzkovateľmi dopravy kvalifikovanými na poskytovanie vojenských logistických služieb v záujme podpory odolnosti naprieč sieťami v každej fáze; konštatuje najmä nedostatočnú spoluprácu a obmedzenú komunikáciu medzi prístavnými orgánmi a vojenskými alebo príslušnými aktérmi v oblasti budovania obrany; chápe citlivosť postupov výmeny informácií, najmä s orgánmi v európskych prístavoch v zahraničnom vlastníctve; zdôrazňuje však, že je potrebný spoľahlivý a bezpečný kanál na výmenu konkrétnych informácií;</w:t>
      </w:r>
    </w:p>
    <w:p w14:paraId="75B20312" w14:textId="77777777" w:rsidR="00603610" w:rsidRPr="00442DE3" w:rsidRDefault="00603610" w:rsidP="00603610">
      <w:pPr>
        <w:pStyle w:val="NormalHanging12a"/>
      </w:pPr>
      <w:r w:rsidRPr="00442DE3">
        <w:t>33.</w:t>
      </w:r>
      <w:r w:rsidRPr="00442DE3">
        <w:tab/>
        <w:t>zdôrazňuje potrebu vytvorenia stáleho rozhodovacieho mechanizmu, ktorý hlavám štátov a predsedom vlád umožní prijímať okamžité opatrenia vo fázach „krízy“ a „vojny“;</w:t>
      </w:r>
    </w:p>
    <w:p w14:paraId="492CD2BC" w14:textId="77777777" w:rsidR="00603610" w:rsidRPr="00442DE3" w:rsidRDefault="00603610" w:rsidP="00603610">
      <w:pPr>
        <w:pStyle w:val="NormalHanging12a"/>
      </w:pPr>
      <w:r w:rsidRPr="00442DE3">
        <w:t>34.</w:t>
      </w:r>
      <w:r w:rsidRPr="00442DE3">
        <w:tab/>
        <w:t xml:space="preserve">vyzýva Komisiu, aby zriadila pracovnú skupinu pre vojenskú mobilitu, v ktorej budú zástupcovia všetkých príslušných orgánov EÚ, s cieľom zefektívniť prípravu, vykonávanie a monitorovanie všetkých iniciatív týkajúcich sa vojenskej mobility horizontálnym spôsobom, a zároveň vyzýva na určenie národných kontaktných miest s cieľom zlepšiť celkové riadenie a koordináciu vojenskej mobility; </w:t>
      </w:r>
    </w:p>
    <w:p w14:paraId="579D4040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35.</w:t>
      </w:r>
      <w:r w:rsidRPr="00442DE3">
        <w:tab/>
        <w:t>naliehavo vyzýva Komisiu, aby zohľadnila všetky odporúčania Európskeho dvora audítorov týkajúce sa riadenia v rámci všetkých budúcich iniciatív v oblasti vojenskej mobility;</w:t>
      </w:r>
    </w:p>
    <w:p w14:paraId="46B6BBCE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36.</w:t>
      </w:r>
      <w:r w:rsidRPr="00442DE3">
        <w:tab/>
        <w:t xml:space="preserve">uznáva kľúčovú úlohu pracovníkov v doprave vo vojenskej mobilite a pri uľahčovaní dodávateľských reťazcov; vyzýva Komisiu a členské štáty, aby riešili nedostatok pracovnej sily, investovali do pracovnej sily v doprave a zlepšovali pracovné podmienky a možnosti odbornej prípravy s cieľom vybaviť pracovníkov zručnosťami potrebnými na vojenskú mobilitu a zvýšiť atraktívnosť tohto odvetvia; </w:t>
      </w:r>
    </w:p>
    <w:p w14:paraId="6B4F9E88" w14:textId="77777777" w:rsidR="00603610" w:rsidRPr="00442DE3" w:rsidRDefault="00603610" w:rsidP="00603610">
      <w:pPr>
        <w:pStyle w:val="Normal12a24b"/>
      </w:pPr>
      <w:r w:rsidRPr="00442DE3">
        <w:rPr>
          <w:rStyle w:val="BoldItalic"/>
        </w:rPr>
        <w:t xml:space="preserve">Zlepšovanie </w:t>
      </w:r>
      <w:r w:rsidRPr="00442DE3">
        <w:rPr>
          <w:b/>
          <w:i/>
        </w:rPr>
        <w:t>a budovanie novej</w:t>
      </w:r>
      <w:r w:rsidRPr="00442DE3">
        <w:rPr>
          <w:rStyle w:val="BoldItalic"/>
        </w:rPr>
        <w:t xml:space="preserve"> infraštruktúry s dvojakým použitím</w:t>
      </w:r>
    </w:p>
    <w:p w14:paraId="6881B94C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37.</w:t>
      </w:r>
      <w:r w:rsidRPr="00442DE3">
        <w:tab/>
        <w:t xml:space="preserve">víta skutočnosť, že Rada prijala štyri prioritné koridory vojenskej mobility v EÚ pre narýchlo oznámený rozsiahly presun, ktoré boli vytvorené v spolupráci s NATO, a prebiehajúcu identifikáciu 500 </w:t>
      </w:r>
      <w:proofErr w:type="spellStart"/>
      <w:r w:rsidRPr="00442DE3">
        <w:t>hotspotov</w:t>
      </w:r>
      <w:proofErr w:type="spellEnd"/>
      <w:r w:rsidRPr="00442DE3">
        <w:t>, ktoré treba urýchlene modernizovať; zdôrazňuje, že viac než 94 % týchto koridorov je súčasťou siete TEN-T, čo poukazuje na silné synergie medzi civilnou a vojenskou infraštruktúrou; žiada presné zhodnotenie finančných potrieb na dokončenie týchto koridorov vojenskej mobility;</w:t>
      </w:r>
    </w:p>
    <w:p w14:paraId="53AE760B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38.</w:t>
      </w:r>
      <w:r w:rsidRPr="00442DE3">
        <w:tab/>
        <w:t xml:space="preserve">zdôrazňuje potrebu urýchliť rozvoj dopravnej infraštruktúry a posilniť fyzickú aj kybernetickú ochranu jej kritických zložiek pozdĺž štyroch prioritných koridorov vojenskej mobility; </w:t>
      </w:r>
    </w:p>
    <w:p w14:paraId="66F3713D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39.</w:t>
      </w:r>
      <w:r w:rsidRPr="00442DE3">
        <w:tab/>
        <w:t xml:space="preserve">zdôrazňuje, že najslabšie články a úzke miesta majú reťazový efekt na fungovanie a efektívnu kontinuitu celých koridorov a dopravnej siete ako celku; vyzýva preto Komisiu a členské štáty, aby vyčlenili primerané zdroje na zabezpečenie dobre prepojenej siete vojenskej mobility vrátane zlepšenia údržby, modernizácie a </w:t>
      </w:r>
      <w:proofErr w:type="spellStart"/>
      <w:r w:rsidRPr="00442DE3">
        <w:t>interoperability</w:t>
      </w:r>
      <w:proofErr w:type="spellEnd"/>
      <w:r w:rsidRPr="00442DE3">
        <w:t xml:space="preserve"> existujúcej infraštruktúry; </w:t>
      </w:r>
    </w:p>
    <w:p w14:paraId="244C2AEC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lastRenderedPageBreak/>
        <w:t>40.</w:t>
      </w:r>
      <w:r w:rsidRPr="00442DE3">
        <w:tab/>
        <w:t>vyzýva Komisiu a členské štáty, aby posúdili potrebu vymenovať pre každý prioritný koridor vojenskej mobility s cieľom uľahčiť jeho realizáciu osobitného európskeho koordinátora, ktorý by bol členom pracovnej skupiny pre vojenskú mobilitu;</w:t>
      </w:r>
    </w:p>
    <w:p w14:paraId="19175995" w14:textId="77777777" w:rsidR="00603610" w:rsidRPr="00442DE3" w:rsidRDefault="00603610" w:rsidP="00603610">
      <w:pPr>
        <w:pStyle w:val="NormalHanging12a"/>
      </w:pPr>
      <w:r w:rsidRPr="00442DE3">
        <w:t>41.</w:t>
      </w:r>
      <w:r w:rsidRPr="00442DE3">
        <w:tab/>
        <w:t xml:space="preserve">pripomína, že dôležitou súčasťou vojenskej mobility je aj infraštruktúra </w:t>
      </w:r>
      <w:proofErr w:type="spellStart"/>
      <w:r w:rsidRPr="00442DE3">
        <w:t>protimobility</w:t>
      </w:r>
      <w:proofErr w:type="spellEnd"/>
      <w:r w:rsidRPr="00442DE3">
        <w:t xml:space="preserve"> vrátane prekážok s dvojakým použitím, opevnení a systémov rýchleho nasadenia na posilnenie obrany hraníc a územia; vyzýva Komisiu a členské štáty, aby dôkladne a koordinovane plánovali a pripravovali infraštruktúru </w:t>
      </w:r>
      <w:proofErr w:type="spellStart"/>
      <w:r w:rsidRPr="00442DE3">
        <w:t>protimobility</w:t>
      </w:r>
      <w:proofErr w:type="spellEnd"/>
      <w:r w:rsidRPr="00442DE3">
        <w:t xml:space="preserve"> v štyroch prioritných koridoroch vojenskej mobility, pričom prioritou by mal byť východný a severný koridor;</w:t>
      </w:r>
    </w:p>
    <w:p w14:paraId="2FD4654C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42.</w:t>
      </w:r>
      <w:r w:rsidRPr="00442DE3">
        <w:tab/>
        <w:t>pripomína, že železnice sú chrbtovou kosťou systému pozemnej mobility na presun veľkého množstva nadrozmerných, ťažkých a nebezpečných vojenských prostriedkov; trvá na tom, že prioritou by mali byť okamžité a krátkodobé riešenia, ako napríklad odstránenie administratívnej záťaže pre vojenský personál pri cezhraničnom pohybe; vyzýva Komisiu, aby zabezpečila väčšie budovanie kapacít, najmä v dopravných uzloch a kľúčových oblastiach v súlade so štyrmi prioritnými koridormi vojenskej mobility;</w:t>
      </w:r>
    </w:p>
    <w:p w14:paraId="023EE8FC" w14:textId="77777777" w:rsidR="00603610" w:rsidRPr="00442DE3" w:rsidRDefault="00603610" w:rsidP="00603610">
      <w:pPr>
        <w:pStyle w:val="NormalHanging12a"/>
      </w:pPr>
      <w:r w:rsidRPr="00442DE3">
        <w:t>43.</w:t>
      </w:r>
      <w:r w:rsidRPr="00442DE3">
        <w:tab/>
        <w:t xml:space="preserve">zdôrazňuje kľúčovú úlohu, ktorú zohráva železničná </w:t>
      </w:r>
      <w:proofErr w:type="spellStart"/>
      <w:r w:rsidRPr="00442DE3">
        <w:t>interoperabilita</w:t>
      </w:r>
      <w:proofErr w:type="spellEnd"/>
      <w:r w:rsidRPr="00442DE3">
        <w:t xml:space="preserve"> pri zabezpečovaní plynulej prevádzky vo všetkých členských štátoch; vyjadruje hlboké znepokojenie nad pretrvávajúcim nedostatkom </w:t>
      </w:r>
      <w:proofErr w:type="spellStart"/>
      <w:r w:rsidRPr="00442DE3">
        <w:t>interoperability</w:t>
      </w:r>
      <w:proofErr w:type="spellEnd"/>
      <w:r w:rsidRPr="00442DE3">
        <w:t xml:space="preserve"> železníc spôsobeným rozdielmi v rozchodoch koľají v rámci EÚ, ako sú rozchody v pobaltských štátoch, vo Fínsku a na Pyrenejskom polostrove, ktorý ovplyvňuje cezhraničný pohyb jednotiek, vybavenia a prostriedkov, v dôsledku čoho je cestná preprava nevyhnutná; žiada Komisiu, aby sa naďalej zaoberala rôznymi prekážkami plynulej železničnej prevádzky v celej EÚ, okrem iného pomalým zavádzaním ERTMS a digitálneho automatického spriahania (DAC) a rozdielmi v rozchodoch koľají; pripomína požiadavku nariadenia o TEN-T, aby dotknuté členské štáty do júla 2026 predložili svoje plány na prechod svojich sietí na európsky štandardný menovitý rozchod koľaje; v tejto súvislosti víta projekt </w:t>
      </w:r>
      <w:proofErr w:type="spellStart"/>
      <w:r w:rsidRPr="00442DE3">
        <w:t>Rail</w:t>
      </w:r>
      <w:proofErr w:type="spellEnd"/>
      <w:r w:rsidRPr="00442DE3">
        <w:t xml:space="preserve"> </w:t>
      </w:r>
      <w:proofErr w:type="spellStart"/>
      <w:r w:rsidRPr="00442DE3">
        <w:t>Baltica</w:t>
      </w:r>
      <w:proofErr w:type="spellEnd"/>
      <w:r w:rsidRPr="00442DE3">
        <w:t xml:space="preserve">, ktorého cieľom je pripojiť pobaltské štáty k železničnej sieti EÚ prispôsobením ich rozchodu koľají; považuje tento projekt za strategický pre civilnú aj vojenskú mobilitu, keďže poskytuje </w:t>
      </w:r>
      <w:proofErr w:type="spellStart"/>
      <w:r w:rsidRPr="00442DE3">
        <w:t>interoperabilné</w:t>
      </w:r>
      <w:proofErr w:type="spellEnd"/>
      <w:r w:rsidRPr="00442DE3">
        <w:t xml:space="preserve">, udržateľné a vysokokapacitné železničné spojenia na východnom krídle EÚ; </w:t>
      </w:r>
    </w:p>
    <w:p w14:paraId="427CACE4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44.</w:t>
      </w:r>
      <w:r w:rsidRPr="00442DE3">
        <w:tab/>
        <w:t xml:space="preserve">konštatuje, že digitálne technológie, ktoré sú dôležité pre zvýšenie kapacity civilných železníc, ako napríklad ERTMS a DAC, sú dôležité aj pre vojenskú mobilitu a treba ich zlepšovať; upozorňuje, že ERTMS bol vyvinutý v inom </w:t>
      </w:r>
      <w:proofErr w:type="spellStart"/>
      <w:r w:rsidRPr="00442DE3">
        <w:t>geostrategickom</w:t>
      </w:r>
      <w:proofErr w:type="spellEnd"/>
      <w:r w:rsidRPr="00442DE3">
        <w:t xml:space="preserve"> kontexte, a žiada posúdenie jeho spoľahlivosti a odolnosti z hľadiska kybernetickej bezpečnosti; zdôrazňuje, že vzhľadom na jeho závislosť od rádiovej technológie by akákoľvek nedostupnosť siete v dôsledku rušenia alebo iných faktorov viedla k okamžitému zastaveniu železničnej dopravy; požaduje hodnotenie podobného charakteru v rámci vývoja budúceho železničného mobilného komunikačného systému (FRMCS); </w:t>
      </w:r>
    </w:p>
    <w:p w14:paraId="44017A27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45.</w:t>
      </w:r>
      <w:r w:rsidRPr="00442DE3">
        <w:tab/>
        <w:t xml:space="preserve">poznamenáva, že cestné a železničné spojenia so sieťami prístavov a nákladných terminálov sú často kľúčom k uľahčeniu „posledného úseku“ presunov vojenského vybavenia do požadovaných oblastí a ako také zohrávajú neoddeliteľnú úlohu pre úspech vojenskej mobility; pripomína, že všetky strategické body cestnej dopravy, ako sú parkoviská, čerpacie stanice a </w:t>
      </w:r>
      <w:proofErr w:type="spellStart"/>
      <w:r w:rsidRPr="00442DE3">
        <w:t>autoumyvárne</w:t>
      </w:r>
      <w:proofErr w:type="spellEnd"/>
      <w:r w:rsidRPr="00442DE3">
        <w:t xml:space="preserve">, by sa mali urýchlene zmodernizovať, aby v čase núdze mohli pojať veľký počet jednotiek vojenskej prepravy a personálu; vyzýva preto, aby investície do kľúčovej cestnej infraštruktúry pozdĺž štyroch </w:t>
      </w:r>
      <w:r w:rsidRPr="00442DE3">
        <w:lastRenderedPageBreak/>
        <w:t xml:space="preserve">prioritných koridorov vojenskej mobility patrili medzi priority, aby sa tak čo najefektívnejšie uľahčila vojenská mobilita; </w:t>
      </w:r>
    </w:p>
    <w:p w14:paraId="07B7F40D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46.</w:t>
      </w:r>
      <w:r w:rsidRPr="00442DE3">
        <w:tab/>
        <w:t xml:space="preserve">požaduje harmonizovaný európsky rámec uľahčujúci pohyb vojenských konvojov prevádzkovaných oprávnenými civilnými poskytovateľmi, ako sú poskytovatelia služieb cestnej prepravy neobvyklého nákladu, špecializovaných žeriavov a ťažkého vybavenia, cez štyri prioritné koridory vojenskej mobility pri súčasnom zaistení civilnej bezpečnosti; </w:t>
      </w:r>
    </w:p>
    <w:p w14:paraId="371A4DF2" w14:textId="77777777" w:rsidR="00603610" w:rsidRPr="00442DE3" w:rsidRDefault="00603610" w:rsidP="00603610">
      <w:pPr>
        <w:pStyle w:val="NormalHanging12a"/>
      </w:pPr>
      <w:r w:rsidRPr="00442DE3">
        <w:t>47.</w:t>
      </w:r>
      <w:r w:rsidRPr="00442DE3">
        <w:tab/>
        <w:t xml:space="preserve">zdôrazňuje, že prístavy zohrávajú strategickú úlohu ako kritické uzly v sieti vojenskej mobility, slúžia ako vstupné a výstupné body pre rozsiahle vojenské nasadenie a umožňujú integráciu dopravy medzi morom a pevninou, najmä pre transatlantickú spoluprácu, ako aj pre odolnosť strategických hospodárskych záujmov Únie; konštatuje, že námorná infraštruktúra trpí štrukturálnymi nedostatkami, pričom mnohé terminály EÚ nie sú určené na manipuláciu s vojenským nákladom; zdôrazňuje, že je potrebné zabezpečiť dostatočnú kapacitu pre vojenské dodávky a vypracovať v prípade potreby plány pre prípad nepredvídaných udalostí na presmerovanie civilného nákladu; </w:t>
      </w:r>
    </w:p>
    <w:p w14:paraId="072D11BD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48.</w:t>
      </w:r>
      <w:r w:rsidRPr="00442DE3">
        <w:tab/>
        <w:t xml:space="preserve">zdôrazňuje, že vlastníctvo a kontrola určitej kritickej námornej infraštruktúry si vyžaduje okamžité opatrenia a prísnejšie pravidlá, ako sa zdôrazňuje v bielej knihe o európskej obrannej pripravenosti 2030; </w:t>
      </w:r>
    </w:p>
    <w:p w14:paraId="670E2473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49.</w:t>
      </w:r>
      <w:r w:rsidRPr="00442DE3">
        <w:tab/>
        <w:t xml:space="preserve">vyzýva na investície do prístavnej infraštruktúry a na zmenu požiadaviek týkajúcich sa prístupu k finančným nástrojom, a to tak pre námorné, ako aj vnútrozemské vodné prístavy, s cieľom posilniť ich integráciu v rámci koridorov TEN-T a posilniť politiky EÚ v oblasti energetickej bezpečnosti; naliehavo vyzýva Komisiu, aby vytvorila a realizovala stratégie, ktoré posilnia spôsobilosti a budovanie kapacít prístavov; zdôrazňuje povrchový aj podpovrchový rozmer námornej oblasti, vyzýva na začlenenie lodí </w:t>
      </w:r>
      <w:proofErr w:type="spellStart"/>
      <w:r w:rsidRPr="00442DE3">
        <w:t>ro-ro</w:t>
      </w:r>
      <w:proofErr w:type="spellEnd"/>
      <w:r w:rsidRPr="00442DE3">
        <w:t xml:space="preserve"> (</w:t>
      </w:r>
      <w:proofErr w:type="spellStart"/>
      <w:r w:rsidRPr="00442DE3">
        <w:t>Roll</w:t>
      </w:r>
      <w:proofErr w:type="spellEnd"/>
      <w:r w:rsidRPr="00442DE3">
        <w:t>-On/</w:t>
      </w:r>
      <w:proofErr w:type="spellStart"/>
      <w:r w:rsidRPr="00442DE3">
        <w:t>Roll-Off</w:t>
      </w:r>
      <w:proofErr w:type="spellEnd"/>
      <w:r w:rsidRPr="00442DE3">
        <w:t xml:space="preserve">) a </w:t>
      </w:r>
      <w:proofErr w:type="spellStart"/>
      <w:r w:rsidRPr="00442DE3">
        <w:t>ro-pax</w:t>
      </w:r>
      <w:proofErr w:type="spellEnd"/>
      <w:r w:rsidRPr="00442DE3">
        <w:t xml:space="preserve"> (</w:t>
      </w:r>
      <w:proofErr w:type="spellStart"/>
      <w:r w:rsidRPr="00442DE3">
        <w:t>Roll</w:t>
      </w:r>
      <w:proofErr w:type="spellEnd"/>
      <w:r w:rsidRPr="00442DE3">
        <w:t>-On/</w:t>
      </w:r>
      <w:proofErr w:type="spellStart"/>
      <w:r w:rsidRPr="00442DE3">
        <w:t>Roll-Off</w:t>
      </w:r>
      <w:proofErr w:type="spellEnd"/>
      <w:r w:rsidRPr="00442DE3">
        <w:t xml:space="preserve"> </w:t>
      </w:r>
      <w:proofErr w:type="spellStart"/>
      <w:r w:rsidRPr="00442DE3">
        <w:t>Passenger</w:t>
      </w:r>
      <w:proofErr w:type="spellEnd"/>
      <w:r w:rsidRPr="00442DE3">
        <w:t xml:space="preserve">) ako mobilných prostriedkov s dvojakým použitím do rozsahu pôsobnosti stratégie vojenskej mobility EÚ; </w:t>
      </w:r>
    </w:p>
    <w:p w14:paraId="249930BD" w14:textId="77777777" w:rsidR="00603610" w:rsidRPr="00442DE3" w:rsidRDefault="00603610" w:rsidP="00603610">
      <w:pPr>
        <w:pStyle w:val="NormalHanging12a"/>
      </w:pPr>
      <w:r w:rsidRPr="00442DE3">
        <w:t>50.</w:t>
      </w:r>
      <w:r w:rsidRPr="00442DE3">
        <w:tab/>
        <w:t xml:space="preserve">poznamenáva, že vnútrozemské vodné cesty sú tiež dôležitým prvkom vojenskej mobility, pretože ponúkajú bezproblémové a udržateľné prostriedky prepravy s dvojakým použitím, a to vďaka svojej dostupnej kapacite, doplnkovosti viacerých druhov dopravy a menšej zraniteľnosti voči oportunistickým spravodajským informáciám; berie na vedomie existujúcu kapacitu vodnej siete na prepravu nadrozmerných vojenských prostriedkov, nebezpečného tovaru a pohonných hmôt pre pravidelné zásobovanie, ako aj na poskytovanie záložných riešení ako súčasti plánovania pre prípad nepredvídaných udalostí; navrhuje posúdiť potrebu ďalšieho rozšírenia existujúcich plavebných komôr a zvýšenia dostupnosti žeriavov a vodnej flotily; </w:t>
      </w:r>
    </w:p>
    <w:p w14:paraId="23EF77C9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51.</w:t>
      </w:r>
      <w:r w:rsidRPr="00442DE3">
        <w:tab/>
        <w:t xml:space="preserve">zdôrazňuje význam vytvorenia ďalších logistických centier a prekládkových terminálov pozdĺž štyroch prioritných koridorov vojenskej mobility; žiada, aby sa existujúce logistické centrá a komerčné prekládkové terminály relevantné pre vojenskú prepravu pozdĺž koridorov vojenskej mobility primerane prispôsobili a označili ako infraštruktúra s dvojakým použitím a aby boli vybavené účelovým vybavením, ako sú nakladacie plošiny s priamym prístupom a rampy vhodné pre vojenské prostriedky; </w:t>
      </w:r>
    </w:p>
    <w:p w14:paraId="34D32B8B" w14:textId="77777777" w:rsidR="00603610" w:rsidRPr="00442DE3" w:rsidRDefault="00603610" w:rsidP="00603610">
      <w:pPr>
        <w:pStyle w:val="NormalHanging12a"/>
      </w:pPr>
      <w:r w:rsidRPr="00442DE3">
        <w:lastRenderedPageBreak/>
        <w:t>52.</w:t>
      </w:r>
      <w:r w:rsidRPr="00442DE3">
        <w:tab/>
        <w:t xml:space="preserve">zdôrazňuje význam vytvorenia siete strategicky umiestnených logistických centier pozdĺž štyroch prioritných koridorov vojenskej mobility vrátane vnútrozemských prístavov, ktoré budú schopné poskytnúť potrebnú infraštruktúru na údržbu, skladovanie a opravy s cieľom zabezpečiť rýchle </w:t>
      </w:r>
      <w:proofErr w:type="spellStart"/>
      <w:r w:rsidRPr="00442DE3">
        <w:t>intermodálne</w:t>
      </w:r>
      <w:proofErr w:type="spellEnd"/>
      <w:r w:rsidRPr="00442DE3">
        <w:t xml:space="preserve"> presuny medzi cestnou, železničnou, námornou, vnútrozemskou vodnou a letiskovou infraštruktúrou a vojenskými zariadeniami; v tejto súvislosti zdôrazňuje, že takéto centrá by mali poskytovať potrebnú energetickú infraštruktúru s dvojakým použitím, ako sú čerpacie stanice a stanice na doplnenie energie, v záujme podpory potrieb mobility a bezpečnosti dodávok;  </w:t>
      </w:r>
    </w:p>
    <w:p w14:paraId="243A3EF3" w14:textId="77777777" w:rsidR="00603610" w:rsidRPr="00442DE3" w:rsidRDefault="00603610" w:rsidP="00603610">
      <w:pPr>
        <w:pStyle w:val="NormalHanging12a"/>
      </w:pPr>
      <w:r w:rsidRPr="00442DE3">
        <w:t>53.</w:t>
      </w:r>
      <w:r w:rsidRPr="00442DE3">
        <w:tab/>
        <w:t xml:space="preserve">zdôrazňuje, že logistické centrá by mali poskytovať priestor, kapacitu a infraštruktúru pre </w:t>
      </w:r>
      <w:proofErr w:type="spellStart"/>
      <w:r w:rsidRPr="00442DE3">
        <w:t>tranzitujúce</w:t>
      </w:r>
      <w:proofErr w:type="spellEnd"/>
      <w:r w:rsidRPr="00442DE3">
        <w:t xml:space="preserve"> jednotky, najmä pokiaľ ide o prístrešie, potraviny a dodávky paliva; </w:t>
      </w:r>
    </w:p>
    <w:p w14:paraId="698DC6BE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54.</w:t>
      </w:r>
      <w:r w:rsidRPr="00442DE3">
        <w:tab/>
        <w:t xml:space="preserve">žiada, aby sa rozvoj logistických centier podporoval aj v rámci príslušných európskych priemyselných programov s cieľom posilniť odolnosť európskej priemyselnej a technologickej základne; pripomína, že je potrebné prijať opatrenia na digitalizáciu logistických procesov s cieľom zabezpečiť odolnosť a bezpečnosť strategickej infraštruktúry; </w:t>
      </w:r>
    </w:p>
    <w:p w14:paraId="7F0E5863" w14:textId="77777777" w:rsidR="00603610" w:rsidRPr="00442DE3" w:rsidRDefault="00603610" w:rsidP="00603610">
      <w:pPr>
        <w:pStyle w:val="NormalHanging12a"/>
      </w:pPr>
      <w:r w:rsidRPr="00442DE3">
        <w:t>55.</w:t>
      </w:r>
      <w:r w:rsidRPr="00442DE3">
        <w:tab/>
        <w:t xml:space="preserve">považuje za nanajvýš dôležité rozšíriť dopravné koridory vrátane koridorov vojenskej mobility na Ukrajinu, Moldavskú republiku a západný Balkán s cieľom posilniť </w:t>
      </w:r>
      <w:proofErr w:type="spellStart"/>
      <w:r w:rsidRPr="00442DE3">
        <w:t>interoperabilitu</w:t>
      </w:r>
      <w:proofErr w:type="spellEnd"/>
      <w:r w:rsidRPr="00442DE3">
        <w:t xml:space="preserve">, zvýšiť operačnú schopnosť reagovať, prípadne podporiť partnerov v ich boji proti ruskej agresii a iným hybridným hrozbám v regióne a odrádzať od budúcej agresie na území EÚ; berie na vedomie využívanie koridorov solidarity na vojenskú mobilitu a považuje za dôležité posilniť ich s cieľom zvýšiť bezpečnosť a odolnosť Ukrajiny; </w:t>
      </w:r>
    </w:p>
    <w:p w14:paraId="6461C759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56.</w:t>
      </w:r>
      <w:r w:rsidRPr="00442DE3">
        <w:tab/>
        <w:t xml:space="preserve">zdôrazňuje, že presné, bezpečné a aktuálne digitálne modelovanie, digitálne mapy, geografické informačné systémy a služby </w:t>
      </w:r>
      <w:proofErr w:type="spellStart"/>
      <w:r w:rsidRPr="00442DE3">
        <w:t>geopriestorových</w:t>
      </w:r>
      <w:proofErr w:type="spellEnd"/>
      <w:r w:rsidRPr="00442DE3">
        <w:t xml:space="preserve"> údajov sú nevyhnutné pre plánovanie civilnej aj vojenskej infraštruktúry a trás, cezhraničnú koordináciu a rýchle nasadenie vojenských jednotiek a vybavenia; zdôrazňuje, že ochrana údajov a komunikácie počas vojenských presunov je mimoriadne dôležitá pre bezpečnosť civilného obyvateľstva a vojenského personálu, ako aj pre zachovanie schopností; zdôrazňuje, že všetky dopravné informačné služby používané na vojenské a obranné účely by mali byť riadne zabezpečené a právne chránené, aby sa zabránilo digitálnemu úniku citlivých informácií týkajúcich sa operácií vojenskej mobility a hospodárskych údajov; naliehavo vyzýva Komisiu, aby koordinovala digitálne a elektronické bezpečnostné opatrenia pozdĺž štyroch prioritných koridorov vojenskej mobility; </w:t>
      </w:r>
    </w:p>
    <w:p w14:paraId="16298511" w14:textId="77777777" w:rsidR="00603610" w:rsidRPr="00442DE3" w:rsidRDefault="00603610" w:rsidP="00603610">
      <w:pPr>
        <w:pStyle w:val="NormalHanging12a"/>
        <w:rPr>
          <w:iCs/>
        </w:rPr>
      </w:pPr>
      <w:r w:rsidRPr="00442DE3">
        <w:t>57.</w:t>
      </w:r>
      <w:r w:rsidRPr="00442DE3">
        <w:tab/>
        <w:t xml:space="preserve">zdôrazňuje, že celá Európska únia je zraniteľná voči kybernetickým útokom a digitálnym prienikom; zdôrazňuje, že digitálne systémy, ktoré riadia fyzické dopravné infraštruktúry a prostriedky, predstavujú prioritné ciele kybernetických útokov; vyzýva preto EÚ a členské štáty, aby podporovali vývoj a prijatie inovatívnych európskych suverénnych digitálnych technológií vrátane Galilea s cieľom posilniť kybernetickú bezpečnosť aj odolnosť týchto infraštruktúr a prostriedkov; v tejto súvislosti zdôrazňuje potenciál umelej inteligencie a nabáda na ďalšie úsilie v oblasti výskumu a vývoja s cieľom rozvíjať digitálne spôsobilosti novej generácie; </w:t>
      </w:r>
    </w:p>
    <w:p w14:paraId="51E28796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58.</w:t>
      </w:r>
      <w:r w:rsidRPr="00442DE3">
        <w:tab/>
        <w:t xml:space="preserve">vyjadruje vážne znepokojenie v súvislosti s nárastom ruských kybernetických útokov na navigačné systémy v regióne Baltského mora; vyzýva Komisiu, aby do pripravovaného súhrnného balíka opatrení zahrnula a v rámci neho riešila povahu námorných </w:t>
      </w:r>
      <w:r w:rsidRPr="00442DE3">
        <w:lastRenderedPageBreak/>
        <w:t xml:space="preserve">hybridných hrozieb, ako aj rušenie a </w:t>
      </w:r>
      <w:proofErr w:type="spellStart"/>
      <w:r w:rsidRPr="00442DE3">
        <w:t>spoofing</w:t>
      </w:r>
      <w:proofErr w:type="spellEnd"/>
      <w:r w:rsidRPr="00442DE3">
        <w:t xml:space="preserve"> globálnych navigačných satelitných systémov (GNSS) ako hybridný útok na európsku námornú a leteckú dopravu; </w:t>
      </w:r>
    </w:p>
    <w:p w14:paraId="7A7857FC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59.</w:t>
      </w:r>
      <w:r w:rsidRPr="00442DE3">
        <w:tab/>
        <w:t>zdôrazňuje, že je potrebné urýchliť transpozíciu a vykonávanie smernice NIS2</w:t>
      </w:r>
      <w:r w:rsidRPr="00442DE3">
        <w:rPr>
          <w:bCs/>
          <w:iCs/>
          <w:vertAlign w:val="superscript"/>
        </w:rPr>
        <w:footnoteReference w:id="14"/>
      </w:r>
      <w:r w:rsidRPr="00442DE3">
        <w:t xml:space="preserve"> a posilniť spoluprácu medzi odvetvovými orgánmi dopravy, príslušnými agentúrami pre kybernetickú bezpečnosť, jednotkami pre riešenie počítačových bezpečnostných incidentov (CSIRT) a Európskou sieťou styčných organizácií pre kybernetické krízy (EU-</w:t>
      </w:r>
      <w:proofErr w:type="spellStart"/>
      <w:r w:rsidRPr="00442DE3">
        <w:t>CyCLONe</w:t>
      </w:r>
      <w:proofErr w:type="spellEnd"/>
      <w:r w:rsidRPr="00442DE3">
        <w:t xml:space="preserve">); zdôrazňuje, že je dôležité zahrnúť do posúdení </w:t>
      </w:r>
      <w:proofErr w:type="spellStart"/>
      <w:r w:rsidRPr="00442DE3">
        <w:t>kybernetickobezpečnostných</w:t>
      </w:r>
      <w:proofErr w:type="spellEnd"/>
      <w:r w:rsidRPr="00442DE3">
        <w:t xml:space="preserve"> rizík na úrovni EÚ a na vnútroštátnej úrovni konkrétne opatrenia na riešenie aspektov vojenskej mobility;</w:t>
      </w:r>
    </w:p>
    <w:p w14:paraId="75D45E39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60.</w:t>
      </w:r>
      <w:r w:rsidRPr="00442DE3">
        <w:tab/>
        <w:t xml:space="preserve">zdôrazňuje význam ochrany a zlepšenia odolnosti kritickej dopravnej infraštruktúry vrátane ochrany pred kybernetickými útokmi a hybridnými hrozbami, ktoré ohrozujú civilnú leteckú, námornú a pozemnú dopravu; pripomína, že kritická infraštruktúra v oblasti energetiky a komunikácií (vzdušná, povrchová a podmorská alebo podvodná vrátane GNSS) takisto priamo ovplyvňuje úspech činností vojenskej mobility;  </w:t>
      </w:r>
    </w:p>
    <w:p w14:paraId="6F2F9E53" w14:textId="77777777" w:rsidR="00603610" w:rsidRPr="00442DE3" w:rsidRDefault="00603610" w:rsidP="00603610">
      <w:pPr>
        <w:pStyle w:val="NormalHanging12a"/>
      </w:pPr>
      <w:r w:rsidRPr="00442DE3">
        <w:t>61.</w:t>
      </w:r>
      <w:r w:rsidRPr="00442DE3">
        <w:tab/>
        <w:t xml:space="preserve">žiada, aby bol v úzkej spolupráci s NATO vytvorený európsky mechanizmus monitorovania a zaisťovania rýchlej reakcie v prípade kybernetických alebo hybridných útokov na kritickú dopravnú, energetickú a komunikačnú infraštruktúru; </w:t>
      </w:r>
    </w:p>
    <w:p w14:paraId="10D9CC78" w14:textId="77777777" w:rsidR="00603610" w:rsidRPr="00442DE3" w:rsidRDefault="00603610" w:rsidP="00603610">
      <w:pPr>
        <w:pStyle w:val="NormalHanging12a"/>
      </w:pPr>
      <w:r w:rsidRPr="00442DE3">
        <w:t>62.</w:t>
      </w:r>
      <w:r w:rsidRPr="00442DE3">
        <w:tab/>
        <w:t>žiada Komisiu, aby urýchlene prijala opatrenia na zjednodušenie a zrýchlenie postupov v prípade investícií slúžiacich na účely vojenskej mobility, najmä aby zaviedla cielené výnimky zo súčasných pravidiel verejného obstarávania týkajúce sa infraštruktúry vojenskej mobility a prostriedkov s významnou vojenskou zložkou alebo zložkou s dvojakým použitím; zdôrazňuje, že projekty strategického európskeho záujmu sa musia realizovať bez nadmerných oneskorení, pričom sa musí zabezpečiť transparentnosť, spravodlivá hospodárska súťaž a právo na riadny proces;</w:t>
      </w:r>
    </w:p>
    <w:p w14:paraId="0E85C3E1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63.</w:t>
      </w:r>
      <w:r w:rsidRPr="00442DE3">
        <w:tab/>
        <w:t xml:space="preserve">berie na vedomie význam verejno-súkromných partnerstiev pre vojenskú mobilitu; nabáda EÚ a členské štáty, aby uľahčili a stimulovali civilno-vojenskú spoluprácu v súvislosti s vojenskou mobilitou; zdôrazňuje význam predvídateľnosti, pokiaľ ide o dopyt po schopnostiach vojenskej mobility, v kombinácii s dostatočným financovaním a so zjednodušenými pravidlami obstarávania, čo by dodávateľskému priemyslu umožnilo zvýšiť a udržať úroveň výroby; </w:t>
      </w:r>
    </w:p>
    <w:p w14:paraId="3CB84FA0" w14:textId="77777777" w:rsidR="00603610" w:rsidRPr="00442DE3" w:rsidRDefault="00603610" w:rsidP="00603610">
      <w:pPr>
        <w:pStyle w:val="NormalHanging12a"/>
      </w:pPr>
      <w:bookmarkStart w:id="7" w:name="_Hlk213407983"/>
      <w:r w:rsidRPr="00442DE3">
        <w:t>64.</w:t>
      </w:r>
      <w:r w:rsidRPr="00442DE3">
        <w:tab/>
        <w:t>domnieva sa, že zásada európskej preferencie by mala byť prioritou v úsilí EÚ o posilnenie jej strategickej autonómie a odolnosti, pričom uznáva slobodu členských štátov budovať svoje vojenské kapacity s cieľom reagovať na hrozby v krátkodobom horizonte; pripomína, že táto zásada by sa mala uplatňovať s cieľom zabezpečiť, aby finančné prostriedky EÚ investované do obrany a bezpečnosti prostredníctvom programov, ako sú SAFE, EDIP a EDIRPA, najmä do technológií súvisiacich s kritickou infraštruktúrou s dvojakým použitím, podporovali EDTIB;</w:t>
      </w:r>
      <w:bookmarkEnd w:id="7"/>
    </w:p>
    <w:p w14:paraId="05D39282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lastRenderedPageBreak/>
        <w:t>65.</w:t>
      </w:r>
      <w:r w:rsidRPr="00442DE3">
        <w:tab/>
        <w:t>opakuje, že odolnosť kritickej infraštruktúry si vyžaduje harmonizovanejšie a dôkladné preverovanie priamych zahraničných investícií v EÚ; zdôrazňuje, že revízia nariadenia (EÚ) 2019/452 o preverovaní priamych zahraničných investícií predstavuje významný krok smerom k súdržnejšiemu a účinnejšiemu európskemu rámcu na ochranu bezpečnosti a verejného poriadku pri súčasnom zachovaní otvorenosti a transparentnosti; v tejto súvislosti víta návrh Komisie na revíziu nariadenia (EÚ) 2019/452 o preverovaní priamych zahraničných investícií, ktorej cieľom by malo byť primerané vyváženie investičných potrieb a ochrany základných bezpečnostných záujmov a obranných kapacít EÚ;</w:t>
      </w:r>
    </w:p>
    <w:p w14:paraId="20A82F7D" w14:textId="77777777" w:rsidR="00603610" w:rsidRPr="00442DE3" w:rsidRDefault="00603610" w:rsidP="00603610">
      <w:pPr>
        <w:pStyle w:val="NormalHanging12a"/>
      </w:pPr>
      <w:r w:rsidRPr="00442DE3">
        <w:t>66.</w:t>
      </w:r>
      <w:r w:rsidRPr="00442DE3">
        <w:tab/>
        <w:t xml:space="preserve">zdôrazňuje, že v nasledujúcom desaťročí, aj keď sa bude pokračovať v úsilí o dekarbonizáciu dopravy, bude naďalej nevyhnutné využívanie fosílnych palív v oblasti vojenskej mobility, napríklad pri používaní </w:t>
      </w:r>
      <w:proofErr w:type="spellStart"/>
      <w:r w:rsidRPr="00442DE3">
        <w:t>elektrodieselových</w:t>
      </w:r>
      <w:proofErr w:type="spellEnd"/>
      <w:r w:rsidRPr="00442DE3">
        <w:t xml:space="preserve"> rušňov alebo rušňov so spaľovacími motormi, čo je jediné prevádzkové riešenie v prípade rozsiahleho nedostatku elektrickej energie;</w:t>
      </w:r>
    </w:p>
    <w:p w14:paraId="6F3292F8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67.</w:t>
      </w:r>
      <w:r w:rsidRPr="00442DE3">
        <w:tab/>
        <w:t>upozorňuje na potrebu rozšíriť dodávateľské reťazce palív pre ozbrojené sily pozdĺž štyroch prioritných koridorov vojenskej mobility; zdôrazňuje, že energetická infraštruktúra na východnom krídle si vyžaduje rozvoj na podporu činností v oblasti vojenskej mobility, a vyzýva Komisiu, aby sa zaoberala „suchom v oblasti palív“; nabáda na vytváranie zásob a strategických rezerv energie, ktoré by mohli byť obzvlášť dôležité pre regióny s nedostatočnou potrubnou infraštruktúrou a nedostatočnou kapacitou skladovania palív; v tejto súvislosti vyzýva Komisiu, aby preskúmala smernicu o zásobách ropy</w:t>
      </w:r>
      <w:r w:rsidRPr="00442DE3">
        <w:rPr>
          <w:bCs/>
          <w:iCs/>
          <w:vertAlign w:val="superscript"/>
        </w:rPr>
        <w:footnoteReference w:id="15"/>
      </w:r>
      <w:r w:rsidRPr="00442DE3">
        <w:t xml:space="preserve"> vzhľadom na nedávne geopolitické zmeny s cieľom zvýšiť energetickú bezpečnosť a odolnosť voči vznikajúcim hrozbám; </w:t>
      </w:r>
    </w:p>
    <w:p w14:paraId="023D15A8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68.</w:t>
      </w:r>
      <w:r w:rsidRPr="00442DE3">
        <w:tab/>
        <w:t xml:space="preserve">pripomína, že vzhľadom na to, že železničný systém je závislý od elektrickej energie, ktorá umožňuje pohyb vlakov, železničná prevádzka si vyžaduje zvýšenie odolnosti energetických sietí a rýchle obnovenie energie v prípade akéhokoľvek výpadku či nedostatku energie; </w:t>
      </w:r>
    </w:p>
    <w:p w14:paraId="7C746E52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69.</w:t>
      </w:r>
      <w:r w:rsidRPr="00442DE3">
        <w:tab/>
        <w:t xml:space="preserve">so znepokojením konštatuje, že EÚ je vo veľkej miere závislá od dovozu ropy a ropných produktov; vyzýva Komisiu, aby uznala, že silná európska stratégia v oblasti vojenskej mobility si vyžaduje odolné a prevažne </w:t>
      </w:r>
      <w:proofErr w:type="spellStart"/>
      <w:r w:rsidRPr="00442DE3">
        <w:t>únijné</w:t>
      </w:r>
      <w:proofErr w:type="spellEnd"/>
      <w:r w:rsidRPr="00442DE3">
        <w:t xml:space="preserve"> kapacity výroby a rafinérií palív a alternatívnych palív, aby sa posilnila aj strategická autonómia; vyzýva na okamžitý rozvoj komplexnej distribučnej a skladovacej siete palív a na diverzifikáciu dodávok energie s cieľom zaručiť energetickú bezpečnosť; zdôrazňuje, že včasné vykonávanie ustanovení a cieľov nariadenia o infraštruktúre pre alternatívne palivá</w:t>
      </w:r>
      <w:r w:rsidRPr="00442DE3">
        <w:rPr>
          <w:bCs/>
          <w:iCs/>
          <w:vertAlign w:val="superscript"/>
        </w:rPr>
        <w:footnoteReference w:id="16"/>
      </w:r>
      <w:r w:rsidRPr="00442DE3">
        <w:t xml:space="preserve"> (AFIR) môže takisto zohrávať významnú úlohu aj pri diverzifikácii možností dodávok energie pre vojenskú mobilitu a prispieť k všeobecným cieľom EÚ v oblasti dekarbonizácie dopravy; </w:t>
      </w:r>
    </w:p>
    <w:p w14:paraId="19B94B03" w14:textId="77777777" w:rsidR="00603610" w:rsidRPr="00442DE3" w:rsidRDefault="00603610" w:rsidP="00603610">
      <w:pPr>
        <w:pStyle w:val="NormalHanging12a"/>
      </w:pPr>
      <w:r w:rsidRPr="00442DE3">
        <w:lastRenderedPageBreak/>
        <w:t>70.</w:t>
      </w:r>
      <w:r w:rsidRPr="00442DE3">
        <w:tab/>
        <w:t xml:space="preserve">vyzýva preto Komisiu, aby pri rozvoji energetického systému EÚ zohľadnila spôsobilosti a potreby vojenskej mobility a brala pritom do úvahy aj ciele dekarbonizácie a potrebu strategickej autonómie a odolnosti; </w:t>
      </w:r>
    </w:p>
    <w:p w14:paraId="747F6902" w14:textId="77777777" w:rsidR="00603610" w:rsidRPr="00442DE3" w:rsidRDefault="00603610" w:rsidP="00603610">
      <w:pPr>
        <w:pStyle w:val="NormalHanging12a"/>
        <w:spacing w:before="360"/>
      </w:pPr>
      <w:r w:rsidRPr="00442DE3">
        <w:rPr>
          <w:b/>
          <w:i/>
        </w:rPr>
        <w:t>Východné krídlo</w:t>
      </w:r>
    </w:p>
    <w:p w14:paraId="56EC7766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71.</w:t>
      </w:r>
      <w:r w:rsidRPr="00442DE3">
        <w:tab/>
        <w:t xml:space="preserve">zdôrazňuje, že vzhľadom na útočnú vojnu Ruska proti Ukrajine sa východné krídlo EÚ opakovane stáva terčom kybernetických útokov, hybridných hrozieb a sabotážnych činov vrátane incidentov namierených proti prevádzkovateľom dopravy; vyzýva preto EÚ, aby zintenzívnila úsilie o podporu členských štátov s cieľom zabezpečiť, aby bola kritická dopravná infraštruktúra na východnom krídle plne chránená a odolná, a to aj prostredníctvom rýchlych mechanizmov na posilnenie a zlepšenie kybernetickej obrany železníc, ciest, prístavov a uzlov dodávok energie; v tejto súvislosti zdôrazňuje mimoriadnu zraniteľnosť pobaltských štátov, najmä v dôsledku </w:t>
      </w:r>
      <w:proofErr w:type="spellStart"/>
      <w:r w:rsidRPr="00442DE3">
        <w:t>Suvalského</w:t>
      </w:r>
      <w:proofErr w:type="spellEnd"/>
      <w:r w:rsidRPr="00442DE3">
        <w:t xml:space="preserve"> koridoru, a zdôrazňuje, že v prípade ruskej agresie by bola potrebná zrýchlená reakcia a rýchlejšie presuny vojsk; </w:t>
      </w:r>
    </w:p>
    <w:p w14:paraId="48AD5FB1" w14:textId="77777777" w:rsidR="00603610" w:rsidRPr="00442DE3" w:rsidRDefault="00603610" w:rsidP="00603610">
      <w:pPr>
        <w:pStyle w:val="NormalHanging12a"/>
      </w:pPr>
      <w:r w:rsidRPr="00442DE3">
        <w:t>72.</w:t>
      </w:r>
      <w:r w:rsidRPr="00442DE3">
        <w:tab/>
        <w:t>pripomína, že štyri prioritné koridory vojenskej mobility EÚ sú zásadné pre bezpečnosť a obranu EÚ; domnieva sa, že umožnenie rýchleho a účinného fungovania všetkých identifikovaných prioritných koridorov vojenskej mobility umožní účinnú bezpečnosť pre členské štáty, ktoré sú v súčasnosti najviac vystavené hrozbám zo strany Ruska; upozorňuje na skutočnosť, že štyri prioritné koridory vojenskej mobility EÚ takisto zabezpečujú schopnosť NATO rýchlo posilniť a účinne brániť východné krídlo, čím sa posilňuje kolektívna bezpečnosť, schopnosť odrádzať od hrozieb a odolnosť celej aliancie;</w:t>
      </w:r>
    </w:p>
    <w:p w14:paraId="3E3CE8C3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73.</w:t>
      </w:r>
      <w:r w:rsidRPr="00442DE3">
        <w:rPr>
          <w:b/>
        </w:rPr>
        <w:tab/>
      </w:r>
      <w:r w:rsidRPr="00442DE3">
        <w:t xml:space="preserve">konštatuje, že vojenská mobilita v Poľsku a smerom k nemu je nevyhnutná pre bezpečnosť celého východného krídla; zdôrazňuje pridanú hodnotu </w:t>
      </w:r>
      <w:proofErr w:type="spellStart"/>
      <w:r w:rsidRPr="00442DE3">
        <w:t>multimodálnych</w:t>
      </w:r>
      <w:proofErr w:type="spellEnd"/>
      <w:r w:rsidRPr="00442DE3">
        <w:t xml:space="preserve"> logistických centier nachádzajúcich sa v západnej Európe na zabezpečenie rýchleho presunu európskych a spojeneckých vojsk a ťažkej techniky do východnej Európy;</w:t>
      </w:r>
    </w:p>
    <w:p w14:paraId="41BA440D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74.</w:t>
      </w:r>
      <w:r w:rsidRPr="00442DE3">
        <w:tab/>
        <w:t>víta iniciatívu paktu východných regiónov, ktorú nedávno oznámila Komisia a ktorej cieľom je poskytnúť cielenú podporu členským štátom pozdĺž východnej hranice EÚ s cieľom zlepšiť infraštruktúru a zvýšiť odolnosť v pohraničných regiónoch; zdôrazňuje zásadný význam projektu „Východný štít“ ako strategického projektu zameraného na posilnenie bezpečnosti Európy, a to aj ochranou príslušných vojenských koridorov, aby sa zachovala schopnosť reakcie, a poukazuje na jeho začlenenie do bielej knihy o obrannej pripravenosti; vyzýva na poskytnutie primeraných finančných zdrojov na zabezpečenie jeho vykonávania;</w:t>
      </w:r>
    </w:p>
    <w:p w14:paraId="21D17DF1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75.</w:t>
      </w:r>
      <w:r w:rsidRPr="00442DE3">
        <w:tab/>
        <w:t xml:space="preserve">pripomína, že projekty vojenskej mobilnej infraštruktúry sa musia neustále prehodnocovať a aktualizovať v rámci európskeho obranného semestra v súlade s najnovšími vojenskými hrozbami a spôsobilosťami, a to nad rámec územného rozšírenia prístavov, vrátane odbornej prípravy personálu a lepšieho riadenia námornej dopravy, ako aj odolnosti voči rýchlo sa vyvíjajúcim hrozbám, ako je napríklad detekcia podvodných </w:t>
      </w:r>
      <w:proofErr w:type="spellStart"/>
      <w:r w:rsidRPr="00442DE3">
        <w:t>dronov</w:t>
      </w:r>
      <w:proofErr w:type="spellEnd"/>
      <w:r w:rsidRPr="00442DE3">
        <w:t>;</w:t>
      </w:r>
    </w:p>
    <w:p w14:paraId="7CD94A82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76.</w:t>
      </w:r>
      <w:r w:rsidRPr="00442DE3">
        <w:tab/>
        <w:t xml:space="preserve">podporuje Európsku iniciatívu </w:t>
      </w:r>
      <w:proofErr w:type="spellStart"/>
      <w:r w:rsidRPr="00442DE3">
        <w:t>protidronovej</w:t>
      </w:r>
      <w:proofErr w:type="spellEnd"/>
      <w:r w:rsidRPr="00442DE3">
        <w:t xml:space="preserve"> obrany vzhľadom na nedávne a opakované narušenia európskeho vzdušného priestoru bezpilotnými </w:t>
      </w:r>
      <w:proofErr w:type="spellStart"/>
      <w:r w:rsidRPr="00442DE3">
        <w:t>dronmi</w:t>
      </w:r>
      <w:proofErr w:type="spellEnd"/>
      <w:r w:rsidRPr="00442DE3">
        <w:t xml:space="preserve">; vyzýva na zlepšenie a zvýšenie spôsobilostí </w:t>
      </w:r>
      <w:proofErr w:type="spellStart"/>
      <w:r w:rsidRPr="00442DE3">
        <w:t>dronov</w:t>
      </w:r>
      <w:proofErr w:type="spellEnd"/>
      <w:r w:rsidRPr="00442DE3">
        <w:t xml:space="preserve"> vo všetkých členských štátoch v spolupráci s NATO a na základe skúseností ukrajinských ozbrojených síl v teréne; zdôrazňuje, že tieto európske </w:t>
      </w:r>
      <w:r w:rsidRPr="00442DE3">
        <w:lastRenderedPageBreak/>
        <w:t xml:space="preserve">spôsobilosti v oblasti </w:t>
      </w:r>
      <w:proofErr w:type="spellStart"/>
      <w:r w:rsidRPr="00442DE3">
        <w:t>dronov</w:t>
      </w:r>
      <w:proofErr w:type="spellEnd"/>
      <w:r w:rsidRPr="00442DE3">
        <w:t xml:space="preserve"> by mali vychádzať zo skúseností získaných z Ukrajiny, pokiaľ ide o kľúčovú hodnotu vytvárania inovačných </w:t>
      </w:r>
      <w:proofErr w:type="spellStart"/>
      <w:r w:rsidRPr="00442DE3">
        <w:t>dronových</w:t>
      </w:r>
      <w:proofErr w:type="spellEnd"/>
      <w:r w:rsidRPr="00442DE3">
        <w:t xml:space="preserve"> a </w:t>
      </w:r>
      <w:proofErr w:type="spellStart"/>
      <w:r w:rsidRPr="00442DE3">
        <w:t>protidronových</w:t>
      </w:r>
      <w:proofErr w:type="spellEnd"/>
      <w:r w:rsidRPr="00442DE3">
        <w:t xml:space="preserve"> ekosystémov, prepojenia výskumu a vývoja s výrobou a spoliehania sa na prispôsobiteľnú výrobnú kapacitu a nepretržitý technologický vývoj od podvodných, prieskumných a bojových </w:t>
      </w:r>
      <w:proofErr w:type="spellStart"/>
      <w:r w:rsidRPr="00442DE3">
        <w:t>dronov</w:t>
      </w:r>
      <w:proofErr w:type="spellEnd"/>
      <w:r w:rsidRPr="00442DE3">
        <w:t xml:space="preserve"> až po obranné a </w:t>
      </w:r>
      <w:proofErr w:type="spellStart"/>
      <w:r w:rsidRPr="00442DE3">
        <w:t>protidronové</w:t>
      </w:r>
      <w:proofErr w:type="spellEnd"/>
      <w:r w:rsidRPr="00442DE3">
        <w:t xml:space="preserve"> spôsobilosti; </w:t>
      </w:r>
    </w:p>
    <w:p w14:paraId="370C53C4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77.</w:t>
      </w:r>
      <w:r w:rsidRPr="00442DE3">
        <w:tab/>
        <w:t xml:space="preserve">pripomína, že </w:t>
      </w:r>
      <w:proofErr w:type="spellStart"/>
      <w:r w:rsidRPr="00442DE3">
        <w:t>protidronová</w:t>
      </w:r>
      <w:proofErr w:type="spellEnd"/>
      <w:r w:rsidRPr="00442DE3">
        <w:t xml:space="preserve"> sieť by bola prispôsobiteľná na účely dvojakého použitia a pomohla by riešiť hrozby nesúvisiace s obranou alebo iné riziká spoločné pre každú hranicu EÚ vrátane ochrany hraníc, </w:t>
      </w:r>
      <w:proofErr w:type="spellStart"/>
      <w:r w:rsidRPr="00442DE3">
        <w:t>inštrumentalizácie</w:t>
      </w:r>
      <w:proofErr w:type="spellEnd"/>
      <w:r w:rsidRPr="00442DE3">
        <w:t xml:space="preserve"> migrácie, ochrany kritickej infraštruktúry a nadnárodnej organizovanej trestnej činnosti;</w:t>
      </w:r>
    </w:p>
    <w:p w14:paraId="6EF64777" w14:textId="77777777" w:rsidR="00603610" w:rsidRPr="00442DE3" w:rsidRDefault="00603610" w:rsidP="00603610">
      <w:pPr>
        <w:pStyle w:val="Normal12a24b"/>
      </w:pPr>
      <w:r w:rsidRPr="00442DE3">
        <w:rPr>
          <w:rStyle w:val="BoldItalic"/>
        </w:rPr>
        <w:t xml:space="preserve">Posilnenie spôsobilostí </w:t>
      </w:r>
    </w:p>
    <w:p w14:paraId="79208215" w14:textId="77777777" w:rsidR="00603610" w:rsidRPr="00442DE3" w:rsidRDefault="00603610" w:rsidP="00603610">
      <w:pPr>
        <w:pStyle w:val="NormalHanging12a"/>
      </w:pPr>
      <w:r w:rsidRPr="00442DE3">
        <w:t>78.</w:t>
      </w:r>
      <w:r w:rsidRPr="00442DE3">
        <w:tab/>
        <w:t xml:space="preserve">opakuje, že systémy pozemnej dopravy sa prednostne používajú na prepravu vojenských prostriedkov, ktoré sú zvyčajne ťažké a nadrozmerné a obsahujú nebezpečný tovar; </w:t>
      </w:r>
    </w:p>
    <w:p w14:paraId="6F2B6885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79.</w:t>
      </w:r>
      <w:r w:rsidRPr="00442DE3">
        <w:tab/>
        <w:t xml:space="preserve">so znepokojením berie na vedomie súčasný nedostatok určitých zariadení vojenskej mobility, ako sú plošinové vozne, a pokles ich výroby od čias studenej vojny; žiada, aby sa ich vývoj podporoval v rámci európskych priemyselných programov; zdôrazňuje kritickú potrebu spolupráce medzi verejnými a súkromnými zainteresovanými stranami s cieľom využiť a maximalizovať potenciál dostupných železničných zdrojov pre vojenskú mobilitu a nabáda na využitie rezervných zmlúv;  </w:t>
      </w:r>
    </w:p>
    <w:p w14:paraId="6F55B11F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80.</w:t>
      </w:r>
      <w:r w:rsidRPr="00442DE3">
        <w:tab/>
        <w:t xml:space="preserve">zdôrazňuje potrebu naliehavo riešiť nedostatok železničných koľajových vozidiel v európskych železničných organizáciách; zdôrazňuje význam harmonizovaného postupu schvaľovania železničných koľajových vozidiel, ktorý riadi Železničná agentúra EÚ (ERA); pripomína potrebu nahradiť vnútroštátne predpisy technickými špecifikáciami </w:t>
      </w:r>
      <w:proofErr w:type="spellStart"/>
      <w:r w:rsidRPr="00442DE3">
        <w:t>interoperability</w:t>
      </w:r>
      <w:proofErr w:type="spellEnd"/>
      <w:r w:rsidRPr="00442DE3">
        <w:t xml:space="preserve"> (TSI) s cieľom zvýšiť dostupnosť cezhraničných železničných koľajových vozidiel na vojenské a civilné účely; </w:t>
      </w:r>
    </w:p>
    <w:p w14:paraId="4578E760" w14:textId="77777777" w:rsidR="00603610" w:rsidRPr="00442DE3" w:rsidRDefault="00603610" w:rsidP="00603610">
      <w:pPr>
        <w:pStyle w:val="NormalHanging12a"/>
      </w:pPr>
      <w:r w:rsidRPr="00442DE3">
        <w:t>81.</w:t>
      </w:r>
      <w:r w:rsidRPr="00442DE3">
        <w:tab/>
        <w:t xml:space="preserve">vyzýva na koordinovaný prístup k obstarávaniu železničných koľajových vozidiel s cieľom čo najefektívnejšie využiť dostupné výrobné kapacity; zdôrazňuje, že by sa malo podporovať spoločné obstarávanie takýchto vozidiel; </w:t>
      </w:r>
    </w:p>
    <w:p w14:paraId="4A51241E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82.</w:t>
      </w:r>
      <w:r w:rsidRPr="00442DE3">
        <w:tab/>
        <w:t>konštatuje, že okrem pozemnej dopravy je letecká doprava najrýchlejším spôsobom presunu prvých vojenských prostriedkov a logistických materiálov; zdôrazňuje, že je potrebné vytvoriť európsku rezervu pre strategickú leteckú prepravu a posilniť strategické prostriedky pre leteckú vojenskú mobilitu, ako sú ťažké dopravné lietadlá;</w:t>
      </w:r>
    </w:p>
    <w:p w14:paraId="25E36F5D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83.</w:t>
      </w:r>
      <w:r w:rsidRPr="00442DE3">
        <w:tab/>
        <w:t xml:space="preserve">berie na vedomie rastúce využívanie autonómnych vozidiel pri doručovaní vojenských zásob, čo predstavuje riešenie nedostatku personálu vo vojenských logistických jednotkách a minimalizuje ľudské straty v čase konfliktu; vyzýva na úpravu právnych predpisov a nariadení EÚ a členských štátov, aby sa umožnilo zavedenie </w:t>
      </w:r>
      <w:proofErr w:type="spellStart"/>
      <w:r w:rsidRPr="00442DE3">
        <w:t>poloautonómnej</w:t>
      </w:r>
      <w:proofErr w:type="spellEnd"/>
      <w:r w:rsidRPr="00442DE3">
        <w:t xml:space="preserve"> logistiky do koridorov vojenskej mobility;</w:t>
      </w:r>
    </w:p>
    <w:p w14:paraId="2133FBCF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84.</w:t>
      </w:r>
      <w:r w:rsidRPr="00442DE3">
        <w:tab/>
        <w:t>žiada, aby sa zvážila dostupnosť a primeranosť schopností EÚ týkajúcich sa zdravotnej prepravy pre zranený personál s cieľom zabezpečiť jeho včasnú evakuáciu a primeranú starostlivosť;</w:t>
      </w:r>
    </w:p>
    <w:p w14:paraId="624FF071" w14:textId="77777777" w:rsidR="00603610" w:rsidRPr="00442DE3" w:rsidRDefault="00603610" w:rsidP="00603610">
      <w:pPr>
        <w:pStyle w:val="Normal12a24b"/>
        <w:spacing w:before="0"/>
        <w:ind w:left="567" w:hanging="567"/>
      </w:pPr>
      <w:r w:rsidRPr="00442DE3">
        <w:t>85.</w:t>
      </w:r>
      <w:r w:rsidRPr="00442DE3">
        <w:tab/>
        <w:t xml:space="preserve">zdôrazňuje, že je potrebné vyhodnotiť a zhromaždiť požiadavky členských štátov na </w:t>
      </w:r>
      <w:r w:rsidRPr="00442DE3">
        <w:lastRenderedPageBreak/>
        <w:t xml:space="preserve">zabezpečenie stabilnej dostupnosti a dodávok prostriedkov s dvojakým použitím, ako sú lokomotívy, plavidlá, nákladné vozidlá, prípojné vozidlá vhodné pre neobvyklý náklad, strategické prepravné lietadlá, systémy doplňovania paliva za letu a pevné a mobilné žeriavy;  </w:t>
      </w:r>
    </w:p>
    <w:p w14:paraId="2FC7FA64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</w:rPr>
      </w:pPr>
      <w:r w:rsidRPr="00442DE3">
        <w:t>86.</w:t>
      </w:r>
      <w:r w:rsidRPr="00442DE3">
        <w:tab/>
        <w:t xml:space="preserve">zdôrazňuje, že je dôležité, aby sa vyššie uvedené dopravné prostriedky zaregistrovali v civilno-vojenskej tzv. rezerve solidarity, aby sa tak mohli čo najefektívnejšie využívať vždy a všade, keď je to potrebné, a vychádzať pritom zo strategických rezerv európskych spôsobilostí reakcie na krízy </w:t>
      </w:r>
      <w:proofErr w:type="spellStart"/>
      <w:r w:rsidRPr="00442DE3">
        <w:t>rescEU</w:t>
      </w:r>
      <w:proofErr w:type="spellEnd"/>
      <w:r w:rsidRPr="00442DE3">
        <w:t xml:space="preserve">; vyzýva Komisiu, aby zabezpečila koordináciu na úrovni EÚ s členskými štátmi, ktorá by umožnila predvídateľnosť a plánovanie pre dodávateľský priemysel; </w:t>
      </w:r>
    </w:p>
    <w:p w14:paraId="25DD91EA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87.</w:t>
      </w:r>
      <w:r w:rsidRPr="00442DE3">
        <w:tab/>
        <w:t xml:space="preserve">zdôrazňuje, že je potrebné zabezpečiť súlad medzi prioritami akčného plánu v oblasti vojenskej mobility a programovaním EDIP, a tým zaistiť, aby sa pri stanovení priorít financovania vychádzalo z hodnotení nedostatkov v oblasti spôsobilostí (plán rozvoja spôsobilostí (CDP) a koordinované ročné hodnotenie obrany (CARD)); vyzýva Komisiu, aby podnecovala EDTIB, aby tieto nedostatky riešila; konštatuje, že je potrebné podporovať investície do nákupu, opravy, údržby a spoločného využívania dopravných prostriedkov prostredníctvom </w:t>
      </w:r>
      <w:proofErr w:type="spellStart"/>
      <w:r w:rsidRPr="00442DE3">
        <w:t>celoúnijných</w:t>
      </w:r>
      <w:proofErr w:type="spellEnd"/>
      <w:r w:rsidRPr="00442DE3">
        <w:t xml:space="preserve"> nástrojov financovania; zdôrazňuje význam predvídateľnosti, pokiaľ ide o dopyt po schopnostiach vojenskej mobility, v kombinácii s dostatočným financovaním a so zjednodušenými pravidlami obstarávania, čo by dodávateľskému priemyslu umožnilo zvýšiť a udržať úroveň výroby; </w:t>
      </w:r>
    </w:p>
    <w:p w14:paraId="403391B4" w14:textId="77777777" w:rsidR="00603610" w:rsidRPr="00442DE3" w:rsidRDefault="00603610" w:rsidP="00603610">
      <w:pPr>
        <w:pStyle w:val="Normal12a24b"/>
        <w:spacing w:before="0"/>
        <w:ind w:left="567" w:hanging="567"/>
        <w:rPr>
          <w:bCs/>
          <w:iCs/>
        </w:rPr>
      </w:pPr>
      <w:r w:rsidRPr="00442DE3">
        <w:t>88.</w:t>
      </w:r>
      <w:r w:rsidRPr="00442DE3">
        <w:tab/>
        <w:t xml:space="preserve">vyzýva na investície do výskumu a vývoja s cieľom podporiť spôsobilosti s dvojakým použitím; zdôrazňuje význam podpory EÚ pri stimulovaní inovácií v oblasti technológií vozidiel s dvojakým použitím vrátane modulárnych platforiem prispôsobiteľných na civilné aj vojenské použitie, ako aj v oblasti civilného námorného a leteckého priemyslu s cieľom podporiť nové technológie; </w:t>
      </w:r>
    </w:p>
    <w:p w14:paraId="15697C1D" w14:textId="77777777" w:rsidR="00603610" w:rsidRPr="00442DE3" w:rsidRDefault="00603610" w:rsidP="00603610">
      <w:pPr>
        <w:pStyle w:val="Normal12a24b"/>
      </w:pPr>
      <w:r w:rsidRPr="00442DE3">
        <w:rPr>
          <w:rStyle w:val="BoldItalic"/>
        </w:rPr>
        <w:t>Posilňovanie spolupráce medzi EÚ a NATO</w:t>
      </w:r>
    </w:p>
    <w:p w14:paraId="0ACB1039" w14:textId="77777777" w:rsidR="00603610" w:rsidRPr="00442DE3" w:rsidRDefault="00603610" w:rsidP="00603610">
      <w:pPr>
        <w:pStyle w:val="NormalHanging12a"/>
      </w:pPr>
      <w:r w:rsidRPr="00442DE3">
        <w:t>89.</w:t>
      </w:r>
      <w:r w:rsidRPr="00442DE3">
        <w:tab/>
        <w:t>domnieva sa, že posilnená vojenská mobilita posilňuje SBOP aj transatlantickú alianciu; zdôrazňuje, že NATO sa pri presune jednotiek a vybavenia spolieha na infraštruktúru členských štátov EÚ; so súhlasom konštatuje, že vďaka pokroku v spolupráci medzi EÚ a NATO, a to aj prostredníctvom štruktúrovaného dialógu medzi EÚ a NATO o vojenskej mobilite, sú príslušné vojenské požiadavky EÚ na približne 95 % zosúladené s technickými a geografickými požiadavkami NATO;</w:t>
      </w:r>
    </w:p>
    <w:p w14:paraId="2B3A0A37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90.</w:t>
      </w:r>
      <w:r w:rsidRPr="00442DE3">
        <w:tab/>
        <w:t xml:space="preserve">vyzýva členské štáty, aby posilnili svoju vzájomnú spoluprácu a spoluprácu s NATO, najmä v rámci existujúceho stredoeurópskeho potrubného systému a programu bezpečnostných investícií NATO, s cieľom zabezpečiť </w:t>
      </w:r>
      <w:proofErr w:type="spellStart"/>
      <w:r w:rsidRPr="00442DE3">
        <w:t>interoperabilitu</w:t>
      </w:r>
      <w:proofErr w:type="spellEnd"/>
      <w:r w:rsidRPr="00442DE3">
        <w:t xml:space="preserve">, kybernetickú bezpečnosť a dostatočné prepravné a skladovacie kapacity pre vojenské operácie EÚ a NATO; </w:t>
      </w:r>
    </w:p>
    <w:p w14:paraId="6CA69999" w14:textId="77777777" w:rsidR="00603610" w:rsidRPr="00442DE3" w:rsidRDefault="00603610" w:rsidP="00603610">
      <w:pPr>
        <w:pStyle w:val="NormalHanging12a"/>
      </w:pPr>
      <w:r w:rsidRPr="00442DE3">
        <w:t>91.</w:t>
      </w:r>
      <w:r w:rsidRPr="00442DE3">
        <w:tab/>
        <w:t xml:space="preserve">vyjadruje poľutovanie nad pretrvávajúcimi politickými a procedurálnymi prekážkami pri výmene utajovaných informácií o logistických sieťach medzi NATO a EÚ a naliehavo vyzýva na spoločné porozumenie v tejto súvislosti s cieľom dosiahnuť synergie; zdôrazňuje, že tieto prekážky, najmä absencia dohody s NATO o výmene utajovaných informácií, výrazne znižujú účinnosť obranného úsilia oboch organizácií; vyzýva členské štáty EÚ, aby vyvinuli veľké úsilie o prekonanie politických prekážok, </w:t>
      </w:r>
      <w:r w:rsidRPr="00442DE3">
        <w:lastRenderedPageBreak/>
        <w:t>ktoré bránia dohode o výmene utajovaných informácií; vyzýva na vytvorenie stálej platformy na výmenu informácií medzi EÚ a NATO s cieľom podporiť prácu Spoločného veliteľstva podpory a zabezpečenia NATO;</w:t>
      </w:r>
    </w:p>
    <w:p w14:paraId="4E5F7692" w14:textId="77777777" w:rsidR="00603610" w:rsidRPr="00442DE3" w:rsidRDefault="00603610" w:rsidP="00603610">
      <w:pPr>
        <w:pStyle w:val="NormalHanging12a"/>
      </w:pPr>
      <w:r w:rsidRPr="00442DE3">
        <w:t>92.</w:t>
      </w:r>
      <w:r w:rsidRPr="00442DE3">
        <w:tab/>
        <w:t xml:space="preserve">vyzýva na organizovanie pravidelných spoločných cvičení a záťažových testov EÚ a NATO za účasti ozbrojených síl, civilnej ochrany, manažérov infraštruktúry a prevádzkovateľov dopravy s cieľom zlepšiť komunikáciu a koordináciu, zefektívniť postupy a identifikovať a odstrániť prekážky vojenskej mobility; </w:t>
      </w:r>
    </w:p>
    <w:p w14:paraId="3F549FC6" w14:textId="77777777" w:rsidR="00603610" w:rsidRPr="00442DE3" w:rsidRDefault="00603610" w:rsidP="00603610">
      <w:pPr>
        <w:pStyle w:val="NormalHanging12a"/>
        <w:rPr>
          <w:bCs/>
          <w:iCs/>
        </w:rPr>
      </w:pPr>
      <w:r w:rsidRPr="00442DE3">
        <w:t>93.</w:t>
      </w:r>
      <w:r w:rsidRPr="00442DE3">
        <w:tab/>
        <w:t xml:space="preserve">vyzýva Komisiu a NATO, aby prehĺbili koordináciu v oblasti námornej mobility a zabezpečili pritom normy </w:t>
      </w:r>
      <w:proofErr w:type="spellStart"/>
      <w:r w:rsidRPr="00442DE3">
        <w:t>interoperability</w:t>
      </w:r>
      <w:proofErr w:type="spellEnd"/>
      <w:r w:rsidRPr="00442DE3">
        <w:t xml:space="preserve"> pre námornú dopravu, prístup do prístavov a ochranu námorných komunikačných trás, pričom budú venovať osobitnú pozornosť Atlantiku, Stredozemiu a najvzdialenejším regiónom; naliehavo vyzýva na úzku spoluprácu medzi EÚ a NATO pri zabezpečovaní transatlantických dodávok vojenského vybavenia a dodávok po mori a letecky vzhľadom na ich význam; uznáva dôležitú úlohu Turecka pri zabezpečovaní dopravných trás a celkovej vojenskej mobility medzi EÚ a NATO, najmä jeho rozhodnutie uzavrieť Čiernomorský prieliv vo februári 2022, čo Rusku zabránilo posilniť svoju námornú prítomnosť v Čiernom mori; </w:t>
      </w:r>
    </w:p>
    <w:p w14:paraId="2C823583" w14:textId="77777777" w:rsidR="00603610" w:rsidRPr="00442DE3" w:rsidRDefault="00603610" w:rsidP="00603610">
      <w:pPr>
        <w:pStyle w:val="NormalHanging12a"/>
      </w:pPr>
      <w:r w:rsidRPr="00442DE3">
        <w:t>94.</w:t>
      </w:r>
      <w:r w:rsidRPr="00442DE3">
        <w:tab/>
        <w:t xml:space="preserve">konštatuje, že horizont operačného plánovania NATO je tri dni; trvá preto na tom, aby sa dodržiavali záväzky na dosiahnutie maximálneho </w:t>
      </w:r>
      <w:proofErr w:type="spellStart"/>
      <w:r w:rsidRPr="00442DE3">
        <w:t>troj</w:t>
      </w:r>
      <w:proofErr w:type="spellEnd"/>
      <w:r w:rsidRPr="00442DE3">
        <w:t>- až päťdňového cieľa na dokončenie príslušných postupov pri prekračovaní hraníc a postupov povoľovania neobvyklej a nadrozmernej prepravy a prepravy nákladov nadmernej hmotnosti, pričom by sa malo vychádzať zo zjednodušených, z harmonizovaných a digitálnych postupov; žiada, aby sa lehota pre jednotky rýchlej reakcie v čase mieru skrátila na tri dni a v krízovej situácii na 24 hodín; opakuje svoju výzvu na zlúčenie dvoch formulárov 302 používaných v NATO a EÚ do jedného, aby sa znížila zbytočná duplicita a uľahčili rýchlejšie cezhraničné presuny; s cieľom urýchliť povoľovacie postupy vyzýva na zavedenie automatického uznávania analýz trás a mostov v rámci členských štátov a cez hranice a zrýchleného režimu založeného na oznamovaní pre certifikovaných prevádzkovateľov, ktorí vykonávajú vojenskú prepravu alebo prepravu v núdzových situáciách, ako súčasť balíka vojenskej mobility;</w:t>
      </w:r>
    </w:p>
    <w:p w14:paraId="1A4BC07A" w14:textId="05731F8D" w:rsidR="00603610" w:rsidRPr="00442DE3" w:rsidRDefault="00603610" w:rsidP="00603610">
      <w:pPr>
        <w:pStyle w:val="NormalHanging12a"/>
      </w:pPr>
      <w:r w:rsidRPr="00442DE3">
        <w:t>95.</w:t>
      </w:r>
      <w:r w:rsidRPr="00442DE3">
        <w:tab/>
        <w:t>vyzýva členské štáty, aby naliehavo rozvíjali potrebné obranné spôsobilosti pre vojenskú dopravu vrátane rozšírenia potrubných sietí NATO a spôsobilostí strategickej leteckej prepravy na základe koordinovaného ročného preskúmania zistení v oblasti obrany a priorít EÚ v oblasti rozvoja spôsobilostí na rok 2023; považuje za dôležité, aby sa vo vhodných prípadoch po konzultácii s NATO plnili vojenské požiadavky a aby sa zmiernili technické a geografické rozdiely;</w:t>
      </w:r>
    </w:p>
    <w:p w14:paraId="6723D2A6" w14:textId="77777777" w:rsidR="00603610" w:rsidRPr="00442DE3" w:rsidRDefault="00603610" w:rsidP="00603610">
      <w:pPr>
        <w:pStyle w:val="NormalHanging12a"/>
      </w:pPr>
      <w:r w:rsidRPr="00442DE3">
        <w:t>96.</w:t>
      </w:r>
      <w:r w:rsidRPr="00442DE3">
        <w:tab/>
        <w:t>zdôrazňuje pridanú hodnotu výnimočnej účasti USA, Kanady, Spojeného kráľovstva, Nórska a Švajčiarska, ako aj ďalších podobne zmýšľajúcich partnerov na projekte vojenskej mobility v rámci stálej štruktúrovanej spolupráce (PESCO); vyzýva na plnenie cieľov v oblasti spôsobilostí a na rozšírenie účasti na strategické partnerské krajiny, ako sú Ukrajina a Moldavská republika, v súlade s pravidlami PESCO;</w:t>
      </w:r>
    </w:p>
    <w:p w14:paraId="64550B56" w14:textId="77777777" w:rsidR="00603610" w:rsidRPr="00442DE3" w:rsidRDefault="00603610" w:rsidP="00603610">
      <w:pPr>
        <w:pStyle w:val="NormalHanging12a"/>
      </w:pPr>
      <w:r w:rsidRPr="00442DE3">
        <w:t>97.</w:t>
      </w:r>
      <w:r w:rsidRPr="00442DE3">
        <w:tab/>
        <w:t xml:space="preserve">zdôrazňuje potrebu </w:t>
      </w:r>
      <w:proofErr w:type="spellStart"/>
      <w:r w:rsidRPr="00442DE3">
        <w:t>interoperability</w:t>
      </w:r>
      <w:proofErr w:type="spellEnd"/>
      <w:r w:rsidRPr="00442DE3">
        <w:t xml:space="preserve">, a to aj s kľúčovými regionálnymi partnermi a kandidátskymi krajinami, ako sú Ukrajina, Moldavská republika a západný Balkán; žiada o osobitnú pomoc Moldavskej republike, aby bola odolnejšia voči hybridným hrozbám a lepšie prepojená s dopravnými a bezpečnostnými systémami EÚ; zdôrazňuje význam posilnenia koordinácie s regionálnymi partnermi v oblasti technických noriem, </w:t>
      </w:r>
      <w:r w:rsidRPr="00442DE3">
        <w:lastRenderedPageBreak/>
        <w:t xml:space="preserve">bezpečnosti kritickej infraštruktúry a ochrany sietí pred hybridnými hrozbami a útokmi; domnieva sa, že </w:t>
      </w:r>
      <w:proofErr w:type="spellStart"/>
      <w:r w:rsidRPr="00442DE3">
        <w:t>interoperabilitu</w:t>
      </w:r>
      <w:proofErr w:type="spellEnd"/>
      <w:r w:rsidRPr="00442DE3">
        <w:t xml:space="preserve"> s tretími krajinami musia sprevádzať pravidelné hodnotenia; </w:t>
      </w:r>
    </w:p>
    <w:p w14:paraId="2DA0C4B3" w14:textId="2C8E12E8" w:rsidR="00603610" w:rsidRPr="00442DE3" w:rsidRDefault="00603610" w:rsidP="00603610">
      <w:pPr>
        <w:pStyle w:val="NormalHanging12a"/>
      </w:pPr>
      <w:r w:rsidRPr="00442DE3">
        <w:t>98.</w:t>
      </w:r>
      <w:r w:rsidRPr="00442DE3">
        <w:tab/>
        <w:t xml:space="preserve">zdôrazňuje význam </w:t>
      </w:r>
      <w:r w:rsidR="003B4506" w:rsidRPr="00442DE3">
        <w:t>Európskeho p</w:t>
      </w:r>
      <w:r w:rsidRPr="00442DE3">
        <w:t xml:space="preserve">arlamentu nielen ako </w:t>
      </w:r>
      <w:proofErr w:type="spellStart"/>
      <w:r w:rsidRPr="00442DE3">
        <w:t>spoluzákonodarcu</w:t>
      </w:r>
      <w:proofErr w:type="spellEnd"/>
      <w:r w:rsidRPr="00442DE3">
        <w:t xml:space="preserve"> v politike vojenskej mobility ako súčasti ambície EÚ dosiahnuť obrannú pripravenosť do roku 2030, ale aj v jeho úlohe demokratického dohľadu nad činnosťou EÚ; vyzýva preto Komisiu, aby zabezpečila systematickejšie následné opatrenia a prísnejšie podávanie správ, a to aj v súvislosti so spoluprácou EÚ s NATO a PESCO, pokiaľ ide o opatrenia vojenskej mobility, ich vykonávanie a financovanie;</w:t>
      </w:r>
    </w:p>
    <w:p w14:paraId="72E27288" w14:textId="7450B62D" w:rsidR="008924BD" w:rsidRPr="00442DE3" w:rsidRDefault="008924BD" w:rsidP="008924BD">
      <w:pPr>
        <w:pStyle w:val="NormalHanging12a"/>
        <w:ind w:left="0" w:firstLine="0"/>
        <w:jc w:val="center"/>
        <w:rPr>
          <w:bCs/>
          <w:iCs/>
        </w:rPr>
      </w:pPr>
      <w:r w:rsidRPr="00442DE3">
        <w:rPr>
          <w:bCs/>
          <w:iCs/>
        </w:rPr>
        <w:t>°</w:t>
      </w:r>
    </w:p>
    <w:p w14:paraId="12532994" w14:textId="1B6EC56B" w:rsidR="008924BD" w:rsidRPr="00442DE3" w:rsidRDefault="008924BD" w:rsidP="008924BD">
      <w:pPr>
        <w:pStyle w:val="NormalHanging12a"/>
        <w:ind w:left="0" w:firstLine="0"/>
        <w:jc w:val="center"/>
        <w:rPr>
          <w:bCs/>
          <w:iCs/>
        </w:rPr>
      </w:pPr>
      <w:r w:rsidRPr="00442DE3">
        <w:rPr>
          <w:bCs/>
          <w:iCs/>
        </w:rPr>
        <w:t>°     °</w:t>
      </w:r>
    </w:p>
    <w:p w14:paraId="0D498EBB" w14:textId="130A1895" w:rsidR="00E365E1" w:rsidRPr="00442DE3" w:rsidRDefault="00603610" w:rsidP="008924BD">
      <w:pPr>
        <w:pStyle w:val="NormalHanging12a"/>
      </w:pPr>
      <w:r w:rsidRPr="00442DE3">
        <w:t>99.</w:t>
      </w:r>
      <w:r w:rsidRPr="00442DE3">
        <w:tab/>
        <w:t>poveruje svoju predsedníčku, aby postúpila toto uznesenie Rade, Komisii, NATO, Parlamentnému zhromaždeniu NATO, agentúram EÚ v oblasti bezpečnosti a obrany a vládam a parlamentom členských štátov.</w:t>
      </w:r>
    </w:p>
    <w:sectPr w:rsidR="00E365E1" w:rsidRPr="00442DE3" w:rsidSect="002777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A9613" w14:textId="77777777" w:rsidR="0096177F" w:rsidRPr="00277717" w:rsidRDefault="0096177F">
      <w:r w:rsidRPr="00277717">
        <w:separator/>
      </w:r>
    </w:p>
  </w:endnote>
  <w:endnote w:type="continuationSeparator" w:id="0">
    <w:p w14:paraId="02436F01" w14:textId="77777777" w:rsidR="0096177F" w:rsidRPr="00277717" w:rsidRDefault="0096177F">
      <w:r w:rsidRPr="002777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48380" w14:textId="77777777" w:rsidR="00064002" w:rsidRPr="002777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37D0" w14:textId="77777777" w:rsidR="00064002" w:rsidRPr="002777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DACF" w14:textId="77777777" w:rsidR="00064002" w:rsidRPr="002777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737D0" w14:textId="77777777" w:rsidR="0096177F" w:rsidRPr="00277717" w:rsidRDefault="0096177F">
      <w:r w:rsidRPr="00277717">
        <w:separator/>
      </w:r>
    </w:p>
  </w:footnote>
  <w:footnote w:type="continuationSeparator" w:id="0">
    <w:p w14:paraId="351C422F" w14:textId="77777777" w:rsidR="0096177F" w:rsidRPr="00277717" w:rsidRDefault="0096177F">
      <w:r w:rsidRPr="00277717">
        <w:continuationSeparator/>
      </w:r>
    </w:p>
  </w:footnote>
  <w:footnote w:id="1">
    <w:p w14:paraId="7691C80E" w14:textId="5C221BE0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 xml:space="preserve">Ú. v. EÚ L, 2024/1679, 28.6.2024, ELI: </w:t>
      </w:r>
      <w:hyperlink r:id="rId1" w:history="1">
        <w:r w:rsidRPr="00384269">
          <w:rPr>
            <w:rStyle w:val="Hyperlink"/>
            <w:sz w:val="24"/>
            <w:lang w:val="sk-SK"/>
          </w:rPr>
          <w:t>http://data.europa.eu/eli/reg/2024/1679/oj</w:t>
        </w:r>
      </w:hyperlink>
      <w:r w:rsidRPr="00277717">
        <w:rPr>
          <w:sz w:val="24"/>
          <w:lang w:val="sk-SK"/>
        </w:rPr>
        <w:t>.</w:t>
      </w:r>
    </w:p>
  </w:footnote>
  <w:footnote w:id="2">
    <w:p w14:paraId="51B4C449" w14:textId="4A353EDD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 xml:space="preserve">Ú. v. EÚ L 249, 14.7.2021, s. 38, ELI: </w:t>
      </w:r>
      <w:r w:rsidR="00C62349">
        <w:fldChar w:fldCharType="begin"/>
      </w:r>
      <w:r w:rsidR="00C62349" w:rsidRPr="00C62349">
        <w:rPr>
          <w:lang w:val="fi-FI"/>
        </w:rPr>
        <w:instrText>HYPERLINK "http://data.europa.eu/eli/reg/2021/1153/oj"</w:instrText>
      </w:r>
      <w:r w:rsidR="00C62349">
        <w:fldChar w:fldCharType="separate"/>
      </w:r>
      <w:r w:rsidRPr="00384269">
        <w:rPr>
          <w:rStyle w:val="Hyperlink"/>
          <w:sz w:val="24"/>
          <w:lang w:val="sk-SK"/>
        </w:rPr>
        <w:t>http://data.europa.eu/eli/reg/2021/1153/oj</w:t>
      </w:r>
      <w:r w:rsidR="00C62349">
        <w:rPr>
          <w:rStyle w:val="Hyperlink"/>
          <w:sz w:val="24"/>
          <w:lang w:val="sk-SK"/>
        </w:rPr>
        <w:fldChar w:fldCharType="end"/>
      </w:r>
      <w:r w:rsidRPr="00277717">
        <w:rPr>
          <w:sz w:val="24"/>
          <w:lang w:val="sk-SK"/>
        </w:rPr>
        <w:t>.</w:t>
      </w:r>
    </w:p>
  </w:footnote>
  <w:footnote w:id="3">
    <w:p w14:paraId="1EDB0075" w14:textId="239C9687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 xml:space="preserve">Ú. v. EÚ L 288, 11.8.2021, s. 37, ELI: </w:t>
      </w:r>
      <w:r w:rsidR="00C62349">
        <w:fldChar w:fldCharType="begin"/>
      </w:r>
      <w:r w:rsidR="00C62349" w:rsidRPr="00C62349">
        <w:rPr>
          <w:lang w:val="fi-FI"/>
        </w:rPr>
        <w:instrText>HYPERLINK "http://data.europa.eu/eli/reg_impl/2021/1328/oj"</w:instrText>
      </w:r>
      <w:r w:rsidR="00C62349">
        <w:fldChar w:fldCharType="separate"/>
      </w:r>
      <w:r w:rsidRPr="00384269">
        <w:rPr>
          <w:rStyle w:val="Hyperlink"/>
          <w:sz w:val="24"/>
          <w:lang w:val="sk-SK"/>
        </w:rPr>
        <w:t>http://data.europa.eu/eli/reg_impl/2021/1328/oj</w:t>
      </w:r>
      <w:r w:rsidR="00C62349">
        <w:rPr>
          <w:rStyle w:val="Hyperlink"/>
          <w:sz w:val="24"/>
          <w:lang w:val="sk-SK"/>
        </w:rPr>
        <w:fldChar w:fldCharType="end"/>
      </w:r>
      <w:r w:rsidRPr="00277717">
        <w:rPr>
          <w:sz w:val="24"/>
          <w:lang w:val="sk-SK"/>
        </w:rPr>
        <w:t>.</w:t>
      </w:r>
    </w:p>
  </w:footnote>
  <w:footnote w:id="4">
    <w:p w14:paraId="52AD5D79" w14:textId="3F6F8D53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Prijaté texty, P10_TA(2025)0058.</w:t>
      </w:r>
    </w:p>
  </w:footnote>
  <w:footnote w:id="5">
    <w:p w14:paraId="5FE7C40C" w14:textId="112938F9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Prijaté texty, P10_TA(2025)0034.</w:t>
      </w:r>
    </w:p>
  </w:footnote>
  <w:footnote w:id="6">
    <w:p w14:paraId="5958D913" w14:textId="5ECF09B3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Ú. v. EÚ </w:t>
      </w:r>
      <w:r w:rsidR="007D09F1">
        <w:rPr>
          <w:sz w:val="24"/>
          <w:lang w:val="sk-SK"/>
        </w:rPr>
        <w:t xml:space="preserve">C, </w:t>
      </w:r>
      <w:r w:rsidRPr="00277717">
        <w:rPr>
          <w:sz w:val="24"/>
          <w:lang w:val="sk-SK"/>
        </w:rPr>
        <w:t xml:space="preserve">C/2024/5716, 17.10.2024, ELI: </w:t>
      </w:r>
      <w:r w:rsidR="00C62349">
        <w:fldChar w:fldCharType="begin"/>
      </w:r>
      <w:r w:rsidR="00C62349" w:rsidRPr="00C62349">
        <w:rPr>
          <w:lang w:val="sk-SK"/>
        </w:rPr>
        <w:instrText>HYPERLINK "http://data.europa.eu/eli/C/2024/5716/oj"</w:instrText>
      </w:r>
      <w:r w:rsidR="00C62349">
        <w:fldChar w:fldCharType="separate"/>
      </w:r>
      <w:r w:rsidRPr="007D09F1">
        <w:rPr>
          <w:rStyle w:val="Hyperlink"/>
          <w:sz w:val="24"/>
          <w:lang w:val="sk-SK"/>
        </w:rPr>
        <w:t>http://data.europa.eu/eli/C/2024/5716/oj</w:t>
      </w:r>
      <w:r w:rsidR="00C62349">
        <w:rPr>
          <w:rStyle w:val="Hyperlink"/>
          <w:sz w:val="24"/>
          <w:lang w:val="sk-SK"/>
        </w:rPr>
        <w:fldChar w:fldCharType="end"/>
      </w:r>
      <w:r w:rsidRPr="00277717">
        <w:rPr>
          <w:sz w:val="24"/>
          <w:lang w:val="sk-SK"/>
        </w:rPr>
        <w:t>.</w:t>
      </w:r>
    </w:p>
  </w:footnote>
  <w:footnote w:id="7">
    <w:p w14:paraId="408C8A24" w14:textId="6567A4DF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Ú. v. EÚ C 465, 6.12.2022, s. 164.</w:t>
      </w:r>
    </w:p>
  </w:footnote>
  <w:footnote w:id="8">
    <w:p w14:paraId="6A9C518E" w14:textId="58AD27AD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Ú. v. EÚ C 99, 1.3.2022, s. 105.</w:t>
      </w:r>
    </w:p>
  </w:footnote>
  <w:footnote w:id="9">
    <w:p w14:paraId="09F1A38F" w14:textId="488DBC8A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Ú. v. EÚ C 388, 13.11.2020, s. 22.</w:t>
      </w:r>
    </w:p>
  </w:footnote>
  <w:footnote w:id="10">
    <w:p w14:paraId="161C58CD" w14:textId="4F6F1277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 xml:space="preserve">Nariadenie Európskeho parlamentu a Rady (EÚ) 2023/2418 z 18. októbra 2023 o zriadení nástroja na posilnenie európskeho obranného priemyslu prostredníctvom spoločného obstarávania (EDIRPA) (Ú. v. EÚ L, 2023/2418, 26.10.2023, ELI: </w:t>
      </w:r>
      <w:r w:rsidR="00C62349">
        <w:fldChar w:fldCharType="begin"/>
      </w:r>
      <w:r w:rsidR="00C62349" w:rsidRPr="00C62349">
        <w:rPr>
          <w:lang w:val="sk-SK"/>
        </w:rPr>
        <w:instrText>HYPERLINK "http://data.europa.eu/eli/reg/2023/2418/oj"</w:instrText>
      </w:r>
      <w:r w:rsidR="00C62349">
        <w:fldChar w:fldCharType="separate"/>
      </w:r>
      <w:r w:rsidRPr="007D09F1">
        <w:rPr>
          <w:rStyle w:val="Hyperlink"/>
          <w:sz w:val="24"/>
          <w:lang w:val="sk-SK"/>
        </w:rPr>
        <w:t>http://data.europa.eu/eli/reg/2023/2418/oj</w:t>
      </w:r>
      <w:r w:rsidR="00C62349">
        <w:rPr>
          <w:rStyle w:val="Hyperlink"/>
          <w:sz w:val="24"/>
          <w:lang w:val="sk-SK"/>
        </w:rPr>
        <w:fldChar w:fldCharType="end"/>
      </w:r>
      <w:r w:rsidRPr="00277717">
        <w:rPr>
          <w:sz w:val="24"/>
          <w:lang w:val="sk-SK"/>
        </w:rPr>
        <w:t>).</w:t>
      </w:r>
    </w:p>
  </w:footnote>
  <w:footnote w:id="11">
    <w:p w14:paraId="58877E9F" w14:textId="2E8528D5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Nariadenie Európskeho parlamentu a Rady (EÚ) 2019/452 z 19. marca 2019, ktorým sa ustanovuje rámec na preverovanie priamych zahraničných investícií do Únie (Ú. v. EÚ L 79</w:t>
      </w:r>
      <w:r w:rsidR="007D09F1">
        <w:rPr>
          <w:sz w:val="24"/>
          <w:lang w:val="sk-SK"/>
        </w:rPr>
        <w:t xml:space="preserve"> </w:t>
      </w:r>
      <w:r w:rsidRPr="00277717">
        <w:rPr>
          <w:sz w:val="24"/>
          <w:lang w:val="sk-SK"/>
        </w:rPr>
        <w:t xml:space="preserve">I, 21.3.2019, s. 1, ELI: </w:t>
      </w:r>
      <w:r w:rsidR="00C62349">
        <w:fldChar w:fldCharType="begin"/>
      </w:r>
      <w:r w:rsidR="00C62349" w:rsidRPr="00C62349">
        <w:rPr>
          <w:lang w:val="sk-SK"/>
        </w:rPr>
        <w:instrText>HYPERLINK "http://data.europa.eu/eli/reg/2019/452/oj"</w:instrText>
      </w:r>
      <w:r w:rsidR="00C62349">
        <w:fldChar w:fldCharType="separate"/>
      </w:r>
      <w:r w:rsidRPr="007D09F1">
        <w:rPr>
          <w:rStyle w:val="Hyperlink"/>
          <w:sz w:val="24"/>
          <w:lang w:val="sk-SK"/>
        </w:rPr>
        <w:t>http://data.europa.eu/eli/reg/2019/452/oj</w:t>
      </w:r>
      <w:r w:rsidR="00C62349">
        <w:rPr>
          <w:rStyle w:val="Hyperlink"/>
          <w:sz w:val="24"/>
          <w:lang w:val="sk-SK"/>
        </w:rPr>
        <w:fldChar w:fldCharType="end"/>
      </w:r>
      <w:r w:rsidRPr="00277717">
        <w:rPr>
          <w:sz w:val="24"/>
          <w:lang w:val="sk-SK"/>
        </w:rPr>
        <w:t>).</w:t>
      </w:r>
    </w:p>
  </w:footnote>
  <w:footnote w:id="12">
    <w:p w14:paraId="611184E8" w14:textId="194C68E3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Prijaté texty, P10_TA(2025)0102.</w:t>
      </w:r>
    </w:p>
  </w:footnote>
  <w:footnote w:id="13">
    <w:p w14:paraId="7824AEBD" w14:textId="4A7D56AD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>Spoločné oznámenie Komisie a vysokej predstaviteľky Únie pre zahraničné veci a bezpečnostnú politiku zo 16. októbra 2025 s názvom Ochrana mieru – Plán obrannej pripravenosti do roku 2030, JOIN(2025)0027.</w:t>
      </w:r>
    </w:p>
  </w:footnote>
  <w:footnote w:id="14">
    <w:p w14:paraId="32508F88" w14:textId="5D7025AC" w:rsidR="00603610" w:rsidRPr="00277717" w:rsidRDefault="00603610" w:rsidP="00277717">
      <w:pPr>
        <w:pStyle w:val="FootnoteText"/>
        <w:ind w:left="567" w:hanging="567"/>
        <w:rPr>
          <w:rFonts w:eastAsiaTheme="minorHAnsi"/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 xml:space="preserve">Smernica Európskeho parlamentu a Rady (EÚ) 2022/2555 zo 14. decembra 2022 o opatreniach na zabezpečenie vysokej spoločnej úrovne kybernetickej bezpečnosti v Únii, ktorou sa mení nariadenie (EÚ) č. 910/2014 a smernica (EÚ) 2018/1972 a zrušuje smernica (EÚ) 2016/1148 (smernica NIS 2) (Ú. v. EÚ L 333, 27.12.2022, s. 80, ELI: </w:t>
      </w:r>
      <w:r w:rsidR="00C62349">
        <w:fldChar w:fldCharType="begin"/>
      </w:r>
      <w:r w:rsidR="00C62349" w:rsidRPr="00C62349">
        <w:rPr>
          <w:lang w:val="sk-SK"/>
        </w:rPr>
        <w:instrText>HYPERLINK "http://data.europa.eu/eli/dir/2022/2555/oj"</w:instrText>
      </w:r>
      <w:r w:rsidR="00C62349">
        <w:fldChar w:fldCharType="separate"/>
      </w:r>
      <w:r w:rsidRPr="007D09F1">
        <w:rPr>
          <w:rStyle w:val="Hyperlink"/>
          <w:sz w:val="24"/>
          <w:lang w:val="sk-SK"/>
        </w:rPr>
        <w:t>http://data.europa.eu/eli/dir/2022/2555/oj</w:t>
      </w:r>
      <w:r w:rsidR="00C62349">
        <w:rPr>
          <w:rStyle w:val="Hyperlink"/>
          <w:sz w:val="24"/>
          <w:lang w:val="sk-SK"/>
        </w:rPr>
        <w:fldChar w:fldCharType="end"/>
      </w:r>
      <w:r w:rsidRPr="00277717">
        <w:rPr>
          <w:sz w:val="24"/>
          <w:lang w:val="sk-SK"/>
        </w:rPr>
        <w:t>).</w:t>
      </w:r>
    </w:p>
  </w:footnote>
  <w:footnote w:id="15">
    <w:p w14:paraId="579F2C72" w14:textId="57C3A3DD" w:rsidR="00603610" w:rsidRPr="00277717" w:rsidRDefault="00603610" w:rsidP="00277717">
      <w:pPr>
        <w:pStyle w:val="FootnoteText"/>
        <w:ind w:left="567" w:hanging="567"/>
        <w:rPr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 xml:space="preserve">Smernica Rady 2009/119/ES zo 14. septembra 2009, ktorou sa členským štátom ukladá povinnosť udržiavať minimálne zásoby ropy a/alebo ropných výrobkov (Ú. v. EÚ L 265, 9.10.2009, s. 9, ELI: </w:t>
      </w:r>
      <w:r w:rsidR="00C62349">
        <w:fldChar w:fldCharType="begin"/>
      </w:r>
      <w:r w:rsidR="00C62349" w:rsidRPr="00C62349">
        <w:rPr>
          <w:lang w:val="sk-SK"/>
        </w:rPr>
        <w:instrText>HYPERLINK "http://data.europa.eu/eli/dir/2009/119/oj"</w:instrText>
      </w:r>
      <w:r w:rsidR="00C62349">
        <w:fldChar w:fldCharType="separate"/>
      </w:r>
      <w:r w:rsidRPr="007D09F1">
        <w:rPr>
          <w:rStyle w:val="Hyperlink"/>
          <w:sz w:val="24"/>
          <w:lang w:val="sk-SK"/>
        </w:rPr>
        <w:t>http://data.europa.eu/eli/dir/2009/119/oj</w:t>
      </w:r>
      <w:r w:rsidR="00C62349">
        <w:rPr>
          <w:rStyle w:val="Hyperlink"/>
          <w:sz w:val="24"/>
          <w:lang w:val="sk-SK"/>
        </w:rPr>
        <w:fldChar w:fldCharType="end"/>
      </w:r>
      <w:r w:rsidRPr="00277717">
        <w:rPr>
          <w:sz w:val="24"/>
          <w:lang w:val="sk-SK"/>
        </w:rPr>
        <w:t>).</w:t>
      </w:r>
    </w:p>
  </w:footnote>
  <w:footnote w:id="16">
    <w:p w14:paraId="1078FBAA" w14:textId="418C329C" w:rsidR="00603610" w:rsidRPr="00277717" w:rsidRDefault="00603610" w:rsidP="00277717">
      <w:pPr>
        <w:pStyle w:val="FootnoteText"/>
        <w:ind w:left="567" w:hanging="567"/>
        <w:rPr>
          <w:rFonts w:eastAsiaTheme="minorHAnsi"/>
          <w:sz w:val="24"/>
          <w:lang w:val="sk-SK"/>
        </w:rPr>
      </w:pPr>
      <w:r w:rsidRPr="00277717">
        <w:rPr>
          <w:rStyle w:val="FootnoteReference"/>
          <w:sz w:val="24"/>
          <w:lang w:val="sk-SK"/>
        </w:rPr>
        <w:footnoteRef/>
      </w:r>
      <w:r w:rsidR="00277717" w:rsidRPr="00277717">
        <w:rPr>
          <w:sz w:val="24"/>
          <w:lang w:val="sk-SK"/>
        </w:rPr>
        <w:t xml:space="preserve"> </w:t>
      </w:r>
      <w:r w:rsidR="00277717" w:rsidRPr="00277717">
        <w:rPr>
          <w:sz w:val="24"/>
          <w:lang w:val="sk-SK"/>
        </w:rPr>
        <w:tab/>
      </w:r>
      <w:r w:rsidRPr="00277717">
        <w:rPr>
          <w:sz w:val="24"/>
          <w:lang w:val="sk-SK"/>
        </w:rPr>
        <w:t xml:space="preserve">Nariadenie Európskeho parlamentu a Rady (EÚ) 2023/1804 z 13. septembra 2023 o zavádzaní infraštruktúry pre alternatívne palivá a o zrušení smernice 2014/94/EÚ (Ú. v. EÚ L 234, 22.9.2023, s. 1, ELI: </w:t>
      </w:r>
      <w:r w:rsidR="00C62349">
        <w:fldChar w:fldCharType="begin"/>
      </w:r>
      <w:r w:rsidR="00C62349" w:rsidRPr="00C62349">
        <w:rPr>
          <w:lang w:val="sk-SK"/>
        </w:rPr>
        <w:instrText>HYPERLINK "http://data.europa.eu/eli/reg/2023/1804/oj"</w:instrText>
      </w:r>
      <w:r w:rsidR="00C62349">
        <w:fldChar w:fldCharType="separate"/>
      </w:r>
      <w:r w:rsidRPr="007D09F1">
        <w:rPr>
          <w:rStyle w:val="Hyperlink"/>
          <w:sz w:val="24"/>
          <w:lang w:val="sk-SK"/>
        </w:rPr>
        <w:t>http://data.europa.eu/eli/reg/2023/1804/oj</w:t>
      </w:r>
      <w:r w:rsidR="00C62349">
        <w:rPr>
          <w:rStyle w:val="Hyperlink"/>
          <w:sz w:val="24"/>
          <w:lang w:val="sk-SK"/>
        </w:rPr>
        <w:fldChar w:fldCharType="end"/>
      </w:r>
      <w:r w:rsidRPr="00277717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4F5A" w14:textId="77777777" w:rsidR="00064002" w:rsidRPr="002777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F3CF6" w14:textId="77777777" w:rsidR="00064002" w:rsidRPr="002777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3A698" w14:textId="77777777" w:rsidR="00064002" w:rsidRPr="002777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3915788">
    <w:abstractNumId w:val="9"/>
  </w:num>
  <w:num w:numId="2" w16cid:durableId="1032413657">
    <w:abstractNumId w:val="9"/>
  </w:num>
  <w:num w:numId="3" w16cid:durableId="1637754569">
    <w:abstractNumId w:val="7"/>
  </w:num>
  <w:num w:numId="4" w16cid:durableId="741146651">
    <w:abstractNumId w:val="7"/>
  </w:num>
  <w:num w:numId="5" w16cid:durableId="1408265298">
    <w:abstractNumId w:val="6"/>
  </w:num>
  <w:num w:numId="6" w16cid:durableId="1210654621">
    <w:abstractNumId w:val="6"/>
  </w:num>
  <w:num w:numId="7" w16cid:durableId="1900824472">
    <w:abstractNumId w:val="5"/>
  </w:num>
  <w:num w:numId="8" w16cid:durableId="1074009523">
    <w:abstractNumId w:val="5"/>
  </w:num>
  <w:num w:numId="9" w16cid:durableId="21979824">
    <w:abstractNumId w:val="4"/>
  </w:num>
  <w:num w:numId="10" w16cid:durableId="699627161">
    <w:abstractNumId w:val="4"/>
  </w:num>
  <w:num w:numId="11" w16cid:durableId="2096629551">
    <w:abstractNumId w:val="8"/>
  </w:num>
  <w:num w:numId="12" w16cid:durableId="1953124245">
    <w:abstractNumId w:val="8"/>
  </w:num>
  <w:num w:numId="13" w16cid:durableId="303120263">
    <w:abstractNumId w:val="3"/>
  </w:num>
  <w:num w:numId="14" w16cid:durableId="1830054363">
    <w:abstractNumId w:val="3"/>
  </w:num>
  <w:num w:numId="15" w16cid:durableId="1357000725">
    <w:abstractNumId w:val="2"/>
  </w:num>
  <w:num w:numId="16" w16cid:durableId="739983467">
    <w:abstractNumId w:val="2"/>
  </w:num>
  <w:num w:numId="17" w16cid:durableId="1067921908">
    <w:abstractNumId w:val="1"/>
  </w:num>
  <w:num w:numId="18" w16cid:durableId="1880169214">
    <w:abstractNumId w:val="1"/>
  </w:num>
  <w:num w:numId="19" w16cid:durableId="517693772">
    <w:abstractNumId w:val="0"/>
  </w:num>
  <w:num w:numId="20" w16cid:durableId="1513841291">
    <w:abstractNumId w:val="0"/>
  </w:num>
  <w:num w:numId="21" w16cid:durableId="184366062">
    <w:abstractNumId w:val="9"/>
  </w:num>
  <w:num w:numId="22" w16cid:durableId="1795635845">
    <w:abstractNumId w:val="7"/>
  </w:num>
  <w:num w:numId="23" w16cid:durableId="108165575">
    <w:abstractNumId w:val="6"/>
  </w:num>
  <w:num w:numId="24" w16cid:durableId="2016030196">
    <w:abstractNumId w:val="5"/>
  </w:num>
  <w:num w:numId="25" w16cid:durableId="1967396191">
    <w:abstractNumId w:val="4"/>
  </w:num>
  <w:num w:numId="26" w16cid:durableId="1778868532">
    <w:abstractNumId w:val="8"/>
  </w:num>
  <w:num w:numId="27" w16cid:durableId="627860009">
    <w:abstractNumId w:val="3"/>
  </w:num>
  <w:num w:numId="28" w16cid:durableId="582879507">
    <w:abstractNumId w:val="2"/>
  </w:num>
  <w:num w:numId="29" w16cid:durableId="1005937755">
    <w:abstractNumId w:val="1"/>
  </w:num>
  <w:num w:numId="30" w16cid:durableId="1560630408">
    <w:abstractNumId w:val="0"/>
  </w:num>
  <w:num w:numId="31" w16cid:durableId="980573005">
    <w:abstractNumId w:val="9"/>
  </w:num>
  <w:num w:numId="32" w16cid:durableId="1323925444">
    <w:abstractNumId w:val="7"/>
  </w:num>
  <w:num w:numId="33" w16cid:durableId="571159737">
    <w:abstractNumId w:val="6"/>
  </w:num>
  <w:num w:numId="34" w16cid:durableId="71632453">
    <w:abstractNumId w:val="5"/>
  </w:num>
  <w:num w:numId="35" w16cid:durableId="740323977">
    <w:abstractNumId w:val="4"/>
  </w:num>
  <w:num w:numId="36" w16cid:durableId="689526337">
    <w:abstractNumId w:val="8"/>
  </w:num>
  <w:num w:numId="37" w16cid:durableId="666397270">
    <w:abstractNumId w:val="3"/>
  </w:num>
  <w:num w:numId="38" w16cid:durableId="1386221019">
    <w:abstractNumId w:val="2"/>
  </w:num>
  <w:num w:numId="39" w16cid:durableId="239146461">
    <w:abstractNumId w:val="1"/>
  </w:num>
  <w:num w:numId="40" w16cid:durableId="426998950">
    <w:abstractNumId w:val="0"/>
  </w:num>
  <w:num w:numId="41" w16cid:durableId="561644438">
    <w:abstractNumId w:val="10"/>
  </w:num>
  <w:num w:numId="42" w16cid:durableId="969893838">
    <w:abstractNumId w:val="10"/>
  </w:num>
  <w:num w:numId="43" w16cid:durableId="2050951923">
    <w:abstractNumId w:val="10"/>
  </w:num>
  <w:num w:numId="44" w16cid:durableId="1959754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2/2025"/>
    <w:docVar w:name="dvlangue" w:val="SK"/>
    <w:docVar w:name="dvnumam" w:val="0"/>
    <w:docVar w:name="dvpe" w:val="774.374"/>
    <w:docVar w:name="dvrapporteur" w:val="Spravodajcovia: "/>
    <w:docVar w:name="dvtitre" w:val="Uznesenie Európskeho parlamentu z xx. decembra 2025 o vojenskej mobilite(2025/2090(INI))"/>
  </w:docVars>
  <w:rsids>
    <w:rsidRoot w:val="0096177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7717"/>
    <w:rsid w:val="002B18FE"/>
    <w:rsid w:val="002B5493"/>
    <w:rsid w:val="00343214"/>
    <w:rsid w:val="00361C00"/>
    <w:rsid w:val="00384269"/>
    <w:rsid w:val="003911BF"/>
    <w:rsid w:val="00395FA1"/>
    <w:rsid w:val="003B4506"/>
    <w:rsid w:val="003E15D4"/>
    <w:rsid w:val="00411CCE"/>
    <w:rsid w:val="0041666E"/>
    <w:rsid w:val="00421060"/>
    <w:rsid w:val="00442DE3"/>
    <w:rsid w:val="00471C19"/>
    <w:rsid w:val="004867E3"/>
    <w:rsid w:val="00494A28"/>
    <w:rsid w:val="004A7EC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61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92A"/>
    <w:rsid w:val="007D09F1"/>
    <w:rsid w:val="007D1690"/>
    <w:rsid w:val="007E22AD"/>
    <w:rsid w:val="00817416"/>
    <w:rsid w:val="00842779"/>
    <w:rsid w:val="00865F67"/>
    <w:rsid w:val="00881A7B"/>
    <w:rsid w:val="008840E5"/>
    <w:rsid w:val="00887B3E"/>
    <w:rsid w:val="008924BD"/>
    <w:rsid w:val="008C2AC6"/>
    <w:rsid w:val="00930C23"/>
    <w:rsid w:val="0093193B"/>
    <w:rsid w:val="009509D8"/>
    <w:rsid w:val="00950B64"/>
    <w:rsid w:val="0096177F"/>
    <w:rsid w:val="00973FA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34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719BD4"/>
  <w15:chartTrackingRefBased/>
  <w15:docId w15:val="{994BABED-B1BE-4A90-92C0-CD2F8C46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361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60361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603610"/>
    <w:pPr>
      <w:spacing w:after="240"/>
      <w:jc w:val="center"/>
    </w:pPr>
  </w:style>
  <w:style w:type="character" w:customStyle="1" w:styleId="BoldItalic">
    <w:name w:val="BoldItalic"/>
    <w:uiPriority w:val="1"/>
    <w:rsid w:val="00603610"/>
    <w:rPr>
      <w:b/>
      <w:i/>
      <w:u w:val="none"/>
    </w:rPr>
  </w:style>
  <w:style w:type="character" w:customStyle="1" w:styleId="Italic">
    <w:name w:val="Italic"/>
    <w:uiPriority w:val="1"/>
    <w:rsid w:val="00603610"/>
    <w:rPr>
      <w:i/>
    </w:rPr>
  </w:style>
  <w:style w:type="paragraph" w:customStyle="1" w:styleId="Normal12a24b">
    <w:name w:val="Normal12a24b"/>
    <w:basedOn w:val="Normal"/>
    <w:rsid w:val="0060361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603610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603610"/>
    <w:rPr>
      <w:snapToGrid w:val="0"/>
      <w:sz w:val="24"/>
      <w:lang w:val="sk-SK" w:eastAsia="en-US"/>
    </w:rPr>
  </w:style>
  <w:style w:type="paragraph" w:styleId="Revision">
    <w:name w:val="Revision"/>
    <w:hidden/>
    <w:uiPriority w:val="99"/>
    <w:semiHidden/>
    <w:rsid w:val="007C592A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384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7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8952</Words>
  <Characters>51027</Characters>
  <Application>Microsoft Office Word</Application>
  <DocSecurity>0</DocSecurity>
  <Lines>425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2025-12-17T12:12:00Z</dcterms:created>
  <dcterms:modified xsi:type="dcterms:W3CDTF">2025-12-17T12:12:00Z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A10-0242/2025</vt:lpwstr>
  </property>
  <property fmtid="{D5CDD505-2E9C-101B-9397-08002B2CF9AE}" pid="4" name="&lt;Type&gt;">
    <vt:lpwstr>RR</vt:lpwstr>
  </property>
</Properties>
</file>