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6EFA" w14:paraId="18C9E1DF" w14:textId="77777777" w:rsidTr="0010095E">
        <w:trPr>
          <w:trHeight w:hRule="exact" w:val="1418"/>
        </w:trPr>
        <w:tc>
          <w:tcPr>
            <w:tcW w:w="6804" w:type="dxa"/>
            <w:shd w:val="clear" w:color="auto" w:fill="auto"/>
            <w:vAlign w:val="center"/>
          </w:tcPr>
          <w:p w14:paraId="019D7240" w14:textId="77777777" w:rsidR="00751A4A" w:rsidRPr="00D06EFA" w:rsidRDefault="006A2DAA" w:rsidP="0010095E">
            <w:pPr>
              <w:pStyle w:val="EPName"/>
            </w:pPr>
            <w:r w:rsidRPr="00D06EFA">
              <w:t>Europa-Parlamentet</w:t>
            </w:r>
          </w:p>
          <w:p w14:paraId="1034B51B" w14:textId="77777777" w:rsidR="00751A4A" w:rsidRPr="00D06EFA" w:rsidRDefault="005F1B17" w:rsidP="005F1B17">
            <w:pPr>
              <w:pStyle w:val="EPTerm"/>
              <w:rPr>
                <w:rStyle w:val="HideTWBExt"/>
                <w:noProof w:val="0"/>
                <w:vanish w:val="0"/>
                <w:color w:val="auto"/>
              </w:rPr>
            </w:pPr>
            <w:r w:rsidRPr="00D06EFA">
              <w:t>2024</w:t>
            </w:r>
            <w:r w:rsidR="00817416" w:rsidRPr="00D06EFA">
              <w:t>-202</w:t>
            </w:r>
            <w:r w:rsidRPr="00D06EFA">
              <w:t>9</w:t>
            </w:r>
          </w:p>
        </w:tc>
        <w:tc>
          <w:tcPr>
            <w:tcW w:w="2268" w:type="dxa"/>
            <w:shd w:val="clear" w:color="auto" w:fill="auto"/>
          </w:tcPr>
          <w:p w14:paraId="51147499" w14:textId="77777777" w:rsidR="00751A4A" w:rsidRPr="00D06EFA" w:rsidRDefault="00187494" w:rsidP="0010095E">
            <w:pPr>
              <w:pStyle w:val="EPLogo"/>
            </w:pPr>
            <w:r w:rsidRPr="00D06EFA">
              <w:rPr>
                <w:noProof/>
                <w:lang w:eastAsia="ja-JP"/>
              </w:rPr>
              <w:drawing>
                <wp:inline distT="0" distB="0" distL="0" distR="0" wp14:anchorId="4CDF056A" wp14:editId="22DF97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EAE05C" w14:textId="77777777" w:rsidR="00D058B8" w:rsidRPr="00D06EFA" w:rsidRDefault="00D058B8" w:rsidP="004C5D52">
      <w:pPr>
        <w:pStyle w:val="LineTop"/>
      </w:pPr>
    </w:p>
    <w:p w14:paraId="34ADF3AD" w14:textId="77777777" w:rsidR="00680577" w:rsidRPr="00D06EFA" w:rsidRDefault="006A2DAA" w:rsidP="00680577">
      <w:pPr>
        <w:pStyle w:val="EPBodyTA1"/>
      </w:pPr>
      <w:r w:rsidRPr="00D06EFA">
        <w:t>VEDTAGNE TEKSTER</w:t>
      </w:r>
    </w:p>
    <w:p w14:paraId="106A0DEA" w14:textId="77777777" w:rsidR="00D058B8" w:rsidRPr="00D06EFA" w:rsidRDefault="00D058B8" w:rsidP="00D058B8">
      <w:pPr>
        <w:pStyle w:val="LineBottom"/>
      </w:pPr>
    </w:p>
    <w:p w14:paraId="4FA48A39" w14:textId="254D9F37" w:rsidR="006A2DAA" w:rsidRPr="009B1344" w:rsidRDefault="006A2DAA" w:rsidP="006A2DAA">
      <w:pPr>
        <w:pStyle w:val="ATHeading1"/>
      </w:pPr>
      <w:bookmarkStart w:id="0" w:name="TANumber"/>
      <w:r w:rsidRPr="009B1344">
        <w:t>P10_TA(2025)0</w:t>
      </w:r>
      <w:r w:rsidR="00ED56B0">
        <w:t>336</w:t>
      </w:r>
      <w:bookmarkEnd w:id="0"/>
    </w:p>
    <w:p w14:paraId="765779BB" w14:textId="77777777" w:rsidR="006A2DAA" w:rsidRPr="009B1344" w:rsidRDefault="006A2DAA" w:rsidP="006A2DAA">
      <w:pPr>
        <w:pStyle w:val="ATHeading2"/>
      </w:pPr>
      <w:bookmarkStart w:id="1" w:name="title"/>
      <w:r w:rsidRPr="009B1344">
        <w:t>Europæisk forsvarsberedskab 2030: behovsvurdering</w:t>
      </w:r>
      <w:bookmarkEnd w:id="1"/>
    </w:p>
    <w:p w14:paraId="14E5F0A6" w14:textId="77777777" w:rsidR="006A2DAA" w:rsidRPr="00D06EFA" w:rsidRDefault="006A2DAA" w:rsidP="006A2DAA">
      <w:pPr>
        <w:rPr>
          <w:i/>
          <w:vanish/>
        </w:rPr>
      </w:pPr>
      <w:r w:rsidRPr="00D06EFA">
        <w:rPr>
          <w:i/>
        </w:rPr>
        <w:fldChar w:fldCharType="begin"/>
      </w:r>
      <w:r w:rsidRPr="00D06EFA">
        <w:rPr>
          <w:i/>
        </w:rPr>
        <w:instrText xml:space="preserve"> TC"(</w:instrText>
      </w:r>
      <w:bookmarkStart w:id="2" w:name="DocNumber"/>
      <w:r w:rsidRPr="00D06EFA">
        <w:rPr>
          <w:i/>
        </w:rPr>
        <w:instrText>A10-0243/2025</w:instrText>
      </w:r>
      <w:bookmarkEnd w:id="2"/>
      <w:r w:rsidRPr="00D06EFA">
        <w:rPr>
          <w:i/>
        </w:rPr>
        <w:instrText xml:space="preserve"> - Ordfører: Christophe Gomart)"\l3 \n&gt; \* MERGEFORMAT </w:instrText>
      </w:r>
      <w:r w:rsidRPr="00D06EFA">
        <w:rPr>
          <w:i/>
        </w:rPr>
        <w:fldChar w:fldCharType="end"/>
      </w:r>
    </w:p>
    <w:p w14:paraId="544DD191" w14:textId="77777777" w:rsidR="006A2DAA" w:rsidRPr="00D06EFA" w:rsidRDefault="006A2DAA" w:rsidP="006A2DAA">
      <w:pPr>
        <w:rPr>
          <w:vanish/>
        </w:rPr>
      </w:pPr>
      <w:bookmarkStart w:id="3" w:name="Commission"/>
      <w:r w:rsidRPr="00D06EFA">
        <w:rPr>
          <w:vanish/>
        </w:rPr>
        <w:t>Udvalget om Sikkerhed og Forsvar</w:t>
      </w:r>
      <w:bookmarkEnd w:id="3"/>
    </w:p>
    <w:p w14:paraId="486D8988" w14:textId="77777777" w:rsidR="006A2DAA" w:rsidRPr="00D06EFA" w:rsidRDefault="006A2DAA" w:rsidP="006A2DAA">
      <w:pPr>
        <w:rPr>
          <w:vanish/>
        </w:rPr>
      </w:pPr>
      <w:bookmarkStart w:id="4" w:name="PE"/>
      <w:r w:rsidRPr="00D06EFA">
        <w:rPr>
          <w:vanish/>
        </w:rPr>
        <w:t>PE776.772</w:t>
      </w:r>
      <w:bookmarkEnd w:id="4"/>
    </w:p>
    <w:p w14:paraId="2D4208CA" w14:textId="3FE0B830" w:rsidR="006A2DAA" w:rsidRPr="009B1344" w:rsidRDefault="006A2DAA" w:rsidP="006A2DAA">
      <w:pPr>
        <w:pStyle w:val="ATHeading3"/>
      </w:pPr>
      <w:bookmarkStart w:id="5" w:name="Sujet"/>
      <w:r w:rsidRPr="009B1344">
        <w:t xml:space="preserve">Europa-Parlamentets beslutning af </w:t>
      </w:r>
      <w:r w:rsidR="00D06EFA" w:rsidRPr="009B1344">
        <w:t>17</w:t>
      </w:r>
      <w:r w:rsidRPr="009B1344">
        <w:t>. december 2025 om europæisk forsvarsberedskab 2030: behovsvurdering</w:t>
      </w:r>
      <w:bookmarkEnd w:id="5"/>
      <w:r w:rsidRPr="009B1344">
        <w:t xml:space="preserve"> </w:t>
      </w:r>
      <w:bookmarkStart w:id="6" w:name="References"/>
      <w:r w:rsidRPr="009B1344">
        <w:t>(2025/2142(INI))</w:t>
      </w:r>
      <w:bookmarkEnd w:id="6"/>
    </w:p>
    <w:p w14:paraId="62DF3466" w14:textId="77777777" w:rsidR="009B008B" w:rsidRPr="00D06EFA" w:rsidRDefault="009B008B" w:rsidP="009B008B">
      <w:pPr>
        <w:pStyle w:val="EPComma"/>
      </w:pPr>
      <w:r w:rsidRPr="00D06EFA">
        <w:rPr>
          <w:rStyle w:val="Italic"/>
        </w:rPr>
        <w:t>Europa-Parlamentet</w:t>
      </w:r>
      <w:r w:rsidRPr="00D06EFA">
        <w:t>,</w:t>
      </w:r>
    </w:p>
    <w:p w14:paraId="27EA2A09" w14:textId="77777777" w:rsidR="009B008B" w:rsidRPr="00D06EFA" w:rsidRDefault="009B008B" w:rsidP="009B008B">
      <w:pPr>
        <w:pStyle w:val="NormalHanging12a"/>
      </w:pPr>
      <w:r w:rsidRPr="00D06EFA">
        <w:t>–</w:t>
      </w:r>
      <w:r w:rsidRPr="00D06EFA">
        <w:tab/>
        <w:t>der henviser til traktaten om Den Europæiske Unions funktionsmåde (TEUF),</w:t>
      </w:r>
    </w:p>
    <w:p w14:paraId="5D5B7435" w14:textId="77777777" w:rsidR="009B008B" w:rsidRPr="00D06EFA" w:rsidRDefault="009B008B" w:rsidP="009B008B">
      <w:pPr>
        <w:pStyle w:val="NormalHanging12a"/>
      </w:pPr>
      <w:r w:rsidRPr="00D06EFA">
        <w:t>–</w:t>
      </w:r>
      <w:r w:rsidRPr="00D06EFA">
        <w:tab/>
        <w:t>der henviser til afsnit V i traktaten om Den Europæiske Union, særlig kapitel 2, 2. afdeling, om den fælles sikkerheds- og forsvarspolitik,</w:t>
      </w:r>
    </w:p>
    <w:p w14:paraId="18860666" w14:textId="77777777" w:rsidR="009B008B" w:rsidRPr="00D06EFA" w:rsidRDefault="009B008B" w:rsidP="009B008B">
      <w:pPr>
        <w:pStyle w:val="NormalHanging12a"/>
      </w:pPr>
      <w:r w:rsidRPr="00D06EFA">
        <w:t>–</w:t>
      </w:r>
      <w:r w:rsidRPr="00D06EFA">
        <w:tab/>
        <w:t xml:space="preserve">der henviser til hvidbogen om europæisk forsvarsberedskab 2030, som blev forelagt af Kommission og Unionens højtstående repræsentant for udenrigsanliggender og sikkerhedspolitik den 19. marts 2025, og til dens finansieringsplan med fem søjler, </w:t>
      </w:r>
      <w:proofErr w:type="spellStart"/>
      <w:r w:rsidRPr="00D06EFA">
        <w:t>ReArm</w:t>
      </w:r>
      <w:proofErr w:type="spellEnd"/>
      <w:r w:rsidRPr="00D06EFA">
        <w:t xml:space="preserve"> Europe,</w:t>
      </w:r>
    </w:p>
    <w:p w14:paraId="68B0352B" w14:textId="77777777" w:rsidR="009B008B" w:rsidRPr="00D06EFA" w:rsidRDefault="009B008B" w:rsidP="009B008B">
      <w:pPr>
        <w:pStyle w:val="NormalHanging12a"/>
      </w:pPr>
      <w:r w:rsidRPr="00D06EFA">
        <w:t>–</w:t>
      </w:r>
      <w:r w:rsidRPr="00D06EFA">
        <w:tab/>
        <w:t>der henviser til den fælles meddelelse af 18. maj 2022 fra Kommissionen og Unionens højtstående repræsentant for udenrigsanliggender og sikkerhedspolitik om analyse af investeringsunderskud på forsvarsområdet og vejen frem (JOIN(2022)0024),</w:t>
      </w:r>
    </w:p>
    <w:p w14:paraId="4AF4A2B7" w14:textId="77777777" w:rsidR="009B008B" w:rsidRPr="00D06EFA" w:rsidRDefault="009B008B" w:rsidP="009B008B">
      <w:pPr>
        <w:pStyle w:val="NormalHanging12a"/>
      </w:pPr>
      <w:r w:rsidRPr="00D06EFA">
        <w:t>–</w:t>
      </w:r>
      <w:r w:rsidRPr="00D06EFA">
        <w:tab/>
        <w:t xml:space="preserve">der henviser til undersøgelsen af 11. januar 2024 med titlen "Access to </w:t>
      </w:r>
      <w:proofErr w:type="spellStart"/>
      <w:r w:rsidRPr="00D06EFA">
        <w:t>equity</w:t>
      </w:r>
      <w:proofErr w:type="spellEnd"/>
      <w:r w:rsidRPr="00D06EFA">
        <w:t xml:space="preserve"> </w:t>
      </w:r>
      <w:proofErr w:type="spellStart"/>
      <w:r w:rsidRPr="00D06EFA">
        <w:t>funding</w:t>
      </w:r>
      <w:proofErr w:type="spellEnd"/>
      <w:r w:rsidRPr="00D06EFA">
        <w:t xml:space="preserve"> for European </w:t>
      </w:r>
      <w:proofErr w:type="spellStart"/>
      <w:r w:rsidRPr="00D06EFA">
        <w:t>defence</w:t>
      </w:r>
      <w:proofErr w:type="spellEnd"/>
      <w:r w:rsidRPr="00D06EFA">
        <w:t xml:space="preserve"> </w:t>
      </w:r>
      <w:proofErr w:type="spellStart"/>
      <w:r w:rsidRPr="00D06EFA">
        <w:t>SMEs</w:t>
      </w:r>
      <w:proofErr w:type="spellEnd"/>
      <w:r w:rsidRPr="00D06EFA">
        <w:t>" (adgang til egenkapitalfinansiering for SMV'er i den europæiske forsvarssektor</w:t>
      </w:r>
      <w:r w:rsidRPr="00D06EFA">
        <w:rPr>
          <w:rStyle w:val="FootnoteReference"/>
        </w:rPr>
        <w:footnoteReference w:id="1"/>
      </w:r>
      <w:r w:rsidRPr="00D06EFA">
        <w:t>),</w:t>
      </w:r>
    </w:p>
    <w:p w14:paraId="26131622" w14:textId="77777777" w:rsidR="009B008B" w:rsidRPr="00D06EFA" w:rsidRDefault="009B008B" w:rsidP="009B008B">
      <w:pPr>
        <w:pStyle w:val="NormalHanging12a"/>
      </w:pPr>
      <w:r w:rsidRPr="00D06EFA">
        <w:t>–</w:t>
      </w:r>
      <w:r w:rsidRPr="00D06EFA">
        <w:tab/>
        <w:t>der henviser til den fælles meddelelse af 5. marts 2024 fra Kommissionen og den højtstående repræsentant for udenrigsanliggender og sikkerhedspolitik med titlen "En ny strategi for den europæiske forsvarsindustri: Vejen til beredskab i EU gennem en reaktionsdygtig og modstandsdygtig forsvarsindustri i Europa" (JOIN(2024)0010),</w:t>
      </w:r>
    </w:p>
    <w:p w14:paraId="4544CD0D" w14:textId="77777777" w:rsidR="009B008B" w:rsidRPr="00D06EFA" w:rsidRDefault="009B008B" w:rsidP="009B008B">
      <w:pPr>
        <w:pStyle w:val="NormalHanging12a"/>
      </w:pPr>
      <w:r w:rsidRPr="00D06EFA">
        <w:t>–</w:t>
      </w:r>
      <w:r w:rsidRPr="00D06EFA">
        <w:tab/>
        <w:t xml:space="preserve">der henviser til Mario </w:t>
      </w:r>
      <w:proofErr w:type="spellStart"/>
      <w:r w:rsidRPr="00D06EFA">
        <w:t>Draghis</w:t>
      </w:r>
      <w:proofErr w:type="spellEnd"/>
      <w:r w:rsidRPr="00D06EFA">
        <w:t xml:space="preserve"> rapport af 9. september 2024 om fremtiden for den europæiske konkurrenceevne (</w:t>
      </w:r>
      <w:proofErr w:type="spellStart"/>
      <w:r w:rsidRPr="00D06EFA">
        <w:t>Draghirapporten</w:t>
      </w:r>
      <w:proofErr w:type="spellEnd"/>
      <w:r w:rsidRPr="00D06EFA">
        <w:t>),</w:t>
      </w:r>
    </w:p>
    <w:p w14:paraId="7B7B3620" w14:textId="77777777" w:rsidR="009B008B" w:rsidRPr="00D06EFA" w:rsidRDefault="009B008B" w:rsidP="009B008B">
      <w:pPr>
        <w:pStyle w:val="NormalHanging12a"/>
      </w:pPr>
      <w:r w:rsidRPr="00D06EFA">
        <w:t>–</w:t>
      </w:r>
      <w:r w:rsidRPr="00D06EFA">
        <w:tab/>
        <w:t>der henviser til Den Europæiske Investeringsbanks (EIB) aktivitetsberetning for 2024,</w:t>
      </w:r>
    </w:p>
    <w:p w14:paraId="40D851A0" w14:textId="77777777" w:rsidR="009B008B" w:rsidRPr="00D06EFA" w:rsidRDefault="009B008B" w:rsidP="009B008B">
      <w:pPr>
        <w:pStyle w:val="NormalHanging12a"/>
      </w:pPr>
      <w:r w:rsidRPr="00D06EFA">
        <w:lastRenderedPageBreak/>
        <w:t>–</w:t>
      </w:r>
      <w:r w:rsidRPr="00D06EFA">
        <w:tab/>
        <w:t>der henviser til sin førstebehandlingsholdning af 25. november 2025 om forslaget til Europa-Parlamentets og Rådets forordning om etablering af programmet for den europæiske forsvarsindustri og en ramme for foranstaltninger til sikring af rettidig tilgængelighed og forsyning af forsvarsprodukter</w:t>
      </w:r>
      <w:r w:rsidRPr="00D06EFA">
        <w:rPr>
          <w:rStyle w:val="FootnoteReference"/>
        </w:rPr>
        <w:footnoteReference w:id="2"/>
      </w:r>
      <w:r w:rsidRPr="00D06EFA">
        <w:t>,</w:t>
      </w:r>
    </w:p>
    <w:p w14:paraId="45C04576" w14:textId="77777777" w:rsidR="009B008B" w:rsidRPr="00D06EFA" w:rsidRDefault="009B008B" w:rsidP="009B008B">
      <w:pPr>
        <w:pStyle w:val="NormalHanging12a"/>
      </w:pPr>
      <w:r w:rsidRPr="00D06EFA">
        <w:t>–</w:t>
      </w:r>
      <w:r w:rsidRPr="00D06EFA">
        <w:tab/>
        <w:t>der henviser til det fælles kommuniké af 6. juni 2025 fra Frankrig, Tyskland, Spanien, Estland, Luxembourg, Nederlandene og Portugal om lanceringen af mærket "Finance Europe",</w:t>
      </w:r>
    </w:p>
    <w:p w14:paraId="7C358DA4" w14:textId="77777777" w:rsidR="009B008B" w:rsidRPr="00D06EFA" w:rsidRDefault="009B008B" w:rsidP="009B008B">
      <w:pPr>
        <w:pStyle w:val="NormalHanging12a"/>
      </w:pPr>
      <w:r w:rsidRPr="00D06EFA">
        <w:t>–</w:t>
      </w:r>
      <w:r w:rsidRPr="00D06EFA">
        <w:tab/>
        <w:t>der henviser til Kommissionens meddelelse om omnibuspakken om forsvarsberedskab af 17. juni 2025 (COM(2025)0820), der har til formål at forenkle de relevante retlige og administrative rammer for at styrke EU's forsvarsberedskab,</w:t>
      </w:r>
    </w:p>
    <w:p w14:paraId="2D87BB40" w14:textId="77777777" w:rsidR="009B008B" w:rsidRPr="00D06EFA" w:rsidRDefault="009B008B" w:rsidP="009B008B">
      <w:pPr>
        <w:spacing w:after="240"/>
        <w:ind w:left="567" w:hanging="567"/>
        <w:jc w:val="both"/>
      </w:pPr>
      <w:r w:rsidRPr="00D06EFA">
        <w:t>–</w:t>
      </w:r>
      <w:r w:rsidRPr="00D06EFA">
        <w:tab/>
        <w:t>der henviser til den tiende statusrapport af juni 2025 om gennemførelse af det fælles sæt af forslag, som blev godkendt af EU-Rådet og Det Nordatlantiske Råd den 6. december 2016 og den 5. december 2017,</w:t>
      </w:r>
    </w:p>
    <w:p w14:paraId="4B2744AA" w14:textId="77777777" w:rsidR="009B008B" w:rsidRPr="00D06EFA" w:rsidRDefault="009B008B" w:rsidP="009B008B">
      <w:pPr>
        <w:spacing w:after="240"/>
        <w:ind w:left="567" w:hanging="567"/>
        <w:jc w:val="both"/>
      </w:pPr>
      <w:r w:rsidRPr="00D06EFA">
        <w:t>–</w:t>
      </w:r>
      <w:r w:rsidRPr="00D06EFA">
        <w:tab/>
        <w:t>der henviser til Rådets forordning (EU) 2025/1106 af 27. maj 2025 om oprettelse af instrumentet for sikkerhedstiltag for Europa (SAFE) gennem styrkelse af den europæiske forsvarsindustri</w:t>
      </w:r>
      <w:r w:rsidRPr="00D06EFA">
        <w:rPr>
          <w:rStyle w:val="FootnoteReference"/>
        </w:rPr>
        <w:footnoteReference w:id="3"/>
      </w:r>
      <w:r w:rsidRPr="00D06EFA">
        <w:t>,</w:t>
      </w:r>
    </w:p>
    <w:p w14:paraId="3C82135C" w14:textId="77777777" w:rsidR="009B008B" w:rsidRPr="00D06EFA" w:rsidRDefault="009B008B" w:rsidP="009B008B">
      <w:pPr>
        <w:spacing w:after="240"/>
        <w:ind w:left="567" w:hanging="567"/>
        <w:jc w:val="both"/>
      </w:pPr>
      <w:r w:rsidRPr="00D06EFA">
        <w:t>–</w:t>
      </w:r>
      <w:r w:rsidRPr="00D06EFA">
        <w:tab/>
        <w:t xml:space="preserve">der henviser til Enrico </w:t>
      </w:r>
      <w:proofErr w:type="spellStart"/>
      <w:r w:rsidRPr="00D06EFA">
        <w:t>Lettas</w:t>
      </w:r>
      <w:proofErr w:type="spellEnd"/>
      <w:r w:rsidRPr="00D06EFA">
        <w:t xml:space="preserve"> rapport af 10. april 2024 om fremtiden for EU's indre marked (</w:t>
      </w:r>
      <w:proofErr w:type="spellStart"/>
      <w:r w:rsidRPr="00D06EFA">
        <w:t>Lettarapporten</w:t>
      </w:r>
      <w:proofErr w:type="spellEnd"/>
      <w:r w:rsidRPr="00D06EFA">
        <w:t>),</w:t>
      </w:r>
    </w:p>
    <w:p w14:paraId="652D95F3" w14:textId="3CE420D4" w:rsidR="009B008B" w:rsidRPr="00D06EFA" w:rsidRDefault="009B008B" w:rsidP="009B008B">
      <w:pPr>
        <w:pStyle w:val="Normal6a"/>
        <w:spacing w:after="240"/>
        <w:ind w:left="567" w:hanging="567"/>
      </w:pPr>
      <w:r w:rsidRPr="00D06EFA">
        <w:t>–</w:t>
      </w:r>
      <w:r w:rsidRPr="00D06EFA">
        <w:tab/>
        <w:t xml:space="preserve">der henviser til </w:t>
      </w:r>
      <w:proofErr w:type="spellStart"/>
      <w:r w:rsidRPr="00D06EFA">
        <w:t>Sauli</w:t>
      </w:r>
      <w:proofErr w:type="spellEnd"/>
      <w:r w:rsidRPr="00D06EFA">
        <w:t xml:space="preserve"> </w:t>
      </w:r>
      <w:proofErr w:type="spellStart"/>
      <w:r w:rsidRPr="00D06EFA">
        <w:t>Niinistös</w:t>
      </w:r>
      <w:proofErr w:type="spellEnd"/>
      <w:r w:rsidRPr="00D06EFA">
        <w:t xml:space="preserve"> rapport af 30. oktober 20</w:t>
      </w:r>
      <w:r w:rsidR="00F36363">
        <w:t>2</w:t>
      </w:r>
      <w:r w:rsidRPr="00D06EFA">
        <w:t>4 med titlen "</w:t>
      </w:r>
      <w:proofErr w:type="spellStart"/>
      <w:r w:rsidRPr="00D06EFA">
        <w:t>Safer</w:t>
      </w:r>
      <w:proofErr w:type="spellEnd"/>
      <w:r w:rsidRPr="00D06EFA">
        <w:t xml:space="preserve"> </w:t>
      </w:r>
      <w:proofErr w:type="spellStart"/>
      <w:r w:rsidRPr="00D06EFA">
        <w:t>together</w:t>
      </w:r>
      <w:proofErr w:type="spellEnd"/>
      <w:r w:rsidRPr="00D06EFA">
        <w:t xml:space="preserve"> – </w:t>
      </w:r>
      <w:proofErr w:type="spellStart"/>
      <w:r w:rsidRPr="00D06EFA">
        <w:t>strengthening</w:t>
      </w:r>
      <w:proofErr w:type="spellEnd"/>
      <w:r w:rsidRPr="00D06EFA">
        <w:t xml:space="preserve"> </w:t>
      </w:r>
      <w:proofErr w:type="spellStart"/>
      <w:proofErr w:type="gramStart"/>
      <w:r w:rsidRPr="00D06EFA">
        <w:t>Europe's</w:t>
      </w:r>
      <w:proofErr w:type="spellEnd"/>
      <w:proofErr w:type="gramEnd"/>
      <w:r w:rsidRPr="00D06EFA">
        <w:t xml:space="preserve"> </w:t>
      </w:r>
      <w:proofErr w:type="spellStart"/>
      <w:r w:rsidRPr="00D06EFA">
        <w:t>civilian</w:t>
      </w:r>
      <w:proofErr w:type="spellEnd"/>
      <w:r w:rsidRPr="00D06EFA">
        <w:t xml:space="preserve"> and military </w:t>
      </w:r>
      <w:proofErr w:type="spellStart"/>
      <w:r w:rsidRPr="00D06EFA">
        <w:t>preparedness</w:t>
      </w:r>
      <w:proofErr w:type="spellEnd"/>
      <w:r w:rsidRPr="00D06EFA">
        <w:t xml:space="preserve"> and </w:t>
      </w:r>
      <w:proofErr w:type="spellStart"/>
      <w:r w:rsidRPr="00D06EFA">
        <w:t>readiness</w:t>
      </w:r>
      <w:proofErr w:type="spellEnd"/>
      <w:r w:rsidRPr="00D06EFA">
        <w:t>" (Stærkere sammen – styrkelse af Europas civile og militære beredskab og parathed) (</w:t>
      </w:r>
      <w:proofErr w:type="spellStart"/>
      <w:r w:rsidRPr="00D06EFA">
        <w:t>Niinistörapporten</w:t>
      </w:r>
      <w:proofErr w:type="spellEnd"/>
      <w:r w:rsidRPr="00D06EFA">
        <w:t xml:space="preserve">), </w:t>
      </w:r>
    </w:p>
    <w:p w14:paraId="20DE69D7" w14:textId="77777777" w:rsidR="009B008B" w:rsidRPr="00D06EFA" w:rsidRDefault="009B008B" w:rsidP="009B008B">
      <w:pPr>
        <w:pStyle w:val="Normal6a"/>
        <w:spacing w:after="240"/>
        <w:ind w:left="567" w:hanging="567"/>
      </w:pPr>
      <w:r w:rsidRPr="00D06EFA">
        <w:t>–</w:t>
      </w:r>
      <w:r w:rsidRPr="00D06EFA">
        <w:tab/>
        <w:t>der henviser til sin beslutning af 12. marts 2025 om hvidbogen om fremtiden for det europæiske forsvar</w:t>
      </w:r>
      <w:r w:rsidRPr="00D06EFA">
        <w:rPr>
          <w:rStyle w:val="FootnoteReference"/>
        </w:rPr>
        <w:footnoteReference w:id="4"/>
      </w:r>
      <w:r w:rsidRPr="00D06EFA">
        <w:t>,</w:t>
      </w:r>
    </w:p>
    <w:p w14:paraId="0F8F196D" w14:textId="77777777" w:rsidR="009B008B" w:rsidRPr="00D06EFA" w:rsidRDefault="009B008B" w:rsidP="009B008B">
      <w:pPr>
        <w:pStyle w:val="Normal6a"/>
        <w:spacing w:after="240"/>
        <w:ind w:left="567" w:hanging="567"/>
      </w:pPr>
      <w:r w:rsidRPr="00D06EFA">
        <w:t>–</w:t>
      </w:r>
      <w:r w:rsidRPr="00D06EFA">
        <w:tab/>
        <w:t>der henviser til sin beslutning af 8. juli 2025 om Den Europæiske Investeringsbanks finansielle aktiviteter – årsberetning 2024</w:t>
      </w:r>
      <w:r w:rsidRPr="00D06EFA">
        <w:rPr>
          <w:rStyle w:val="FootnoteReference"/>
        </w:rPr>
        <w:footnoteReference w:id="5"/>
      </w:r>
      <w:r w:rsidRPr="00D06EFA">
        <w:t>,</w:t>
      </w:r>
    </w:p>
    <w:p w14:paraId="7FCF2689" w14:textId="77777777" w:rsidR="009B008B" w:rsidRPr="00D06EFA" w:rsidRDefault="009B008B" w:rsidP="009B008B">
      <w:pPr>
        <w:pStyle w:val="Normal6a"/>
        <w:spacing w:after="240"/>
        <w:ind w:left="567" w:hanging="567"/>
      </w:pPr>
      <w:r w:rsidRPr="00D06EFA">
        <w:t>–</w:t>
      </w:r>
      <w:r w:rsidRPr="00D06EFA">
        <w:tab/>
        <w:t>der henviser til Kommissionens meddelelse af 28. august 2025 om anvendelse af rammen for bæredygtig finansiering og direktivet om virksomheders due diligence i forbindelse med bæredygtighed på forsvarssektoren (C(2025)3800),</w:t>
      </w:r>
    </w:p>
    <w:p w14:paraId="490661F6" w14:textId="77777777" w:rsidR="009B008B" w:rsidRPr="00D06EFA" w:rsidRDefault="009B008B" w:rsidP="009B008B">
      <w:pPr>
        <w:pStyle w:val="NormalHanging12a"/>
      </w:pPr>
      <w:r w:rsidRPr="00D06EFA">
        <w:t>–</w:t>
      </w:r>
      <w:r w:rsidRPr="00D06EFA">
        <w:tab/>
        <w:t>der henviser til udtalelser fra Økonomi- og Valutaudvalget, Udvalget om Industri, Forskning og Energi samt Budgetudvalget,</w:t>
      </w:r>
    </w:p>
    <w:p w14:paraId="14E8EE84" w14:textId="77777777" w:rsidR="009B008B" w:rsidRPr="00D06EFA" w:rsidRDefault="009B008B" w:rsidP="009B008B">
      <w:pPr>
        <w:pStyle w:val="NormalHanging12a"/>
      </w:pPr>
      <w:r w:rsidRPr="00D06EFA">
        <w:t>–</w:t>
      </w:r>
      <w:r w:rsidRPr="00D06EFA">
        <w:tab/>
        <w:t>der henviser til forretningsordenens artikel 55,</w:t>
      </w:r>
    </w:p>
    <w:p w14:paraId="4712F0C1" w14:textId="77777777" w:rsidR="009B008B" w:rsidRPr="00D06EFA" w:rsidRDefault="009B008B" w:rsidP="009B008B">
      <w:pPr>
        <w:pStyle w:val="NormalHanging12a"/>
      </w:pPr>
      <w:r w:rsidRPr="00D06EFA">
        <w:t>–</w:t>
      </w:r>
      <w:r w:rsidRPr="00D06EFA">
        <w:tab/>
        <w:t>der henviser til betænkning fra Udvalget om Sikkerhed og Forsvar (A10-0243/2025),</w:t>
      </w:r>
    </w:p>
    <w:p w14:paraId="3CAAFBCC" w14:textId="77777777" w:rsidR="009B008B" w:rsidRPr="00D06EFA" w:rsidRDefault="009B008B" w:rsidP="009B008B">
      <w:pPr>
        <w:pStyle w:val="NormalHanging12a"/>
      </w:pPr>
      <w:r w:rsidRPr="00D06EFA">
        <w:lastRenderedPageBreak/>
        <w:t>A.</w:t>
      </w:r>
      <w:r w:rsidRPr="00D06EFA">
        <w:tab/>
        <w:t>der henviser til, at medlemsstaternes forsvarsudgifter ifølge Det Europæiske Forsvarsagentur (EDA) efter et fald i 2014 nåede op på 343 mia. EUR i 2024, hvilket svarer til 1,9 % af BNP og udgør en stigning på 19 % sammenlignet med 2023; der henviser til, at medlemsstaternes forsvarsudgifter ifølge EDA kan overskride NATO-retningslinjen på 2 % i 2025;</w:t>
      </w:r>
    </w:p>
    <w:p w14:paraId="068A993B" w14:textId="77777777" w:rsidR="009B008B" w:rsidRPr="00D06EFA" w:rsidRDefault="009B008B" w:rsidP="009B008B">
      <w:pPr>
        <w:pStyle w:val="NormalHanging12a"/>
        <w:rPr>
          <w:bCs/>
          <w:iCs/>
        </w:rPr>
      </w:pPr>
      <w:r w:rsidRPr="00D06EFA">
        <w:t>B.</w:t>
      </w:r>
      <w:r w:rsidRPr="00D06EFA">
        <w:tab/>
        <w:t>der henviser til, at det nuværende niveau for investeringer i sikkerhed og forsvar i EU er utilstrækkeligt til at opfylde kapacitetsmålene for hver enkelt medlemsstat; der henviser til, at omkostningerne ved isolerede tiltag er meget højere end omkostningerne ved fælles tiltag; der henviser til, at omkostningerne ved manglende beredskab og ethvert potentielt militært nederlag og det deraf følgende tab af autonomi er meget højere end omkostningerne ved at handle beslutsomt nu; der henviser til, at en forøgelse af de nationale forsvarsudgifter, uden at der samtidig tages højde for koordineringsspørgsmål, overflødige indsatser og strategier, der ikke er bragt på linje med hinanden, kan være kontraproduktivt, idet det kan forværre udfordringerne med hensyn til at integrere styrker samt øge udbudsomkostningerne for alle medlemsstaterne som følge af intensiveret konkurrence mellem dem;</w:t>
      </w:r>
    </w:p>
    <w:p w14:paraId="0E2510ED" w14:textId="77777777" w:rsidR="009B008B" w:rsidRPr="00D06EFA" w:rsidRDefault="009B008B" w:rsidP="009B008B">
      <w:pPr>
        <w:pStyle w:val="NormalHanging12a"/>
      </w:pPr>
      <w:r w:rsidRPr="00D06EFA">
        <w:t>C.</w:t>
      </w:r>
      <w:r w:rsidRPr="00D06EFA">
        <w:tab/>
        <w:t xml:space="preserve">der henviser til, at det i </w:t>
      </w:r>
      <w:proofErr w:type="spellStart"/>
      <w:r w:rsidRPr="00D06EFA">
        <w:t>Niinistö</w:t>
      </w:r>
      <w:proofErr w:type="spellEnd"/>
      <w:r w:rsidRPr="00D06EFA">
        <w:t xml:space="preserve">-rapporten understreges, at en forøgelse af de disponible midler til forsvarssamarbejde er afgørende for at overvinde endemisk fragmentering og årtier med underinvestering; der henviser til, at Kommissionen identificerede et investeringsunderskud for forsvarskapaciteter på 800 mia. EUR for medlemsstaterne, som skal lukkes senest i 2030 inden for rammerne af </w:t>
      </w:r>
      <w:proofErr w:type="spellStart"/>
      <w:r w:rsidRPr="00D06EFA">
        <w:t>ReArm</w:t>
      </w:r>
      <w:proofErr w:type="spellEnd"/>
      <w:r w:rsidRPr="00D06EFA">
        <w:t xml:space="preserve"> Europe-planen, hvilket indebærer en årlig stigning på 10 % i udgifterne for at nå ca. 575 mia. EUR i 2030 eller 3,15 % af det samlede BNP; der henviser til, at dette er i overensstemmelse med </w:t>
      </w:r>
      <w:proofErr w:type="spellStart"/>
      <w:r w:rsidRPr="00D06EFA">
        <w:t>Draghirapporten</w:t>
      </w:r>
      <w:proofErr w:type="spellEnd"/>
      <w:r w:rsidRPr="00D06EFA">
        <w:t xml:space="preserve"> om fremtiden for den europæiske konkurrenceevne;</w:t>
      </w:r>
    </w:p>
    <w:p w14:paraId="3F07192F" w14:textId="77777777" w:rsidR="009B008B" w:rsidRPr="00D06EFA" w:rsidRDefault="009B008B" w:rsidP="009B008B">
      <w:pPr>
        <w:pStyle w:val="NormalHanging12a"/>
      </w:pPr>
      <w:r w:rsidRPr="00D06EFA">
        <w:t>D.</w:t>
      </w:r>
      <w:r w:rsidRPr="00D06EFA">
        <w:tab/>
        <w:t xml:space="preserve">der henviser til, at Kommissionen i sit forslag til den flerårige finansielle ramme (FFR) 2028-2034 afsætter 115,7 mia. EUR (i 2025-priser) til forsvar og rummet under Den Europæiske Fond for Konkurrenceevne, hvilket er fem gange mere end i den foregående FFR-periode, samt 15,7 mia. EUR (i 2025-priser) til militær mobilitet under </w:t>
      </w:r>
      <w:proofErr w:type="spellStart"/>
      <w:r w:rsidRPr="00D06EFA">
        <w:t>Connecting</w:t>
      </w:r>
      <w:proofErr w:type="spellEnd"/>
      <w:r w:rsidRPr="00D06EFA">
        <w:t xml:space="preserve"> Europe-faciliteten, hvilket er en tidobling sammenlignet med den foregående periode og har til formål at støtte udviklingen af transportinfrastruktur, der kan anvendes til både civile og militære formål;</w:t>
      </w:r>
    </w:p>
    <w:p w14:paraId="0E5DE5B0" w14:textId="77777777" w:rsidR="009B008B" w:rsidRPr="00D06EFA" w:rsidRDefault="009B008B" w:rsidP="009B008B">
      <w:pPr>
        <w:pStyle w:val="NormalHanging12a"/>
      </w:pPr>
      <w:r w:rsidRPr="00D06EFA">
        <w:t>E.</w:t>
      </w:r>
      <w:r w:rsidRPr="00D06EFA">
        <w:tab/>
        <w:t>der henviser til, at EU-borgerne med rette forventer mere af EU og dets budget, herunder dets kapacitet til hurtigt og effektivt at reagere på skiftende trusler og til at yde den nødvendige støtte for at supplere forsvarskapabiliteterne, navnlig i krisetider; der henviser til, at den næste FFR bør støtte en omfattende sikkerhedstilgang og på passende vis prioritere foranstaltninger, der styrker forsvarsberedskabet og modstandsdygtigheden;</w:t>
      </w:r>
    </w:p>
    <w:p w14:paraId="43413A99" w14:textId="77777777" w:rsidR="009B008B" w:rsidRPr="00D06EFA" w:rsidRDefault="009B008B" w:rsidP="009B008B">
      <w:pPr>
        <w:pStyle w:val="NormalHanging12a"/>
      </w:pPr>
      <w:r w:rsidRPr="00D06EFA">
        <w:t>F.</w:t>
      </w:r>
      <w:r w:rsidRPr="00D06EFA">
        <w:tab/>
        <w:t>der henviser til, at 31 % af medlemsstaternes forsvarsudgifter i 2024 ifølge EDA var afsat til investeringer, hvoraf 88,2 % var afsat til erhvervelse af nyt udstyr og 11,8 % til forskning og udvikling (</w:t>
      </w:r>
      <w:proofErr w:type="spellStart"/>
      <w:r w:rsidRPr="00D06EFA">
        <w:t>FoU</w:t>
      </w:r>
      <w:proofErr w:type="spellEnd"/>
      <w:r w:rsidRPr="00D06EFA">
        <w:t xml:space="preserve">); der henviser til, at udgifterne til indkøb af forsvarsmateriel nåede op på 88 mia. EUR i 2024, hvilket er en stigning på 39 % i forhold til 2023; der henviser til, at denne stigning i henhold til </w:t>
      </w:r>
      <w:proofErr w:type="spellStart"/>
      <w:r w:rsidRPr="00D06EFA">
        <w:t>ReArm</w:t>
      </w:r>
      <w:proofErr w:type="spellEnd"/>
      <w:r w:rsidRPr="00D06EFA">
        <w:t xml:space="preserve"> Europe-planen forventes at generere yderligere investeringer på mindst 240 mia. EUR inden 2030; der henviser til, at udgifterne til </w:t>
      </w:r>
      <w:proofErr w:type="spellStart"/>
      <w:r w:rsidRPr="00D06EFA">
        <w:t>FoU</w:t>
      </w:r>
      <w:proofErr w:type="spellEnd"/>
      <w:r w:rsidRPr="00D06EFA">
        <w:t xml:space="preserve"> på forsvarsområdet i medlemsstaterne også steg med 20 % i 2024 og nåede op på 13 mia. EUR;</w:t>
      </w:r>
    </w:p>
    <w:p w14:paraId="3871D91F" w14:textId="77777777" w:rsidR="009B008B" w:rsidRPr="00D06EFA" w:rsidRDefault="009B008B" w:rsidP="009B008B">
      <w:pPr>
        <w:pStyle w:val="NormalHanging12a"/>
      </w:pPr>
      <w:r w:rsidRPr="00D06EFA">
        <w:lastRenderedPageBreak/>
        <w:t>G.</w:t>
      </w:r>
      <w:r w:rsidRPr="00D06EFA">
        <w:tab/>
        <w:t>der henviser til, at 78 % af medlemsstaternes indkøb af forsvarsmateriel mellem februar 2022 og juni 2023 ifølge Kommissionen var fra ikke-EU-lande, med to tredjedele af denne procentdel fra USA, og at 70 % af omsætningen i den europæiske forsvarsteknologiske og -industrielle base (EDTIB) afhænger af europæiske offentlige indkøb;</w:t>
      </w:r>
    </w:p>
    <w:p w14:paraId="02A3566D" w14:textId="77777777" w:rsidR="009B008B" w:rsidRPr="00D06EFA" w:rsidRDefault="009B008B" w:rsidP="009B008B">
      <w:pPr>
        <w:pStyle w:val="NormalHanging12a"/>
      </w:pPr>
      <w:r w:rsidRPr="00D06EFA">
        <w:t>H.</w:t>
      </w:r>
      <w:r w:rsidRPr="00D06EFA">
        <w:tab/>
        <w:t xml:space="preserve">der henviser til, at EDTIB, som i 2023 tegnede sig for ca. 580 000 direkte arbejdspladser, 1,4 mio. indirekte arbejdspladser og en omsætning på 160 mia. EUR (hvoraf en tredjedel kom fra eksport), ifølge Aerospace, Security and </w:t>
      </w:r>
      <w:proofErr w:type="spellStart"/>
      <w:r w:rsidRPr="00D06EFA">
        <w:t>Defence</w:t>
      </w:r>
      <w:proofErr w:type="spellEnd"/>
      <w:r w:rsidRPr="00D06EFA">
        <w:t xml:space="preserve"> Industries Association of Europe står over for en tredobbelt udfordring: rekruttering, indkøb og finansiering;</w:t>
      </w:r>
    </w:p>
    <w:p w14:paraId="4F37571C" w14:textId="77777777" w:rsidR="009B008B" w:rsidRPr="00D06EFA" w:rsidRDefault="009B008B" w:rsidP="009B008B">
      <w:pPr>
        <w:pStyle w:val="NormalHanging12a"/>
      </w:pPr>
      <w:r w:rsidRPr="00D06EFA">
        <w:t>I.</w:t>
      </w:r>
      <w:r w:rsidRPr="00D06EFA">
        <w:tab/>
        <w:t>der henviser til, at små og mellemstore virksomheder (SMV'er) udgør et afgørende element i EDTIB og leverer innovation, fleksibilitet og modstandsdygtighed i hele værdikæden; der henviser til, at Kommissionens undersøgelse fra 2024 om adgang til egenkapitalfinansiering imidlertid fremhæver, at det er vanskeligere for SMV'er i EDTIB end SMV'er i andre sektorer at opnå kredit- og egenkapitalfinansiering på grund af: i) uregelmæssigheder i offentlige udbud og betalingsfrister mellem underleverandører, hvilket mindsker likviditetens synlighed, ii) visse investorers udelukkelse af forsvarsaktiviteter af omdømmemæssige årsager og iii) begrænsede muligheder for afhænde forsvarsaktiver på de europæiske kapitalmarkeder; der henviser til, at det er afgørende at tackle sådanne finansieringshindringer for at give forsvarsrelaterede SMV'er retfærdig adgang til kapitalmarkeder og private investeringer og dermed forbedre konkurrenceevnen og den økonomiske modstandsdygtighed;</w:t>
      </w:r>
    </w:p>
    <w:p w14:paraId="191599E7" w14:textId="77777777" w:rsidR="009B008B" w:rsidRPr="00D06EFA" w:rsidRDefault="009B008B" w:rsidP="009B008B">
      <w:pPr>
        <w:pStyle w:val="NormalHanging12a"/>
      </w:pPr>
      <w:r w:rsidRPr="00D06EFA">
        <w:t>J.</w:t>
      </w:r>
      <w:r w:rsidRPr="00D06EFA">
        <w:tab/>
        <w:t>der henviser til, at de yderligere finansieringsbehov for EDTIB i perioden 2025-2030 anslås til mindst 30-40 mia. EUR, hvoraf 6-18 mia. EUR forventes opfyldt via egenkapital; der henviser til, at dette fremhæver relevansen af EU's opsparings- og investeringsunion med hensyn til at mobilisere langsigtet privat kapital og tiltrække institutionelle investorer;</w:t>
      </w:r>
    </w:p>
    <w:p w14:paraId="6CBDFD65" w14:textId="77777777" w:rsidR="009B008B" w:rsidRPr="00D06EFA" w:rsidRDefault="009B008B" w:rsidP="009B008B">
      <w:pPr>
        <w:pStyle w:val="NormalHanging12a"/>
      </w:pPr>
      <w:r w:rsidRPr="00D06EFA">
        <w:t>K.</w:t>
      </w:r>
      <w:r w:rsidRPr="00D06EFA">
        <w:tab/>
        <w:t>der henviser til, at forsvarssektoren fortsat er svag og struktureret omkring store kontrahenter, skrøbelige underleverandørkæder og underudviklede paneuropæiske værdikæder, hvilket begrænser likviditeten i små virksomheder, som ofte er nødt til at finansiere deres behov for driftskapital med langsigtede ressourcer;</w:t>
      </w:r>
      <w:r w:rsidRPr="00D06EFA">
        <w:rPr>
          <w:b/>
          <w:i/>
        </w:rPr>
        <w:t xml:space="preserve"> </w:t>
      </w:r>
      <w:r w:rsidRPr="00D06EFA">
        <w:t>der henviser til, at dette hæmmer styrkelsen af EDTIB, som er afgørende for opbygningen af forsvarskapaciteter;</w:t>
      </w:r>
    </w:p>
    <w:p w14:paraId="4FAEFAA9" w14:textId="77777777" w:rsidR="009B008B" w:rsidRPr="00D06EFA" w:rsidRDefault="009B008B" w:rsidP="009B008B">
      <w:pPr>
        <w:pStyle w:val="NormalHanging12a"/>
      </w:pPr>
      <w:r w:rsidRPr="00D06EFA">
        <w:t>L.</w:t>
      </w:r>
      <w:r w:rsidRPr="00D06EFA">
        <w:tab/>
        <w:t xml:space="preserve">der henviser til, at EIB prioriterede sikkerheds- og forsvarssektoren, tilpassede sine udlånskriterier og sine interne processer og oprettede en </w:t>
      </w:r>
      <w:proofErr w:type="spellStart"/>
      <w:r w:rsidRPr="00D06EFA">
        <w:t>one</w:t>
      </w:r>
      <w:proofErr w:type="spellEnd"/>
      <w:r w:rsidRPr="00D06EFA">
        <w:t xml:space="preserve">-stop-shop for finansiel støtte til sikkerhed og forsvar, navnlig dens kontor for sikkerhed og forsvar; der henviser til, at EIB mobiliserede næsten 1 mia. EUR i 2024 og sigtede mod at mobilisere 2 mia. EUR i 2025, men reelt allerede har nået 3 mia. EUR; der henviser til, at den allerede har afsat 13 mia. EUR til forsvar siden 2017 og planlægger at afsætte yderligere 6 mia. EUR inden 2027 og samtidig udvide sin indsats til projekter med dobbelt anvendelse og nye finansielle instrumenter; der henviser til, at forbedret adgang til EIB's instrumenter for SMV'er og </w:t>
      </w:r>
      <w:proofErr w:type="spellStart"/>
      <w:r w:rsidRPr="00D06EFA">
        <w:t>midcapselskaber</w:t>
      </w:r>
      <w:proofErr w:type="spellEnd"/>
      <w:r w:rsidRPr="00D06EFA">
        <w:t xml:space="preserve"> i forsvars- og sikkerhedsøkosystemet er afgørende for at sikre inklusiv og innovativ vækst i hele EU;</w:t>
      </w:r>
    </w:p>
    <w:p w14:paraId="06D2FFB0" w14:textId="77777777" w:rsidR="009B008B" w:rsidRPr="00D06EFA" w:rsidRDefault="009B008B" w:rsidP="009B008B">
      <w:pPr>
        <w:pStyle w:val="Normal6a"/>
        <w:spacing w:after="240"/>
        <w:ind w:left="567" w:hanging="567"/>
      </w:pPr>
      <w:bookmarkStart w:id="7" w:name="_Hlk215500216"/>
      <w:r w:rsidRPr="00D06EFA">
        <w:t>M.</w:t>
      </w:r>
      <w:r w:rsidRPr="00D06EFA">
        <w:tab/>
        <w:t xml:space="preserve">der henviser til, at EIB spiller en central rolle med hensyn til at fremme økonomisk samhørighed, bæredygtig udvikling og konkurrenceevne i EU; der henviser til, at </w:t>
      </w:r>
      <w:r w:rsidRPr="00D06EFA">
        <w:lastRenderedPageBreak/>
        <w:t>etableringen af en bank for forsvar, sikkerhed og modstandsdygtighed blev foreslået i hvidbogen om fremtiden for det europæiske forsvar; der henviser til, at en formel udvidelse af EIB's mandat til at omfatte støtte til EDTIB vil være en mere effektiv og forholdsmæssig løsning end at oprette en ny bank for forsvar, sikkerhed og modstandsdygtighed;</w:t>
      </w:r>
    </w:p>
    <w:bookmarkEnd w:id="7"/>
    <w:p w14:paraId="67A7B1B1" w14:textId="77777777" w:rsidR="009B008B" w:rsidRPr="00D06EFA" w:rsidRDefault="009B008B" w:rsidP="009B008B">
      <w:pPr>
        <w:pStyle w:val="Normal6a"/>
        <w:tabs>
          <w:tab w:val="left" w:pos="567"/>
        </w:tabs>
        <w:spacing w:after="240"/>
        <w:ind w:left="567" w:hanging="567"/>
      </w:pPr>
      <w:r w:rsidRPr="00D06EFA">
        <w:t>N.</w:t>
      </w:r>
      <w:r w:rsidRPr="00D06EFA">
        <w:tab/>
        <w:t>der henviser til, at enhver udvidelse af EIB's udlånspolitik og støtteberettigelseskriterier til at omfatte forsvarsrelateret udstyr skal vurderes i forhold til behovet for at bevare EIB's finansielle stabilitet og dens AAA-kreditvurdering, som fortsat er afgørende garantier for dens evne til at opfylde EU's politiske prioriteter, herunder forsvarsberedskab og EU's overordnede politiske uafhængighed;</w:t>
      </w:r>
    </w:p>
    <w:p w14:paraId="2758BA54" w14:textId="77777777" w:rsidR="009B008B" w:rsidRPr="00D06EFA" w:rsidRDefault="009B008B" w:rsidP="009B008B">
      <w:pPr>
        <w:pStyle w:val="NormalHanging12a"/>
      </w:pPr>
      <w:r w:rsidRPr="00D06EFA">
        <w:t>O.</w:t>
      </w:r>
      <w:r w:rsidRPr="00D06EFA">
        <w:tab/>
        <w:t>der henviser til, at der i 2023 blev foretaget en dybdegående undersøgelse af ca. 39 anmeldte sager om udenlandske direkte investeringer (FDI) inden for rammerne af EU's samarbejdsmekanisme til screening af udenlandske direkte investeringer, og at forsvars- og luftfartssektoren er særlig berørt</w:t>
      </w:r>
      <w:r w:rsidRPr="00D06EFA">
        <w:rPr>
          <w:rStyle w:val="FootnoteReference"/>
        </w:rPr>
        <w:footnoteReference w:id="6"/>
      </w:r>
      <w:r w:rsidRPr="00D06EFA">
        <w:t>;</w:t>
      </w:r>
    </w:p>
    <w:p w14:paraId="11F0F8FE" w14:textId="77777777" w:rsidR="009B008B" w:rsidRPr="00D06EFA" w:rsidRDefault="009B008B" w:rsidP="009B008B">
      <w:pPr>
        <w:pStyle w:val="NormalHanging12a"/>
      </w:pPr>
      <w:r w:rsidRPr="00D06EFA">
        <w:t>P.</w:t>
      </w:r>
      <w:r w:rsidRPr="00D06EFA">
        <w:tab/>
        <w:t>der henviser til, at der på trods af oprettelsen af specialiserede fonde i Europa kun fandtes omkring 30 specialiserede europæiske forsvarsfonde i 2024, hvoraf fire havde aktiver på over 500 mio. EUR, sammenlignet med mere end 50 sådanne fonde i USA, hvoraf 30 havde denne størrelse, og at denne situation fører til et mindre attraktivt sekundært marked, lavere værdiansættelser i exitoperationer og risikoen for, at udenlandske investorer overtager kontrollen;</w:t>
      </w:r>
    </w:p>
    <w:p w14:paraId="648CDEE5" w14:textId="77777777" w:rsidR="009B008B" w:rsidRPr="00D06EFA" w:rsidRDefault="009B008B" w:rsidP="009B008B">
      <w:pPr>
        <w:pStyle w:val="Normal6a"/>
        <w:tabs>
          <w:tab w:val="left" w:pos="567"/>
        </w:tabs>
        <w:spacing w:after="240"/>
        <w:ind w:left="567" w:hanging="567"/>
        <w:rPr>
          <w:bCs/>
          <w:iCs/>
        </w:rPr>
      </w:pPr>
      <w:r w:rsidRPr="00D06EFA">
        <w:t>Q.</w:t>
      </w:r>
      <w:r w:rsidRPr="00D06EFA">
        <w:tab/>
        <w:t xml:space="preserve">der henviser til, at det forværrede sikkerhedsmiljø og de voksende hybride og konventionelle trusler i hele EU understreger behovet for vedvarende investeringer i forsvarsberedskab, modstandsdygtighed og militær mobilitet; der henviser til, at den østlige flanke udgør et strategisk område for Europas overordnede sikkerhed, der kræver forbedret infrastruktur, overvågningskapacitet og hurtige forstærkningsmekanismer; der henviser til, at en styrkelse af grænseforvaltningen, forbedring af dronebekæmpelses- og luftforsvarssystemerne og udvikling af regional industriel kapacitet til forsvarsproduktion og -innovation er afgørende for at sikre EU's beredskab; der henviser til, at disse foranstaltninger, herunder gennemførelsen af centrale initiativer såsom det europæiske droneforsvarsinitiativ, Eastern </w:t>
      </w:r>
      <w:proofErr w:type="spellStart"/>
      <w:r w:rsidRPr="00D06EFA">
        <w:t>Flank</w:t>
      </w:r>
      <w:proofErr w:type="spellEnd"/>
      <w:r w:rsidRPr="00D06EFA">
        <w:t xml:space="preserve"> Watch, det europæiske luftskjold og det europæiske rumskjold, bør støttes med tilstrækkelig EU-finansiering; der henviser til, at sådanne bestræbelser er afgørende for at beskytte de mest udsatte medlemsstater, bevare EU's territoriale integritet og opretholde kollektiv afskrækkelse og stabilitet på hele kontinentet;</w:t>
      </w:r>
    </w:p>
    <w:p w14:paraId="0B4FE0FE" w14:textId="77777777" w:rsidR="009B008B" w:rsidRPr="00D06EFA" w:rsidRDefault="009B008B" w:rsidP="009B008B">
      <w:pPr>
        <w:pStyle w:val="Normal6a"/>
        <w:rPr>
          <w:i/>
          <w:iCs/>
        </w:rPr>
      </w:pPr>
      <w:r w:rsidRPr="00D06EFA">
        <w:rPr>
          <w:rStyle w:val="Bold"/>
          <w:i/>
        </w:rPr>
        <w:t>Tilvejebringelse af et stabilt grundlag og en langsigtet vision for private forsvarsinvesteringer</w:t>
      </w:r>
    </w:p>
    <w:p w14:paraId="12773609" w14:textId="77777777" w:rsidR="009B008B" w:rsidRPr="00D06EFA" w:rsidRDefault="009B008B" w:rsidP="009B008B">
      <w:pPr>
        <w:pStyle w:val="Normal12a24b"/>
      </w:pPr>
      <w:r w:rsidRPr="00D06EFA">
        <w:rPr>
          <w:rStyle w:val="Italic"/>
        </w:rPr>
        <w:t>Støtte til og bedre styring af medlemsstaternes offentlige investeringer på forsvarsområdet</w:t>
      </w:r>
    </w:p>
    <w:p w14:paraId="0260AEDF" w14:textId="77777777" w:rsidR="009B008B" w:rsidRPr="00D06EFA" w:rsidRDefault="009B008B" w:rsidP="009B1344">
      <w:pPr>
        <w:tabs>
          <w:tab w:val="left" w:pos="567"/>
        </w:tabs>
        <w:spacing w:after="240"/>
        <w:ind w:left="567" w:hanging="567"/>
        <w:rPr>
          <w:bCs/>
          <w:iCs/>
        </w:rPr>
      </w:pPr>
      <w:r w:rsidRPr="00D06EFA">
        <w:t>1.</w:t>
      </w:r>
      <w:r w:rsidRPr="00D06EFA">
        <w:tab/>
        <w:t xml:space="preserve">mener, at tiden er inde til et fornyet politisk tilsagn om at gøre EU til en troværdig sikkerhedsgarant ved at styrke dets forsvarsberedskab gennem fremme af et dybere samarbejde mellem medlemsstaterne, deres væbnede styrker og deres industrier; opfordrer medlemsstaterne til at forene deres indsats for at opnå en sammenhængende, </w:t>
      </w:r>
      <w:r w:rsidRPr="00D06EFA">
        <w:lastRenderedPageBreak/>
        <w:t>ambitiøs og integreret europæisk forsvarsramme; understreger i den forbindelse, at det er nødvendigt, at Kommissionen og medlemsstaterne udarbejder nødprocedurer for projekter, der etableres som reaktion på større kriser eller krige, herunder hurtigere tildeling af offentlige midler og privat kapital, som et integreret element i sikringen af beredskab og EU's kapacitet til at reagere hurtigt og effektivt på fremspirende sikkerhedstrusler;</w:t>
      </w:r>
    </w:p>
    <w:p w14:paraId="52214BF2" w14:textId="77777777" w:rsidR="009B008B" w:rsidRPr="00D06EFA" w:rsidRDefault="009B008B" w:rsidP="009B008B">
      <w:pPr>
        <w:pStyle w:val="NormalHanging12a"/>
      </w:pPr>
      <w:r w:rsidRPr="00D06EFA">
        <w:t>2.</w:t>
      </w:r>
      <w:r w:rsidRPr="00D06EFA">
        <w:tab/>
        <w:t xml:space="preserve">er bekymret over, at kun 10 ud af 27 medlemsstater på trods af målene i </w:t>
      </w:r>
      <w:proofErr w:type="spellStart"/>
      <w:r w:rsidRPr="00D06EFA">
        <w:t>ReArm</w:t>
      </w:r>
      <w:proofErr w:type="spellEnd"/>
      <w:r w:rsidRPr="00D06EFA">
        <w:t xml:space="preserve"> Europe-planen ved udgangen af juli 2025 havde tilkendegivet et klart mål med sigte på at øge deres forsvarsudgifter til mindst 3 % af deres BNP inden 2030; opfordrer hver medlemsstat til at udarbejde en detaljeret strategisk vision for sine militærudgifter frem til 2030 med en klar opdeling mellem hårde forsvarskapaciteter og infrastruktur med dobbelt anvendelse, herunder kapacitetsmilepæle, lagerparametre, tal for SMV'ers deltagelse og et mål for andelen af samarbejdsbaserede indkøb; understreger behovet for, at de nationale forsvarsbudgetter afhjælper kapacitetsmangler, genopretter afskrækkelsen og sikrer tilstrækkelig støtte til Ukraine; understreger, at fremtidige investeringer skal prioritere samarbejde, </w:t>
      </w:r>
      <w:proofErr w:type="spellStart"/>
      <w:r w:rsidRPr="00D06EFA">
        <w:t>interoperabilitet</w:t>
      </w:r>
      <w:proofErr w:type="spellEnd"/>
      <w:r w:rsidRPr="00D06EFA">
        <w:t xml:space="preserve"> og fælles indkøb, således at samarbejde på EU-plan bliver normen inden for den europæiske forsvarsindustrisektor; understreger i denne forbindelse behovet for at tilpasse Readiness 2030 til de konkrete numeriske mål, der er fastsat i strategien for den europæiske forsvarsindustri (EDIS), navnlig ved at sikre, at mindst 40 % af forsvarsmateriellet indkøbes i fællesskab senest i 2030, at mindst 35 % af forsvarshandelen er handel inden for EU senest i 2030, og at mindst 50 % af forsvarsindkøbene er af EU-fremstillede produkter senest i 2030 og 60 % senest i 2035; roser de medlemsstater, der konsekvent afsætter mere end 3 % af BNP til forsvar; minder om, at medlemsstaterne regelmæssigt bør ajourføre deres kapacitetsmål og militære doktriner for at kunne håndtere nye og fremspirende trusler;</w:t>
      </w:r>
    </w:p>
    <w:p w14:paraId="626B5FD3" w14:textId="77777777" w:rsidR="009B008B" w:rsidRPr="00D06EFA" w:rsidRDefault="009B008B" w:rsidP="009B008B">
      <w:pPr>
        <w:pStyle w:val="NormalHanging12a"/>
        <w:rPr>
          <w:bCs/>
        </w:rPr>
      </w:pPr>
      <w:r w:rsidRPr="00D06EFA">
        <w:t>3.</w:t>
      </w:r>
      <w:r w:rsidRPr="00D06EFA">
        <w:tab/>
        <w:t>anerkender den kraftige forværring af EU's sikkerhedssituation, der resulterer i voksende trusler mod EU's ydre grænser; opfordrer derfor EU og dets medlemsstater til at vedtage en samlet tilgang til forsvar i erkendelse af, at sikkerhed rækker ud over militære aktiver og også omfatter forsvar mod hybride trusler; understreger, at intern politisk stabilitet er en forudsætning for troværdig militær styrke, og at EU's overordnede sikkerhed og samhørighed fortsat vil være skrøbelig uden borgernes tillid til institutioner og demokrati; opfordrer til en hurtig og solidaritetsbaseret mobilisering af EU's finansielle støtte, navnlig til de medlemsstater, der er mest udsat for konventionelle militære trusler;</w:t>
      </w:r>
    </w:p>
    <w:p w14:paraId="4C481B7C" w14:textId="77777777" w:rsidR="009B008B" w:rsidRPr="00D06EFA" w:rsidRDefault="009B008B" w:rsidP="009B008B">
      <w:pPr>
        <w:pStyle w:val="NormalHanging12a"/>
      </w:pPr>
      <w:r w:rsidRPr="00D06EFA">
        <w:t>4.</w:t>
      </w:r>
      <w:r w:rsidRPr="00D06EFA">
        <w:tab/>
        <w:t xml:space="preserve">glæder sig over forslagene i </w:t>
      </w:r>
      <w:proofErr w:type="spellStart"/>
      <w:r w:rsidRPr="00D06EFA">
        <w:t>ReArm</w:t>
      </w:r>
      <w:proofErr w:type="spellEnd"/>
      <w:r w:rsidRPr="00D06EFA">
        <w:t xml:space="preserve"> Europe-planen om at give medlemsstaterne større budgetmæssig fleksibilitet og til at tilskynde til øgede forsvarsudgifter med henblik på at styrke EDTIB; bemærker navnlig lånefaciliteten under SAFE-instrumentet på 150 mia. EUR, og at 19 medlemsstater vil gøre brug af SAFE-lån; beklager imidlertid, at Kommissionen baserede dette instrument på artikel 122 i TEUF, der udelukker høring af Parlamentet, hvilket forhindrer overvågning og kontrol af midler og risikerer at øge forskellene mellem medlemsstaterne; understreger sin funktion med hensyn til budgetkontrol i overensstemmelse med artikel 314 i TEUF og opfordrer derfor kraftigt Kommissionen til ikke længere at anvende artikel 122 på noget andet initiativ vedrørende forsvarsindustrien, eller på andre spørgsmål vedrørende forsvarsfinansiering i fremtiden; mener i denne forbindelse, at det er afgørende, at projekter under SAFE afspejler EU's kapacitetsprioriteter som identificeret i hvidbogen om europæisk forsvar, kapacitetsudviklingsplanen og køreplanen for forsvarsberedskab 2030; beklager imidlertid, at indkøb, der gennemføres af én medlemsstat, er berettiget til støtte under </w:t>
      </w:r>
      <w:r w:rsidRPr="00D06EFA">
        <w:lastRenderedPageBreak/>
        <w:t>SAFE, hvis kontrakten underskrives senest den 30. maj 2026, da dette ikke tilskynder til fælles indkøb og nedbrydning af markedets fragmentering og i sidste ende risikerer at forværre forskellene mellem medlemsstaterne; understreger i den forbindelse, at finansieringen også bør baseres på lettere adgang til privat kapital, nationale bidrag, eksisterende budgetmargener eller alternative mekanismer, der sikrer finanspolitisk ansvarlighed; opfordrer med henblik herpå Kommissionen til at fremme flerårige blokkøb for at sænke enhedsomkostningerne og reducere fragmenteringen af de våbensystemer, der i øjeblikket anvendes i EU;</w:t>
      </w:r>
    </w:p>
    <w:p w14:paraId="05534B3A" w14:textId="77777777" w:rsidR="009B008B" w:rsidRPr="00D06EFA" w:rsidRDefault="009B008B" w:rsidP="009B008B">
      <w:pPr>
        <w:pStyle w:val="NormalHanging12a"/>
      </w:pPr>
      <w:r w:rsidRPr="00D06EFA">
        <w:t>5.</w:t>
      </w:r>
      <w:r w:rsidRPr="00D06EFA">
        <w:tab/>
      </w:r>
      <w:bookmarkStart w:id="8" w:name="_Hlk210563278"/>
      <w:r w:rsidRPr="00D06EFA">
        <w:t xml:space="preserve">bemærker, at Europas forsvarsøkosystem fortsat er fragmenteret på tværs af industrielle, finansielle og forvaltningsmæssige dimensioner; understreger, at EU-budgettet fortsat er et effektivt instrument til at forbedre integreret planlægning, stabil langsigtet finansiering og effektiv gennemførelse på forsvarsområdet og dermed overvinde denne fragmentering; gentager, at øgede nationale forsvarsbudgetter bør ledsages af øget koordinering og fælles handling på EU-plan; minder om betydningen af at sikre bred støtte til offentlige investeringer i forsvar og dermed behovet for en retfærdig fordeling af omkostningerne; beklager manglen på en stærk EU-præferenceklausul i </w:t>
      </w:r>
      <w:proofErr w:type="spellStart"/>
      <w:r w:rsidRPr="00D06EFA">
        <w:t>ReArm</w:t>
      </w:r>
      <w:proofErr w:type="spellEnd"/>
      <w:r w:rsidRPr="00D06EFA">
        <w:t xml:space="preserve"> Europe-planen, navnlig med hensyn til SAFE-instrumentet, som vil styrke EDTIB, skabe nye arbejdspladser i EU, øge </w:t>
      </w:r>
      <w:proofErr w:type="spellStart"/>
      <w:r w:rsidRPr="00D06EFA">
        <w:t>interoperabiliteten</w:t>
      </w:r>
      <w:proofErr w:type="spellEnd"/>
      <w:r w:rsidRPr="00D06EFA">
        <w:t xml:space="preserve"> og den indbyrdes udskiftelighed af forsvarsprodukter i EU og mindske afhængigheden af ikke-EU-lande og dermed styrke EU's afskrækkelse og øge dets forsyningssikkerhed; understreger, at SAFE-instrumentet for at være finansielt effektivt, primært bør være et middel til i fællesskab at indkøbe, vedligeholde og drive strategiske katalysatorer, navnlig dem, der leverer efterretning, overvågning og rekognoscering; opfordrer Kommissionen til at udnytte sin rolle fuldt ud, navnlig gennem SAFE-taskforcen, for at sikre, at medlemsstaternes nationale forsvarsplaner respekterer </w:t>
      </w:r>
      <w:proofErr w:type="spellStart"/>
      <w:r w:rsidRPr="00D06EFA">
        <w:t>SAFE's</w:t>
      </w:r>
      <w:proofErr w:type="spellEnd"/>
      <w:r w:rsidRPr="00D06EFA">
        <w:t xml:space="preserve"> mål om at fremme fælles indkøb for at afhjælpe kapacitetsmangler effektivt, og til at anvende alle tilgængelige instrumenter, herunder europæiske forsvarsprojekter af fælles interesse og strukturen for det europæiske forsvarsmaterielprogram;</w:t>
      </w:r>
      <w:bookmarkEnd w:id="8"/>
    </w:p>
    <w:p w14:paraId="6779A81D" w14:textId="77777777" w:rsidR="009B008B" w:rsidRPr="00D06EFA" w:rsidRDefault="009B008B" w:rsidP="009B008B">
      <w:pPr>
        <w:pStyle w:val="NormalHanging12a"/>
        <w:rPr>
          <w:bCs/>
          <w:iCs/>
        </w:rPr>
      </w:pPr>
      <w:r w:rsidRPr="00D06EFA">
        <w:t>6.</w:t>
      </w:r>
      <w:r w:rsidRPr="00D06EFA">
        <w:tab/>
        <w:t>bemærker den begrænsede og ulige anvendelse af den nationale undtagelsesklausul og bemærker, at flere medlemsstater på trods af en sådan fleksibilitet fortsat står over for begrænsninger i deres finanspolitiske kapacitet til at opfylde kravene og reagere effektivt på fælles prioriteter, og at andre medlemsstater har afholdt sig fra at ansøge om den nationale undtagelsesklausul på grund af bekymring for de finansielle markeders reaktion; anerkender, at den nationale undtagelsesklausul er et midlertidigt instrument til landespecifikke nødsituationer, mens vedvarende investeringsplanlægning kræver forudsigelighed på lang sigt; fremhæver, at forudsigelige finanspolitiske og lovgivningsmæssige betingelser er afgørende for at tiltrække private investeringer og sikre en effektiv anvendelse af offentlige ressourcer i hele EU; der henviser til, at disse rammer i relevant omfang bør styrkes ved hjælp af investeringsinstrumenter og -værktøjer på EU-plan, der er udformet med henblik på at minimere omkostningerne for EU's skatteydere og maksimere effektiviteten i tilvejebringelsen af EU's offentlige goder;</w:t>
      </w:r>
    </w:p>
    <w:p w14:paraId="41335BA5" w14:textId="77777777" w:rsidR="009B008B" w:rsidRPr="00D06EFA" w:rsidRDefault="009B008B" w:rsidP="009B008B">
      <w:pPr>
        <w:pStyle w:val="NormalHanging12a"/>
      </w:pPr>
      <w:r w:rsidRPr="00D06EFA">
        <w:t>7.</w:t>
      </w:r>
      <w:r w:rsidRPr="00D06EFA">
        <w:tab/>
      </w:r>
      <w:bookmarkStart w:id="9" w:name="_Hlk213505486"/>
      <w:bookmarkStart w:id="10" w:name="_Hlk215478332"/>
      <w:r w:rsidRPr="00D06EFA">
        <w:t>glæder sig over Kommissionens forslag om at forenkle, lette og fremskynde offentlige indkøb af forsvarsmateriel; opfordrer til en styrkelse af princippet om EU-præference, der sikrer, at støttemodtagerne har mulighed for at træffe afgørelse om definition, tilpasning og udvikling af konstruktioner og systemer i hele deres livscyklus, og at ingen komponenter kommer fra lande eller enheder uden for EU, der er i strid med EU's og dets medlemsstaters sikkerheds- og forsvarsinteresser;</w:t>
      </w:r>
      <w:bookmarkEnd w:id="9"/>
      <w:r w:rsidRPr="00D06EFA">
        <w:t xml:space="preserve"> opfordrer endvidere til, at </w:t>
      </w:r>
      <w:r w:rsidRPr="00D06EFA">
        <w:lastRenderedPageBreak/>
        <w:t xml:space="preserve">kriterierne for støtteberettigelse under </w:t>
      </w:r>
      <w:proofErr w:type="spellStart"/>
      <w:r w:rsidRPr="00D06EFA">
        <w:t>ReArm</w:t>
      </w:r>
      <w:proofErr w:type="spellEnd"/>
      <w:r w:rsidRPr="00D06EFA">
        <w:t xml:space="preserve"> Europe-planen bringes i fuld overensstemmelse med dem, der er fastsat i programmet for den europæiske forsvarsindustri (EDIP), med henblik på at mindske fragmenteringen, spare omkostninger og øge effektiviteten, fremme </w:t>
      </w:r>
      <w:proofErr w:type="spellStart"/>
      <w:r w:rsidRPr="00D06EFA">
        <w:t>interoperabilitet</w:t>
      </w:r>
      <w:proofErr w:type="spellEnd"/>
      <w:r w:rsidRPr="00D06EFA">
        <w:t xml:space="preserve"> og udskiftelighed og styrke </w:t>
      </w:r>
      <w:proofErr w:type="spellStart"/>
      <w:r w:rsidRPr="00D06EFA">
        <w:t>EDTIB's</w:t>
      </w:r>
      <w:proofErr w:type="spellEnd"/>
      <w:r w:rsidRPr="00D06EFA">
        <w:t xml:space="preserve"> konkurrenceevne; understreger, at udbuds- og deltagelsesreglerne bør være forholdsmæssige og SMV-venlige, og opfordrer til, at en obligatorisk minimumsandel af projektværdien afsættes til SMV'ers deltagelse i forsyningskæden, for dermed at sikre lige adgang for nystartede virksomheder og mindre leverandører sammen med hovedkontrahenterne og undgå administrative byrder, der afholder SMV'er fra at deltage; opfordrer desuden til at styrke den europæiske modstandsdygtighed i forsyningskæder ved at fremme fælles standarder og blandede kæder, der mindsker kritisk afhængighed; anerkender behovet for et stærkt transatlantisk samarbejde som grundlag for europæisk forsvar, men udtrykker bekymring over meddelelsen om en betydelig stigning i indkøb af forsvarsprodukter fra USA, da dette vil modvirke ambitionerne i EDIS og skabe usikkerhed om investeringer i EDTIB; opfordrer til et transatlantisk forsvarsindustrielt samarbejde baseret på lige konkurrencevilkår, der vil gavne begge parter; understreger, at deltagelse i EU's forsvarsprogrammer skal være i fuld overensstemmelse med EU's grundlæggende værdier, sikkerhedsinteresser og målene for den fælles udenrigs- og sikkerhedspolitik (FUSP) og den fælles sikkerheds- og forsvarspolitik (FSFP);</w:t>
      </w:r>
    </w:p>
    <w:p w14:paraId="6A4F8D20" w14:textId="77777777" w:rsidR="009B008B" w:rsidRPr="00D06EFA" w:rsidRDefault="009B008B" w:rsidP="009B008B">
      <w:pPr>
        <w:pStyle w:val="Normal12a24b"/>
        <w:ind w:left="567" w:hanging="567"/>
      </w:pPr>
      <w:r w:rsidRPr="00D06EFA">
        <w:t>8.</w:t>
      </w:r>
      <w:r w:rsidRPr="00D06EFA">
        <w:tab/>
        <w:t xml:space="preserve">understreger, at EU's forsvarsindustri har brug for forudsigelig, flerårig efterspørgsel og fælles krav for at levere hastighed, omfang og værdi; understreger, at </w:t>
      </w:r>
      <w:proofErr w:type="spellStart"/>
      <w:r w:rsidRPr="00D06EFA">
        <w:t>interoperabilitet</w:t>
      </w:r>
      <w:proofErr w:type="spellEnd"/>
      <w:r w:rsidRPr="00D06EFA">
        <w:t xml:space="preserve"> og standardisering fra begyndelsen skal integreres i indkøb og investeringer på forsvarsområdet i EU gennem fælles afprøvning og certificering og grænseoverskridende accept med henblik på at begrænse spredningen af varianter og markedsfragmenteringen i overensstemmelse med </w:t>
      </w:r>
      <w:proofErr w:type="spellStart"/>
      <w:r w:rsidRPr="00D06EFA">
        <w:t>Draghi</w:t>
      </w:r>
      <w:proofErr w:type="spellEnd"/>
      <w:r w:rsidRPr="00D06EFA">
        <w:t xml:space="preserve">-, </w:t>
      </w:r>
      <w:proofErr w:type="spellStart"/>
      <w:r w:rsidRPr="00D06EFA">
        <w:t>Letta</w:t>
      </w:r>
      <w:proofErr w:type="spellEnd"/>
      <w:r w:rsidRPr="00D06EFA">
        <w:t xml:space="preserve">- og </w:t>
      </w:r>
      <w:proofErr w:type="spellStart"/>
      <w:r w:rsidRPr="00D06EFA">
        <w:t>Niinistö</w:t>
      </w:r>
      <w:proofErr w:type="spellEnd"/>
      <w:r w:rsidRPr="00D06EFA">
        <w:t>-rapporterne; opfordrer medlemsstaterne til at supplere deres budgetforpligtelser med gennemsigtige mellemfristede prognoser for forsvarsinvesteringer, der omfatter kapacitetsmål, tidsplaner for indkøb og den andel af udgifterne, der er øremærket til samarbejdsprogrammer; opfordrer EDA til at samle disse nationale prognoser i en årlig komparativ oversigt med henblik på at lette koordineringen og fremhæve mulighederne for fælles projekter;</w:t>
      </w:r>
    </w:p>
    <w:p w14:paraId="08E5E9B5" w14:textId="77777777" w:rsidR="009B008B" w:rsidRPr="00D06EFA" w:rsidRDefault="009B008B" w:rsidP="009B008B">
      <w:pPr>
        <w:pStyle w:val="Normal6a"/>
        <w:ind w:left="567" w:hanging="567"/>
      </w:pPr>
      <w:r w:rsidRPr="00D06EFA">
        <w:t>9.</w:t>
      </w:r>
      <w:r w:rsidRPr="00D06EFA">
        <w:tab/>
        <w:t>understreger behovet for at styrke EDTIB ved at aggregere efterspørgslen, forenkle og harmonisere reglerne og fremme åben og fair konkurrence mellem europæiske industrier, hvilket resulterer i en mere omkostningseffektiv og mere konkurrencedygtig europæisk forsvarsindustri og forbedret adgang til forsvarsmateriel i hele EU; beklager manglen på omfattende data om samarbejdsbaserede indkøb af materiel i EU, hvilket gjorde det umuligt at foretage en omfattende analyse af EU's samarbejdsbaserede indkøb af forsvarsmateriel og foretage en passende vurdering af situationen i EU's forsvarslandskab på dette område; opfordrer indtrængende Kommissionen og Rådet til at tackle vedvarende hindringer for handel med forsvarsprodukter inden for EU, herunder hindringer for licenser og certificering, og opfordrer medlovgiveren til at prioritere vedtagelsen og den effektive gennemførelse af Kommissionens omnibusforslag om forsvar for at strømline overførsler og indkøb i hele EU til støtte for en mere modstandsdygtig og konkurrencedygtig EDTIB;</w:t>
      </w:r>
    </w:p>
    <w:p w14:paraId="77437980" w14:textId="77777777" w:rsidR="009B008B" w:rsidRPr="00D06EFA" w:rsidRDefault="009B008B" w:rsidP="009B008B">
      <w:pPr>
        <w:pStyle w:val="Normal12a24b"/>
        <w:tabs>
          <w:tab w:val="left" w:pos="567"/>
        </w:tabs>
        <w:ind w:left="567" w:hanging="567"/>
      </w:pPr>
      <w:r w:rsidRPr="00D06EFA">
        <w:t>10.</w:t>
      </w:r>
      <w:r w:rsidRPr="00D06EFA">
        <w:tab/>
        <w:t xml:space="preserve">understreger, at synergier med civile innovationsprogrammer såsom Horisont Europa og Det Europæiske Innovationsråd bør styrkes for at maksimere virkningen og undgå </w:t>
      </w:r>
      <w:r w:rsidRPr="00D06EFA">
        <w:lastRenderedPageBreak/>
        <w:t>overlapning; understreger samtidig, at teknologiske fremskridt skal modsvares af den nødvendige menneskelige kapacitet; udtrykker bekymring over, at antallet af aktive medarbejdere kun steg marginalt i 2024, og advarer om, at stigende investeringer uden parallelle rekrutterings- og fastholdelsesbestræbelser risikerer at skabe kapacitetsmangler i forbindelse med drift og vedligeholdelse af nyt udstyr; opfordrer medlemsstaterne til at prioritere rekrutterings- og fastholdelsespolitikker på forsvarsområdet, herunder EU-støttede udvekslings- og uddannelsesprogrammer, for at sikre, at øgede udgifter omsættes til et reelt operationelt beredskab;</w:t>
      </w:r>
    </w:p>
    <w:p w14:paraId="72991EE7" w14:textId="77777777" w:rsidR="009B008B" w:rsidRPr="00D06EFA" w:rsidRDefault="009B008B" w:rsidP="009B008B">
      <w:pPr>
        <w:pStyle w:val="Normal12a24b"/>
      </w:pPr>
      <w:r w:rsidRPr="00D06EFA">
        <w:rPr>
          <w:rStyle w:val="Italic"/>
        </w:rPr>
        <w:t>Tilpasning af EU-budgettet og finansieringsværktøjerne til de sikkerhedsmæssige udfordringer og virksomhedernes behov</w:t>
      </w:r>
    </w:p>
    <w:p w14:paraId="77438A69" w14:textId="77777777" w:rsidR="009B008B" w:rsidRPr="00D06EFA" w:rsidRDefault="009B008B" w:rsidP="009B008B">
      <w:pPr>
        <w:pStyle w:val="NormalHanging12a"/>
      </w:pPr>
      <w:r w:rsidRPr="00D06EFA">
        <w:t>11.</w:t>
      </w:r>
      <w:r w:rsidRPr="00D06EFA">
        <w:tab/>
        <w:t xml:space="preserve">gentager sine tidligere opfordringer til Kommissionen om at undersøge alle muligheder for at støtte medlemsstaternes forsvarsinvesteringer og maksimere synergierne i eksisterende mekanismer til støtte for Unionens forsvarsberedskab; minder om sin opfordring til at sikre, at den næste FFR støtter en omfattende sikkerhedstilgang gennem tilstrækkelige og koordinerede investeringer; glæder sig over konsolideringen af den forsvarsfinansieringsramme, der foreslås i FFR for 2028-2034; beklager dog, at Kommissionen ikke leverede en tilstrækkelig detaljeret oversigt over denne finansieringsramme i sit forslag til FFR for 2028-2034; minder om, at en detaljeret budgetopdeling er nødvendig for at sætte budgetmyndigheden i stand til at træffe meningsfulde og informerede beslutninger; understreger, at forholdsmæssige investeringer på EU-plan på forsvarsområdet i den næste FFR, understøttet af gennemsigtig forvaltning, kan mindske dobbeltarbejde, skabe stordriftsfordele og øge </w:t>
      </w:r>
      <w:proofErr w:type="spellStart"/>
      <w:r w:rsidRPr="00D06EFA">
        <w:t>interoperabiliteten</w:t>
      </w:r>
      <w:proofErr w:type="spellEnd"/>
      <w:r w:rsidRPr="00D06EFA">
        <w:t>; minder om forsvarssektorens særlige karakter og mener, at den næste FFR skal bevare alle kriterierne og procedurerne for den europæiske forsvarsindustris finansieringsinstrumenter, navnlig kriterierne vedrørende Den Europæiske Forsvarsfond og EDIP;</w:t>
      </w:r>
    </w:p>
    <w:p w14:paraId="7521E024" w14:textId="77777777" w:rsidR="009B008B" w:rsidRPr="00D06EFA" w:rsidRDefault="009B008B" w:rsidP="009B008B">
      <w:pPr>
        <w:pStyle w:val="Normal6a"/>
        <w:tabs>
          <w:tab w:val="left" w:pos="567"/>
        </w:tabs>
        <w:spacing w:after="240"/>
        <w:ind w:left="567" w:hanging="567"/>
      </w:pPr>
      <w:r w:rsidRPr="00D06EFA">
        <w:t>12.</w:t>
      </w:r>
      <w:r w:rsidRPr="00D06EFA">
        <w:tab/>
        <w:t>mener i denne forbindelse, at alle muligheder bør undersøges for at støtte medlemsstaternes forsvarsinvesteringer, navnlig gennem eksisterende mekanismer, uden at øge de nationale bidrag eller den samlede skattebyrde for borgerne; understreger, at sådanne instrumenter ikke udelukkende må være baseret på udstedelse af EU-støttede lån, f.eks. gennem SAFE;</w:t>
      </w:r>
    </w:p>
    <w:p w14:paraId="2FA0CAFA" w14:textId="77777777" w:rsidR="009B008B" w:rsidRPr="00D06EFA" w:rsidRDefault="009B008B" w:rsidP="009B1344">
      <w:pPr>
        <w:tabs>
          <w:tab w:val="left" w:pos="567"/>
        </w:tabs>
        <w:spacing w:after="240"/>
        <w:ind w:left="567" w:hanging="567"/>
      </w:pPr>
      <w:r w:rsidRPr="00D06EFA">
        <w:t>13.</w:t>
      </w:r>
      <w:r w:rsidRPr="00D06EFA">
        <w:tab/>
        <w:t xml:space="preserve">understreger, at EU-finansiering bør supplere og ikke erstatte medlemsstaternes bestræbelser på at øge deres nationale forsvarsudgifter; understreger, at EU-instrumenter bør skabe merværdi ved at fremme samarbejde, </w:t>
      </w:r>
      <w:proofErr w:type="spellStart"/>
      <w:r w:rsidRPr="00D06EFA">
        <w:t>interoperabilitet</w:t>
      </w:r>
      <w:proofErr w:type="spellEnd"/>
      <w:r w:rsidRPr="00D06EFA">
        <w:t xml:space="preserve"> og effektivitet, samtidig med at kapacitetsplanlægning og -krav skal forblive inden for de relevante institutionelle rammer; gentager, at er nødvendigt at sikre yderligere ressourcer til forsvarsprioriteter for at opfylde presserende FSFP-behov; gentager derfor sin opfordring til Kommissionen og Rådet om at sikre, at EU er rustet til at dække sine generelt højere udgiftsbehov, herunder gennem vedtagelse af nye egne indtægter;</w:t>
      </w:r>
    </w:p>
    <w:p w14:paraId="4697A313" w14:textId="77777777" w:rsidR="009B008B" w:rsidRPr="00D06EFA" w:rsidRDefault="009B008B" w:rsidP="009B008B">
      <w:pPr>
        <w:pStyle w:val="NormalHanging12a"/>
      </w:pPr>
      <w:r w:rsidRPr="00D06EFA">
        <w:t>14.</w:t>
      </w:r>
      <w:r w:rsidRPr="00D06EFA">
        <w:tab/>
        <w:t xml:space="preserve">minder om, at EIB's mål er at bidrage til EU-integration, fremme EU's udvikling og støtte EU-politikker i overensstemmelse med artikel 309 i TEUF; glæder sig over EIB's proaktive tilgang for at øge finansieringen af Europas sikkerhed og forsvar; noterer sig imidlertid, at dets investeringspolitik stadig udelukker "våben og ammunition", og at dets interventioner hidtil har været utilstrækkelige med hensyn til hastighed, risikovillighed og omfang til at opfylde presserende forsvarsberedskabsbehov; noterer </w:t>
      </w:r>
      <w:r w:rsidRPr="00D06EFA">
        <w:lastRenderedPageBreak/>
        <w:t xml:space="preserve">sig de fremskridt, der er gjort med hensyn til at åbne kriterierne, men mener, at disse fortsat er utilstrækkelige til at nå de mål for forsvarsberedskab 2030, som interessenter fra industrien har givet udtryk for via undersøgelser og offentlige høringer; opfordrer for at sikre sammenhæng med </w:t>
      </w:r>
      <w:proofErr w:type="spellStart"/>
      <w:r w:rsidRPr="00D06EFA">
        <w:t>ReArm</w:t>
      </w:r>
      <w:proofErr w:type="spellEnd"/>
      <w:r w:rsidRPr="00D06EFA">
        <w:t xml:space="preserve"> Europe-planen medlemsstaterne som EIB's styrende organ til at tilpasse EIB's mandat med henblik på at styrke dens kapacitet til at støtte den europæiske forsvarsindustri og til at revidere sine investeringsretningslinjer med henblik på at muliggøre finansiering af legitime projekter for indkøb af våben og ammunition, der er i overensstemmelse med folkeretten og EU's sikkerhedsinteresser; opfordrer EIB-Gruppen til at øge sin risikovillighed og ambition om at tiltrække investeringer; advarer imidlertid om, at enhver justering af EIB-Gruppens støtteberettigelseskriterier eller finansiering med henblik på tilpasning til nye prioriteter skal beskytte EIB-Gruppens finansielle position og sikre effektiv finansiering af andre strategiske EU-prioriteter; opfordrer EIB til at foretage og give Parlamentet en grundig kvantitativ vurdering af sin investorpolitik for forsvarsinvesteringer uden i givet fald at bringe sine fortrolighedsaftaler med sine investorer i fare;</w:t>
      </w:r>
    </w:p>
    <w:p w14:paraId="4257E9F7" w14:textId="77777777" w:rsidR="009B008B" w:rsidRPr="00D06EFA" w:rsidRDefault="009B008B" w:rsidP="009B008B">
      <w:pPr>
        <w:pStyle w:val="NormalHanging12a"/>
        <w:rPr>
          <w:bCs/>
          <w:iCs/>
        </w:rPr>
      </w:pPr>
      <w:r w:rsidRPr="00D06EFA">
        <w:t>15.</w:t>
      </w:r>
      <w:r w:rsidRPr="00D06EFA">
        <w:tab/>
        <w:t>foreslår, at EIB løbende bør overveje og evaluere sin rolle samt omfanget af støtteberettigede investeringer i lyset af det presserende behov for at opskalere den europæiske forsvarssektor og sikre langsigtet sikkerhed og strategisk autonomi; foreslår, at EIB's mandat formelt udvides til at omfatte støtte til EDTIB inden for rammerne af et specialiseret datterselskab, der støttes af Kommissionens garantier og af et netværk af eksperter; mener, at en sådan struktur ville være en mere effektiv løsning end oprettelsen af en ny bank for forsvar, sikkerhed og modstandsdygtighed;</w:t>
      </w:r>
    </w:p>
    <w:p w14:paraId="41B78F4F" w14:textId="77777777" w:rsidR="009B008B" w:rsidRPr="00D06EFA" w:rsidRDefault="009B008B" w:rsidP="009B008B">
      <w:pPr>
        <w:pStyle w:val="NormalHanging12a"/>
      </w:pPr>
      <w:r w:rsidRPr="00D06EFA">
        <w:t>16.</w:t>
      </w:r>
      <w:r w:rsidRPr="00D06EFA">
        <w:tab/>
        <w:t>understreger betydningen af at forbedre tilgængeligheden af og sammenhængen i EU's fonde for investeringsstøtte til EDTIB-virksomheder, navnlig startupvirksomheder og SMV'er, ved gradvis at tilpasse og skræddersy støtteberettigelseskriterierne med hensyn til den ambition, der er fremsat i EDIS og EDIP, forenkle ansøgningsprocedurerne og harmonisere arbejdsprogrammernes mål; fremhæver betydningen af at tilpasse tidsplanerne og kravene for sådanne fonde til de forskellige innovationscyklusser og -hastigheder inden for forskellige typer kapacitetsområder; opfordrer medlemsstaterne og regionerne til at styrke deres handels- og industrikamres rolle med hensyn til at støtte SMV'er i EDTIB i forbindelse med deres forskning og adgang til EU-finansiering;</w:t>
      </w:r>
    </w:p>
    <w:p w14:paraId="3A0196BA" w14:textId="77777777" w:rsidR="009B008B" w:rsidRPr="00D06EFA" w:rsidRDefault="009B008B" w:rsidP="009B008B">
      <w:pPr>
        <w:pStyle w:val="Normal12a24b"/>
        <w:tabs>
          <w:tab w:val="left" w:pos="567"/>
        </w:tabs>
        <w:ind w:left="567" w:hanging="567"/>
        <w:rPr>
          <w:bCs/>
          <w:iCs/>
        </w:rPr>
      </w:pPr>
      <w:r w:rsidRPr="00D06EFA">
        <w:t>17.</w:t>
      </w:r>
      <w:r w:rsidRPr="00D06EFA">
        <w:tab/>
        <w:t xml:space="preserve">opfordrer Kommissionen til at give klare retningslinjer og skabeloner for nye typer af aftaler, koordinering og fælles udrulning blandt konkurrenter i forsvarssektoren med henblik på at lette stærkere </w:t>
      </w:r>
      <w:proofErr w:type="spellStart"/>
      <w:r w:rsidRPr="00D06EFA">
        <w:t>FoU</w:t>
      </w:r>
      <w:proofErr w:type="spellEnd"/>
      <w:r w:rsidRPr="00D06EFA">
        <w:t>-investeringer fra EDTIB-virksomheder;</w:t>
      </w:r>
    </w:p>
    <w:p w14:paraId="6A002CEB" w14:textId="77777777" w:rsidR="009B008B" w:rsidRPr="00D06EFA" w:rsidRDefault="009B008B" w:rsidP="009B008B">
      <w:pPr>
        <w:widowControl/>
        <w:spacing w:after="240"/>
        <w:ind w:left="567" w:hanging="567"/>
      </w:pPr>
      <w:r w:rsidRPr="00D06EFA">
        <w:t>18.</w:t>
      </w:r>
      <w:r w:rsidRPr="00D06EFA">
        <w:tab/>
        <w:t xml:space="preserve">opfordrer til, at der udvikles et instrument til støtte for offentlige og private forsvarsinvesteringer på grundlag af garantier fra EU-budgettet i lighed med </w:t>
      </w:r>
      <w:proofErr w:type="spellStart"/>
      <w:r w:rsidRPr="00D06EFA">
        <w:t>InvestEU</w:t>
      </w:r>
      <w:proofErr w:type="spellEnd"/>
      <w:r w:rsidRPr="00D06EFA">
        <w:t xml:space="preserve">; glæder sig på kort sigt over Kommissionens forslag om en delegeret retsakt til </w:t>
      </w:r>
      <w:proofErr w:type="spellStart"/>
      <w:r w:rsidRPr="00D06EFA">
        <w:t>InvestEU</w:t>
      </w:r>
      <w:proofErr w:type="spellEnd"/>
      <w:r w:rsidRPr="00D06EFA">
        <w:t>-fondens investeringsretningslinjer om strategiske investeringer på forsvarsområdet</w:t>
      </w:r>
      <w:r w:rsidRPr="00D06EFA">
        <w:rPr>
          <w:rStyle w:val="FootnoteReference"/>
          <w:bCs/>
          <w:iCs/>
        </w:rPr>
        <w:footnoteReference w:id="7"/>
      </w:r>
      <w:r w:rsidRPr="00D06EFA">
        <w:t xml:space="preserve">, hvori der opfordres til at fjerne unødvendige administrative byrder i forbindelse med anvendelsen af budgetgarantier og finansielle instrumenter til at støtte forsvarsinvesteringer og dermed sikre yderligere forenkling, samtidig med at behovet for at beskytte EU's og medlemsstaternes sikkerhed respekteres; mener, at disse </w:t>
      </w:r>
      <w:r w:rsidRPr="00D06EFA">
        <w:lastRenderedPageBreak/>
        <w:t>foranstaltninger samlet set vil sikre både hurtig mobilisering af finansiering og etablering af en stabil og skalerbar investeringsramme for den europæiske forsvarsindustri;</w:t>
      </w:r>
    </w:p>
    <w:p w14:paraId="23C81AED" w14:textId="77777777" w:rsidR="009B008B" w:rsidRPr="00D06EFA" w:rsidRDefault="009B008B" w:rsidP="009B008B">
      <w:pPr>
        <w:pStyle w:val="Normal12a24b"/>
        <w:tabs>
          <w:tab w:val="left" w:pos="567"/>
        </w:tabs>
        <w:ind w:left="567" w:hanging="567"/>
      </w:pPr>
      <w:r w:rsidRPr="00D06EFA">
        <w:t>19.</w:t>
      </w:r>
      <w:r w:rsidRPr="00D06EFA">
        <w:tab/>
        <w:t>er af den opfattelse, at anvendelsen af bankmidler til lån, garantier og likviditetsporteføljer af høj kvalitet, er afgørende for lange løbetider i forsvarsudgifterne, som vil skabe forudsigelighed og stabilitet; gentager, at en fremskyndelse af færdiggørelsen af opsparings- og investeringsunionen vil bidrage til at mobilisere privat kapital og forbedre adgangen til finansiering;</w:t>
      </w:r>
    </w:p>
    <w:p w14:paraId="4EBDAA9F" w14:textId="77777777" w:rsidR="009B008B" w:rsidRPr="00D06EFA" w:rsidRDefault="009B008B" w:rsidP="009B008B">
      <w:pPr>
        <w:pStyle w:val="Normal12a24b"/>
        <w:rPr>
          <w:i/>
          <w:iCs/>
        </w:rPr>
      </w:pPr>
      <w:r w:rsidRPr="00D06EFA">
        <w:rPr>
          <w:rStyle w:val="Bold"/>
          <w:i/>
        </w:rPr>
        <w:t>Fjernelse af hindringer for private investeringer i forsvar</w:t>
      </w:r>
    </w:p>
    <w:p w14:paraId="5D477C43" w14:textId="77777777" w:rsidR="009B008B" w:rsidRPr="00D06EFA" w:rsidRDefault="009B008B" w:rsidP="009B008B">
      <w:pPr>
        <w:pStyle w:val="Normal12a24b"/>
      </w:pPr>
      <w:r w:rsidRPr="00D06EFA">
        <w:rPr>
          <w:rStyle w:val="Italic"/>
        </w:rPr>
        <w:t>Forenkling af EDTIB-virksomheders adgang til kortfristet finansiering</w:t>
      </w:r>
    </w:p>
    <w:p w14:paraId="1A7702C4" w14:textId="77777777" w:rsidR="009B008B" w:rsidRPr="00D06EFA" w:rsidRDefault="009B008B" w:rsidP="009B008B">
      <w:pPr>
        <w:pStyle w:val="NormalHanging12a"/>
      </w:pPr>
      <w:r w:rsidRPr="00D06EFA">
        <w:t>20.</w:t>
      </w:r>
      <w:r w:rsidRPr="00D06EFA">
        <w:tab/>
        <w:t xml:space="preserve">opfordrer EU's observatorium for forsinkede betalinger til at </w:t>
      </w:r>
      <w:proofErr w:type="gramStart"/>
      <w:r w:rsidRPr="00D06EFA">
        <w:t>foretage en undersøgelse af</w:t>
      </w:r>
      <w:proofErr w:type="gramEnd"/>
      <w:r w:rsidRPr="00D06EFA">
        <w:t xml:space="preserve"> overholdelsen af betalingsfrister inden for EDTIB i forhold til resten af industrien samt en rangordning af de strengeste virksomheder i denne henseende;</w:t>
      </w:r>
    </w:p>
    <w:p w14:paraId="62B1C64F" w14:textId="77777777" w:rsidR="009B008B" w:rsidRPr="00D06EFA" w:rsidRDefault="009B008B" w:rsidP="009B008B">
      <w:pPr>
        <w:pStyle w:val="NormalHanging12a"/>
      </w:pPr>
      <w:r w:rsidRPr="00D06EFA">
        <w:t>21.</w:t>
      </w:r>
      <w:r w:rsidRPr="00D06EFA">
        <w:tab/>
        <w:t>opfordrer EIB til med støtte fra medlemsstaterne at nå op på 4 mia. EUR for kortfristede lån, med risikogarantier på op til 50 %, og opfordrer til, at EIB's kriterier for forsvarsforpligtelser lempes og forenkles, og at støtteberettigelsen udvides til at omfatte indirekte underleverandører;</w:t>
      </w:r>
    </w:p>
    <w:p w14:paraId="5911ABE0" w14:textId="77777777" w:rsidR="009B008B" w:rsidRPr="00D06EFA" w:rsidRDefault="009B008B" w:rsidP="009B008B">
      <w:pPr>
        <w:pStyle w:val="Normal12a24b"/>
      </w:pPr>
      <w:r w:rsidRPr="00D06EFA">
        <w:rPr>
          <w:rStyle w:val="Italic"/>
        </w:rPr>
        <w:t>Forbedring af private investorers kapacitet til at finansiere forsvar ved at sikre, at det er foreneligt med bæredygtig finansiering</w:t>
      </w:r>
    </w:p>
    <w:p w14:paraId="15FB8ECA" w14:textId="77777777" w:rsidR="009B008B" w:rsidRPr="00D06EFA" w:rsidRDefault="009B008B" w:rsidP="009B008B">
      <w:pPr>
        <w:pStyle w:val="NormalHanging12a"/>
      </w:pPr>
      <w:r w:rsidRPr="00D06EFA">
        <w:t>22.</w:t>
      </w:r>
      <w:r w:rsidRPr="00D06EFA">
        <w:tab/>
        <w:t>bemærker, at mange investorer trods bestræbelserne siden krigens begyndelse i Ukraine fortsat er tilbageholdende med at finansiere forsvar, bl.a. på grund usikkerhed vedrørende anvendelsen af miljømæssige, sociale og ledelsesmæssige standarder, og at EDTIB forskelsbehandles på de finansielle markeder på grund af en fejlagtigt opfattet risiko for dens omdømme; minder om, at mange forsvarsteknologier i sagens natur har dobbelt anvendelse og dermed skaber betydelige afsmittende fordele for civil innovation og EU's økonomi i sin helhed; understreger behovet for at tackle de vedvarende negative opfattelser af forsvarsfinansiering, navnlig i banksektoren; opfordrer indtrængende Kommissionen og medlemsstaterne til at forbedre information og bevidstgørelse om EDTIB-finansiering for sætte finansielle aktører i stand til at forbedre deres ekspertise inden for analyse og behandling af forsvarsrelateret finansiering; opfordrer Kommissionen til at forbedre information og bevidstgørelse om EDTIB-finansiering;</w:t>
      </w:r>
    </w:p>
    <w:p w14:paraId="6EA189C3" w14:textId="2EBF67A3" w:rsidR="009B008B" w:rsidRPr="00D06EFA" w:rsidRDefault="009B008B" w:rsidP="009B008B">
      <w:pPr>
        <w:pStyle w:val="NormalHanging12a"/>
      </w:pPr>
      <w:r w:rsidRPr="00D06EFA">
        <w:t>23.</w:t>
      </w:r>
      <w:r w:rsidRPr="00D06EFA">
        <w:tab/>
        <w:t>anerkender Kommissionens delegerede forordning</w:t>
      </w:r>
      <w:r w:rsidR="00C82E04">
        <w:t xml:space="preserve"> (EU) 2025/1775</w:t>
      </w:r>
      <w:r w:rsidRPr="00D06EFA">
        <w:t xml:space="preserve"> af </w:t>
      </w:r>
      <w:r w:rsidR="00C82E04">
        <w:t>28. august</w:t>
      </w:r>
      <w:r w:rsidRPr="00D06EFA">
        <w:t xml:space="preserve"> 2025 om ændring af delegeret forordning (EU) 2020/1818 for så vidt angår definitionen af kontroversielle våben</w:t>
      </w:r>
      <w:r w:rsidRPr="00D06EFA">
        <w:rPr>
          <w:rStyle w:val="FootnoteReference"/>
        </w:rPr>
        <w:footnoteReference w:id="8"/>
      </w:r>
      <w:r w:rsidRPr="00D06EFA">
        <w:t xml:space="preserve">, der erstatter begrebet "kontroversielle våben" med begrebet "forbudte våben", der blev vedtaget som led i omnibuspakken om forsvarsberedskab; fremhæver, at denne definition er begrænset til våben, der udtrykkeligt er forbudt i henhold til bindende internationale konventioner; glæder sig over de juridiske præciseringer, der blev medtaget i omnibuspakken om forsvarsberedskab, og anerkender deres betydning for at nå EU's mål for forsvarsfinansiering; opfordrer </w:t>
      </w:r>
      <w:r w:rsidRPr="00D06EFA">
        <w:lastRenderedPageBreak/>
        <w:t>private finansielle aktører til at begrænse deres udelukkelser fra denne konsoliderede liste og til at offentliggøre deres investeringspolitik; foreslår, at inddragelsen i EU's finansiering af aktører, hvis investeringspolitik går videre end denne udelukkelse, bør revideres fra sag til sag;</w:t>
      </w:r>
    </w:p>
    <w:p w14:paraId="462EE863" w14:textId="77777777" w:rsidR="009B008B" w:rsidRPr="00D06EFA" w:rsidRDefault="009B008B" w:rsidP="009B008B">
      <w:pPr>
        <w:pStyle w:val="NormalHanging12a"/>
      </w:pPr>
      <w:r w:rsidRPr="00D06EFA">
        <w:t>24.</w:t>
      </w:r>
      <w:r w:rsidRPr="00D06EFA">
        <w:tab/>
        <w:t>minder om, at EU's ramme for bæredygtig finansiering er udformet med henblik på at dirigere kapitalstrømme i retning af bæredygtige aktiviteter uden at begrænse finansieringen af forsvarssektoren, som bekræftet af Kommissionen i dens meddelelse af 18. august 2025, som bekræfter, at udelukkelsen af forsvarsrelaterede aktiviteter fra EU-klassificeringssystemet ikke forhindrer private eller offentlige investorer i at investere i forsvarssektoren; opfordrer Kommissionen til offentligt og utvetydigt at bekræfte, at EU's grønne taksonomi ikke forbyder, begrænser eller modvirker investeringer i forsvar; understreger, at forsvar og sikkerhed er forudsætninger for bæredygtig udvikling;</w:t>
      </w:r>
    </w:p>
    <w:p w14:paraId="10960332" w14:textId="77777777" w:rsidR="009B008B" w:rsidRPr="00D06EFA" w:rsidRDefault="009B008B" w:rsidP="009B008B">
      <w:pPr>
        <w:pStyle w:val="Normal12a24b"/>
      </w:pPr>
      <w:r w:rsidRPr="00D06EFA">
        <w:rPr>
          <w:rStyle w:val="Italic"/>
        </w:rPr>
        <w:t>Åbning af exitmuligheder på finansielle markeder for forsvarsaktiver ved at mobilisere privat kapital</w:t>
      </w:r>
    </w:p>
    <w:p w14:paraId="660557D9" w14:textId="77777777" w:rsidR="009B008B" w:rsidRPr="00D06EFA" w:rsidRDefault="009B008B" w:rsidP="009B008B">
      <w:pPr>
        <w:pStyle w:val="NormalHanging12a"/>
      </w:pPr>
      <w:r w:rsidRPr="00D06EFA">
        <w:t>25.</w:t>
      </w:r>
      <w:r w:rsidRPr="00D06EFA">
        <w:tab/>
      </w:r>
      <w:bookmarkStart w:id="11" w:name="_Hlk215501491"/>
      <w:r w:rsidRPr="00D06EFA">
        <w:t xml:space="preserve">mener, at det er afgørende at støtte et europæisk marked for specialiserede investorer, der tilbyder et kontinuum af finansiering (kredit, privat gæld og egenkapital) til virksomheder, navnlig startupvirksomheder, SMV'er og </w:t>
      </w:r>
      <w:proofErr w:type="spellStart"/>
      <w:r w:rsidRPr="00D06EFA">
        <w:t>midcapselskaber</w:t>
      </w:r>
      <w:proofErr w:type="spellEnd"/>
      <w:r w:rsidRPr="00D06EFA">
        <w:t>, i EDTIB og i den ukrainske DTIB</w:t>
      </w:r>
      <w:bookmarkEnd w:id="11"/>
      <w:r w:rsidRPr="00D06EFA">
        <w:t xml:space="preserve">; glæder sig over Kommissionens og EIB's initiativ til at oprette en egenkapitalfacilitet på forsvarsområdet på 175 mio. EUR for perioden 2024-2027; mener imidlertid, at denne fond er helt utilstrækkelig i betragtning af finansieringsbehovene, og opfordrer EIB til at efterkomme medlemsstaternes ønsker, som er gentaget i Rådets konklusioner, ved at øge dette budget til 1 mia. EUR for bedre at opfylde </w:t>
      </w:r>
      <w:proofErr w:type="spellStart"/>
      <w:r w:rsidRPr="00D06EFA">
        <w:t>EDTIB's</w:t>
      </w:r>
      <w:proofErr w:type="spellEnd"/>
      <w:r w:rsidRPr="00D06EFA">
        <w:t xml:space="preserve"> og dens værdikædes egenkapitalbehov, med særlig vægt på mindre aktører, der står over for det største finansieringsgab; opfordrer EIB til at udvide dette instrument til at omfatte den ukrainske DTIB og til at udforme det, således at det fremmer partnerskaber og joint ventures mellem EDTIB og ukrainske DTIB-virksomheder;</w:t>
      </w:r>
    </w:p>
    <w:p w14:paraId="760812FE" w14:textId="77777777" w:rsidR="009B008B" w:rsidRPr="00D06EFA" w:rsidRDefault="009B008B" w:rsidP="009B008B">
      <w:pPr>
        <w:pStyle w:val="NormalHanging12a"/>
        <w:rPr>
          <w:bCs/>
          <w:iCs/>
        </w:rPr>
      </w:pPr>
      <w:r w:rsidRPr="00D06EFA">
        <w:t>26.</w:t>
      </w:r>
      <w:r w:rsidRPr="00D06EFA">
        <w:tab/>
        <w:t>opfordrer Kommissionen og EIB-Gruppen til at operationalisere støtten til projekter med dobbelt anvendelse ved at forbedre adgangen til en sådan støtte for nystartede virksomheder og SMV'er, forenkle procedurerne, give klare retningslinjer til investorer og regelmæssigt rapportere om udbredelsen og den geografiske fordeling; opfordrer til en effektiv gennemførelse gennem målrettede indkaldelser af forslag og klar vejledning til forvaltningsmyndighederne, således at regioner med mindre udviklede forsvarsøkosystemer kan få adgang til disse muligheder; opfordrer medlemsstaterne til at afspejle disse muligheder i programudformningen og koordinere med Kommissionen og EIB med henblik på at udvikle regionale investeringsplatforme, sikre komplementaritet og undgå dobbeltfinansiering;</w:t>
      </w:r>
    </w:p>
    <w:p w14:paraId="2ECDA172" w14:textId="77777777" w:rsidR="009B008B" w:rsidRPr="00D06EFA" w:rsidRDefault="009B008B" w:rsidP="009B008B">
      <w:pPr>
        <w:pStyle w:val="NormalHanging12a"/>
      </w:pPr>
      <w:r w:rsidRPr="00D06EFA">
        <w:t>27.</w:t>
      </w:r>
      <w:r w:rsidRPr="00D06EFA">
        <w:tab/>
        <w:t>opfordrer Kommissionen til i sin konkurrencepolitik at overveje forsvarsberedskab, forsyningssikkerhed, innovationsfremmende potentiale og mindskelse af afhængigheden af lande uden for EU; opfordrer samtidig medlemsstaterne til at sikre, at deres indkøb af forsvarsprodukter er åbne og konkurrencedygtige for EDTIB som helhed; opfordrer medlemsstaterne til at styrke deres kontrol med direkte investeringer fra aktører fra tredjelande;</w:t>
      </w:r>
    </w:p>
    <w:p w14:paraId="21B75FF8" w14:textId="77777777" w:rsidR="009B008B" w:rsidRPr="00D06EFA" w:rsidRDefault="009B008B" w:rsidP="009B008B">
      <w:pPr>
        <w:pStyle w:val="NormalHanging12a"/>
      </w:pPr>
      <w:r w:rsidRPr="00D06EFA">
        <w:lastRenderedPageBreak/>
        <w:t>28.</w:t>
      </w:r>
      <w:r w:rsidRPr="00D06EFA">
        <w:tab/>
        <w:t xml:space="preserve">opfordrer Kommissionen til at styrke industrielle samarbejdsprogrammer og tværnationale partnerskaber, herunder forsyningskædeplatforme og </w:t>
      </w:r>
      <w:proofErr w:type="spellStart"/>
      <w:r w:rsidRPr="00D06EFA">
        <w:t>samudviklingsprojekter</w:t>
      </w:r>
      <w:proofErr w:type="spellEnd"/>
      <w:r w:rsidRPr="00D06EFA">
        <w:t xml:space="preserve">, med henblik på at integrere forsyningskæder, udnytte national ekspertise, fremme stordriftsfordele og styrke </w:t>
      </w:r>
      <w:proofErr w:type="spellStart"/>
      <w:r w:rsidRPr="00D06EFA">
        <w:t>EDTIB's</w:t>
      </w:r>
      <w:proofErr w:type="spellEnd"/>
      <w:r w:rsidRPr="00D06EFA">
        <w:t xml:space="preserve"> globale konkurrenceevne;</w:t>
      </w:r>
    </w:p>
    <w:p w14:paraId="12E9607F" w14:textId="77777777" w:rsidR="009B008B" w:rsidRPr="00D06EFA" w:rsidRDefault="009B008B" w:rsidP="009B008B">
      <w:pPr>
        <w:pStyle w:val="NormalHanging12a"/>
      </w:pPr>
      <w:r w:rsidRPr="00D06EFA">
        <w:t>29.</w:t>
      </w:r>
      <w:r w:rsidRPr="00D06EFA">
        <w:tab/>
        <w:t>fremhæver betydningen af velfungerende kapitalmarkeder for forsvarsfinansiering; opfordrer Kommissionen og medlemsstaterne til at fremskynde fremskridtene med dagsordenen for kapitalmarkedsunionen og opsparings- og investeringsunionen, navnlig ved at forbedre adgangen til egenkapital, risikovillig kapital og finansiering til SMV'er i forsvarssektoren; understreger, at kapitalmarkedsunionen og opsparings- og investeringsunionen er afgørende for at øge forsvarsfinansieringen;</w:t>
      </w:r>
    </w:p>
    <w:p w14:paraId="1E27B2D8" w14:textId="77777777" w:rsidR="009B008B" w:rsidRPr="00D06EFA" w:rsidRDefault="009B008B" w:rsidP="009B008B">
      <w:pPr>
        <w:pStyle w:val="NormalHanging12a"/>
      </w:pPr>
      <w:r w:rsidRPr="00D06EFA">
        <w:t>30.</w:t>
      </w:r>
      <w:r w:rsidRPr="00D06EFA">
        <w:tab/>
        <w:t>understreger betydningen af at fremskynde fremskridt med fuldførelsen af opsparings- og investeringsunionen med sigte på at støtte et dybere, mere likvidt og integreret finansielt system i EU, der mere effektivt kanaliserer besparelser til produktive investeringer såsom investeringer i EU's forsvarsindustri; fremhæver, at EU's forsvarsindustri skal øge sin kapacitet betydeligt for at imødekomme den enorme stigning i efterspørgslen efter militære produkter;</w:t>
      </w:r>
    </w:p>
    <w:p w14:paraId="7404BF9D" w14:textId="77777777" w:rsidR="009B008B" w:rsidRPr="00D06EFA" w:rsidRDefault="009B008B" w:rsidP="009B008B">
      <w:pPr>
        <w:pStyle w:val="NormalHanging12a"/>
      </w:pPr>
      <w:r w:rsidRPr="00D06EFA">
        <w:t>31.</w:t>
      </w:r>
      <w:r w:rsidRPr="00D06EFA">
        <w:tab/>
        <w:t>glæder sig over lanceringen af mærket "Finance Europe"; bemærker, at dette mærke, som har til formål at dirigere private opsparinger i retning af langsigtede investeringer i den europæiske realøkonomi, fremmer egenkapitalfinansiering for virksomheder; opfordrer Kommissionen til at støtte dette initiativ ved at foreslå et europæisk mærke inden for rammerne af opsparings- og investeringsunionen og samtidig sikre, at det ikke skaber en yderligere administrative byrde;</w:t>
      </w:r>
    </w:p>
    <w:p w14:paraId="7537DE3F" w14:textId="77777777" w:rsidR="009B008B" w:rsidRPr="00D06EFA" w:rsidRDefault="009B008B" w:rsidP="009B008B">
      <w:pPr>
        <w:pStyle w:val="NormalCenter12a"/>
        <w:ind w:left="567" w:hanging="567"/>
        <w:jc w:val="left"/>
      </w:pPr>
      <w:r w:rsidRPr="00D06EFA">
        <w:t>32.</w:t>
      </w:r>
      <w:r w:rsidRPr="00D06EFA">
        <w:tab/>
        <w:t>glæder sig over Kommissionens henstilling om opsparings- og investeringskonti</w:t>
      </w:r>
      <w:r w:rsidRPr="00D06EFA">
        <w:rPr>
          <w:rStyle w:val="FootnoteReference"/>
        </w:rPr>
        <w:footnoteReference w:id="9"/>
      </w:r>
      <w:r w:rsidRPr="00D06EFA">
        <w:t>; fremhæver, at opsparings- og investeringskonti har til formål at fremme detaildeltagelsen på EU's kapitalmarkeder og dermed bidrage til at styrke markederne og lette en forøgelse af EU's investorgrundlag, der vil bidrage til at finansiere EU's strategiske prioriteter, herunder forsvar; opfordrer Kommissionen til fortsat at støtte dette initiativ; opfordrer medlemsstaterne til at følge Kommissionens henstilling om forbedring af tilgængeligheden af opsparings- og investeringskonti;</w:t>
      </w:r>
    </w:p>
    <w:p w14:paraId="7B560C99" w14:textId="77777777" w:rsidR="009B008B" w:rsidRPr="00D06EFA" w:rsidRDefault="009B008B" w:rsidP="009B008B">
      <w:pPr>
        <w:pStyle w:val="NormalHanging12a"/>
      </w:pPr>
      <w:r w:rsidRPr="00D06EFA">
        <w:t>33.</w:t>
      </w:r>
      <w:r w:rsidRPr="00D06EFA">
        <w:tab/>
        <w:t>glæder sig over det igangværende arbejde, der har til formål at anvende de indefrosne russiske aktiver til at finansiere Ukraines forsvarsindsats, samtidig med at der tages hånd om bekymringer for så vidt angår finansiel stabilitet og retssager;</w:t>
      </w:r>
    </w:p>
    <w:p w14:paraId="2F2E3136" w14:textId="77777777" w:rsidR="009B008B" w:rsidRPr="00D06EFA" w:rsidRDefault="009B008B" w:rsidP="009B008B">
      <w:pPr>
        <w:pStyle w:val="NormalCenter12a"/>
        <w:tabs>
          <w:tab w:val="left" w:pos="567"/>
        </w:tabs>
        <w:ind w:left="567" w:hanging="567"/>
        <w:jc w:val="left"/>
        <w:rPr>
          <w:bCs/>
          <w:iCs/>
        </w:rPr>
      </w:pPr>
      <w:r w:rsidRPr="00D06EFA">
        <w:t>34.</w:t>
      </w:r>
      <w:r w:rsidRPr="00D06EFA">
        <w:tab/>
        <w:t xml:space="preserve">opfordrer til et fælles tilsagn blandt medlemsstaterne om at øge forsvarsudgifterne i overensstemmelse med resultaterne af NATO's topmøde i Haag i 2025, hvor NATO-allierede forpligtede sig til at investere 5 % af BNP årligt i centrale forsvarskrav og forsvars- og sikkerhedsrelaterede udgifter senest i 2035; opfordrer indtrængende medlemsstaterne til at fremme europæiske forsvarsinitiativer, øge </w:t>
      </w:r>
      <w:proofErr w:type="spellStart"/>
      <w:r w:rsidRPr="00D06EFA">
        <w:t>interoperabiliteten</w:t>
      </w:r>
      <w:proofErr w:type="spellEnd"/>
      <w:r w:rsidRPr="00D06EFA">
        <w:t xml:space="preserve"> og investere i fælles indkøb, der er i overensstemmelse med fælles strategiske prioriteter, herunder ammunitionsproduktion;</w:t>
      </w:r>
    </w:p>
    <w:p w14:paraId="1A22A030" w14:textId="77777777" w:rsidR="009B008B" w:rsidRPr="00D06EFA" w:rsidRDefault="009B008B" w:rsidP="009B008B">
      <w:pPr>
        <w:pStyle w:val="NormalCenter12a"/>
      </w:pPr>
      <w:r w:rsidRPr="00D06EFA">
        <w:lastRenderedPageBreak/>
        <w:t>°</w:t>
      </w:r>
    </w:p>
    <w:p w14:paraId="3D68146D" w14:textId="77777777" w:rsidR="009B008B" w:rsidRPr="00D06EFA" w:rsidRDefault="009B008B" w:rsidP="009B008B">
      <w:pPr>
        <w:pStyle w:val="NormalCenter12a"/>
      </w:pPr>
      <w:r w:rsidRPr="00D06EFA">
        <w:t>°</w:t>
      </w:r>
      <w:r w:rsidRPr="00D06EFA">
        <w:tab/>
        <w:t>°</w:t>
      </w:r>
    </w:p>
    <w:p w14:paraId="5CE45BE8" w14:textId="7AD15664" w:rsidR="00ED379F" w:rsidRPr="00D06EFA" w:rsidRDefault="009B008B" w:rsidP="00ED379F">
      <w:pPr>
        <w:pStyle w:val="NormalHanging12a"/>
      </w:pPr>
      <w:r w:rsidRPr="00D06EFA">
        <w:t>35.</w:t>
      </w:r>
      <w:r w:rsidRPr="00D06EFA">
        <w:tab/>
        <w:t>pålægger sin formand at sende denne beslutning til Rådet og Kommissionen.</w:t>
      </w:r>
      <w:bookmarkEnd w:id="10"/>
    </w:p>
    <w:p w14:paraId="68912BF2" w14:textId="5A6009F7" w:rsidR="00E365E1" w:rsidRPr="00D06EFA" w:rsidRDefault="00E365E1" w:rsidP="006A2DAA"/>
    <w:sectPr w:rsidR="00E365E1" w:rsidRPr="00D06EFA" w:rsidSect="00ED37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9741D" w14:textId="77777777" w:rsidR="006A2DAA" w:rsidRPr="00ED379F" w:rsidRDefault="006A2DAA">
      <w:r w:rsidRPr="00ED379F">
        <w:separator/>
      </w:r>
    </w:p>
  </w:endnote>
  <w:endnote w:type="continuationSeparator" w:id="0">
    <w:p w14:paraId="150A8D65" w14:textId="77777777" w:rsidR="006A2DAA" w:rsidRPr="00ED379F" w:rsidRDefault="006A2DAA">
      <w:r w:rsidRPr="00ED37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6B24" w14:textId="77777777" w:rsidR="00064002" w:rsidRPr="00ED37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D6572" w14:textId="77777777" w:rsidR="00064002" w:rsidRPr="00ED37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8C757" w14:textId="77777777" w:rsidR="00064002" w:rsidRPr="00ED37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E0289" w14:textId="77777777" w:rsidR="006A2DAA" w:rsidRPr="00ED379F" w:rsidRDefault="006A2DAA">
      <w:r w:rsidRPr="00ED379F">
        <w:separator/>
      </w:r>
    </w:p>
  </w:footnote>
  <w:footnote w:type="continuationSeparator" w:id="0">
    <w:p w14:paraId="1805C147" w14:textId="77777777" w:rsidR="006A2DAA" w:rsidRPr="00ED379F" w:rsidRDefault="006A2DAA">
      <w:r w:rsidRPr="00ED379F">
        <w:continuationSeparator/>
      </w:r>
    </w:p>
  </w:footnote>
  <w:footnote w:id="1">
    <w:p w14:paraId="7C9EFE24" w14:textId="10F8D443" w:rsidR="009B008B" w:rsidRPr="00ED379F" w:rsidRDefault="009B008B" w:rsidP="00ED379F">
      <w:pPr>
        <w:pStyle w:val="FootnoteText"/>
        <w:ind w:left="567" w:hanging="567"/>
        <w:rPr>
          <w:sz w:val="24"/>
          <w:lang w:val="da-DK"/>
        </w:rPr>
      </w:pPr>
      <w:r w:rsidRPr="00ED379F">
        <w:rPr>
          <w:rStyle w:val="FootnoteReference"/>
          <w:sz w:val="24"/>
          <w:lang w:val="da-DK"/>
        </w:rPr>
        <w:footnoteRef/>
      </w:r>
      <w:r w:rsidR="00ED379F" w:rsidRPr="00ED379F">
        <w:rPr>
          <w:sz w:val="24"/>
          <w:lang w:val="da-DK"/>
        </w:rPr>
        <w:t xml:space="preserve"> </w:t>
      </w:r>
      <w:r w:rsidR="00ED379F" w:rsidRPr="00ED379F">
        <w:rPr>
          <w:sz w:val="24"/>
          <w:lang w:val="da-DK"/>
        </w:rPr>
        <w:tab/>
      </w:r>
      <w:r w:rsidRPr="00ED379F">
        <w:rPr>
          <w:sz w:val="24"/>
          <w:lang w:val="da-DK"/>
        </w:rPr>
        <w:t xml:space="preserve">Europa-Kommissionen: Generaldirektoratet for Forsvarsindustri og Rummet, "Access to </w:t>
      </w:r>
      <w:proofErr w:type="spellStart"/>
      <w:r w:rsidRPr="00ED379F">
        <w:rPr>
          <w:sz w:val="24"/>
          <w:lang w:val="da-DK"/>
        </w:rPr>
        <w:t>equity</w:t>
      </w:r>
      <w:proofErr w:type="spellEnd"/>
      <w:r w:rsidRPr="00ED379F">
        <w:rPr>
          <w:sz w:val="24"/>
          <w:lang w:val="da-DK"/>
        </w:rPr>
        <w:t xml:space="preserve"> </w:t>
      </w:r>
      <w:proofErr w:type="spellStart"/>
      <w:r w:rsidRPr="00ED379F">
        <w:rPr>
          <w:sz w:val="24"/>
          <w:lang w:val="da-DK"/>
        </w:rPr>
        <w:t>funding</w:t>
      </w:r>
      <w:proofErr w:type="spellEnd"/>
      <w:r w:rsidRPr="00ED379F">
        <w:rPr>
          <w:sz w:val="24"/>
          <w:lang w:val="da-DK"/>
        </w:rPr>
        <w:t xml:space="preserve"> for European </w:t>
      </w:r>
      <w:proofErr w:type="spellStart"/>
      <w:r w:rsidRPr="00ED379F">
        <w:rPr>
          <w:sz w:val="24"/>
          <w:lang w:val="da-DK"/>
        </w:rPr>
        <w:t>defence</w:t>
      </w:r>
      <w:proofErr w:type="spellEnd"/>
      <w:r w:rsidRPr="00ED379F">
        <w:rPr>
          <w:sz w:val="24"/>
          <w:lang w:val="da-DK"/>
        </w:rPr>
        <w:t xml:space="preserve"> </w:t>
      </w:r>
      <w:proofErr w:type="spellStart"/>
      <w:r w:rsidRPr="00ED379F">
        <w:rPr>
          <w:sz w:val="24"/>
          <w:lang w:val="da-DK"/>
        </w:rPr>
        <w:t>SMEs</w:t>
      </w:r>
      <w:proofErr w:type="spellEnd"/>
      <w:r w:rsidRPr="00ED379F">
        <w:rPr>
          <w:sz w:val="24"/>
          <w:lang w:val="da-DK"/>
        </w:rPr>
        <w:t xml:space="preserve">" (adgang til egenkapitalfinansiering for SMV'er i den europæiske forsvarssektor), Den Europæiske Unions Publikationskontor, 2024, </w:t>
      </w:r>
      <w:hyperlink r:id="rId1" w:history="1">
        <w:r w:rsidRPr="00ED379F">
          <w:rPr>
            <w:rStyle w:val="Hyperlink"/>
            <w:sz w:val="24"/>
            <w:lang w:val="da-DK"/>
          </w:rPr>
          <w:t>https://data.europa.eu/doi/10.2889/698738</w:t>
        </w:r>
      </w:hyperlink>
      <w:r w:rsidRPr="00ED379F">
        <w:rPr>
          <w:sz w:val="24"/>
          <w:lang w:val="da-DK"/>
        </w:rPr>
        <w:t>.</w:t>
      </w:r>
    </w:p>
  </w:footnote>
  <w:footnote w:id="2">
    <w:p w14:paraId="7A889D1E" w14:textId="07BDF0D3" w:rsidR="009B008B" w:rsidRPr="00ED379F" w:rsidRDefault="009B008B" w:rsidP="00ED379F">
      <w:pPr>
        <w:pStyle w:val="FootnoteText"/>
        <w:ind w:left="567" w:hanging="567"/>
        <w:rPr>
          <w:sz w:val="24"/>
          <w:lang w:val="da-DK"/>
        </w:rPr>
      </w:pPr>
      <w:r w:rsidRPr="00ED379F">
        <w:rPr>
          <w:rStyle w:val="FootnoteReference"/>
          <w:sz w:val="24"/>
          <w:lang w:val="da-DK"/>
        </w:rPr>
        <w:footnoteRef/>
      </w:r>
      <w:r w:rsidR="00ED379F" w:rsidRPr="00ED379F">
        <w:rPr>
          <w:sz w:val="24"/>
          <w:lang w:val="da-DK"/>
        </w:rPr>
        <w:t xml:space="preserve"> </w:t>
      </w:r>
      <w:r w:rsidR="00ED379F" w:rsidRPr="00ED379F">
        <w:rPr>
          <w:sz w:val="24"/>
          <w:lang w:val="da-DK"/>
        </w:rPr>
        <w:tab/>
      </w:r>
      <w:r w:rsidRPr="00ED379F">
        <w:rPr>
          <w:sz w:val="24"/>
          <w:lang w:val="da-DK"/>
        </w:rPr>
        <w:t>Vedtagne tekster, P10_TA(2025)0281.</w:t>
      </w:r>
    </w:p>
  </w:footnote>
  <w:footnote w:id="3">
    <w:p w14:paraId="6600736B" w14:textId="213BD547" w:rsidR="009B008B" w:rsidRPr="00ED379F" w:rsidRDefault="009B008B" w:rsidP="00ED379F">
      <w:pPr>
        <w:pStyle w:val="FootnoteText"/>
        <w:ind w:left="567" w:hanging="567"/>
        <w:rPr>
          <w:sz w:val="24"/>
          <w:lang w:val="da-DK"/>
        </w:rPr>
      </w:pPr>
      <w:r w:rsidRPr="00ED379F">
        <w:rPr>
          <w:rStyle w:val="FootnoteReference"/>
          <w:sz w:val="24"/>
          <w:lang w:val="da-DK"/>
        </w:rPr>
        <w:footnoteRef/>
      </w:r>
      <w:r w:rsidR="00ED379F" w:rsidRPr="00ED379F">
        <w:rPr>
          <w:sz w:val="24"/>
          <w:lang w:val="da-DK"/>
        </w:rPr>
        <w:t xml:space="preserve"> </w:t>
      </w:r>
      <w:r w:rsidR="00ED379F" w:rsidRPr="00ED379F">
        <w:rPr>
          <w:sz w:val="24"/>
          <w:lang w:val="da-DK"/>
        </w:rPr>
        <w:tab/>
      </w:r>
      <w:r w:rsidRPr="00ED379F">
        <w:rPr>
          <w:sz w:val="24"/>
          <w:lang w:val="da-DK"/>
        </w:rPr>
        <w:t xml:space="preserve">EUT L, 2025/1106, 28.5.2025, ELI: </w:t>
      </w:r>
      <w:hyperlink r:id="rId2" w:history="1">
        <w:r w:rsidRPr="00DA43D5">
          <w:rPr>
            <w:rStyle w:val="Hyperlink"/>
            <w:sz w:val="24"/>
            <w:lang w:val="da-DK"/>
          </w:rPr>
          <w:t>http://data.europa.eu/eli/reg/2025/1106/oj</w:t>
        </w:r>
      </w:hyperlink>
      <w:r w:rsidRPr="00ED379F">
        <w:rPr>
          <w:sz w:val="24"/>
          <w:lang w:val="da-DK"/>
        </w:rPr>
        <w:t>.</w:t>
      </w:r>
    </w:p>
  </w:footnote>
  <w:footnote w:id="4">
    <w:p w14:paraId="3A58C2E3" w14:textId="3325C228" w:rsidR="009B008B" w:rsidRPr="00ED379F" w:rsidRDefault="009B008B" w:rsidP="00ED379F">
      <w:pPr>
        <w:pStyle w:val="FootnoteText"/>
        <w:ind w:left="567" w:hanging="567"/>
        <w:rPr>
          <w:sz w:val="24"/>
          <w:lang w:val="da-DK"/>
        </w:rPr>
      </w:pPr>
      <w:r w:rsidRPr="00ED379F">
        <w:rPr>
          <w:rStyle w:val="FootnoteReference"/>
          <w:sz w:val="24"/>
          <w:lang w:val="da-DK"/>
        </w:rPr>
        <w:footnoteRef/>
      </w:r>
      <w:r w:rsidR="00ED379F" w:rsidRPr="00ED379F">
        <w:rPr>
          <w:sz w:val="24"/>
          <w:lang w:val="da-DK"/>
        </w:rPr>
        <w:t xml:space="preserve"> </w:t>
      </w:r>
      <w:r w:rsidR="00ED379F" w:rsidRPr="00ED379F">
        <w:rPr>
          <w:sz w:val="24"/>
          <w:lang w:val="da-DK"/>
        </w:rPr>
        <w:tab/>
      </w:r>
      <w:r w:rsidRPr="00ED379F">
        <w:rPr>
          <w:sz w:val="24"/>
          <w:lang w:val="da-DK"/>
        </w:rPr>
        <w:t>Vedtagne tekster, P10_TA(2025)0034.</w:t>
      </w:r>
    </w:p>
  </w:footnote>
  <w:footnote w:id="5">
    <w:p w14:paraId="7A395155" w14:textId="7FFD650E" w:rsidR="009B008B" w:rsidRPr="00ED379F" w:rsidRDefault="009B008B" w:rsidP="00ED379F">
      <w:pPr>
        <w:pStyle w:val="FootnoteText"/>
        <w:ind w:left="567" w:hanging="567"/>
        <w:rPr>
          <w:sz w:val="24"/>
          <w:lang w:val="da-DK"/>
        </w:rPr>
      </w:pPr>
      <w:r w:rsidRPr="00ED379F">
        <w:rPr>
          <w:rStyle w:val="FootnoteReference"/>
          <w:sz w:val="24"/>
          <w:lang w:val="da-DK"/>
        </w:rPr>
        <w:footnoteRef/>
      </w:r>
      <w:r w:rsidR="00ED379F" w:rsidRPr="00ED379F">
        <w:rPr>
          <w:sz w:val="24"/>
          <w:lang w:val="da-DK"/>
        </w:rPr>
        <w:t xml:space="preserve"> </w:t>
      </w:r>
      <w:r w:rsidR="00ED379F" w:rsidRPr="00ED379F">
        <w:rPr>
          <w:sz w:val="24"/>
          <w:lang w:val="da-DK"/>
        </w:rPr>
        <w:tab/>
      </w:r>
      <w:r w:rsidRPr="00ED379F">
        <w:rPr>
          <w:sz w:val="24"/>
          <w:lang w:val="da-DK"/>
        </w:rPr>
        <w:t>Vedtagne tekster, P10_TA(2025)0145.</w:t>
      </w:r>
    </w:p>
  </w:footnote>
  <w:footnote w:id="6">
    <w:p w14:paraId="03F2260A" w14:textId="1B535940" w:rsidR="009B008B" w:rsidRPr="00DA43D5" w:rsidRDefault="009B008B" w:rsidP="00ED379F">
      <w:pPr>
        <w:pStyle w:val="FootnoteText"/>
        <w:ind w:left="567" w:hanging="567"/>
        <w:rPr>
          <w:sz w:val="24"/>
          <w:lang w:val="da-DK"/>
        </w:rPr>
      </w:pPr>
      <w:r w:rsidRPr="00DA43D5">
        <w:rPr>
          <w:rStyle w:val="FootnoteReference"/>
          <w:sz w:val="24"/>
          <w:lang w:val="da-DK"/>
        </w:rPr>
        <w:footnoteRef/>
      </w:r>
      <w:r w:rsidR="00ED379F" w:rsidRPr="009B1344">
        <w:rPr>
          <w:sz w:val="24"/>
          <w:u w:color="0000FF"/>
          <w:lang w:val="da-DK"/>
        </w:rPr>
        <w:t xml:space="preserve"> </w:t>
      </w:r>
      <w:r w:rsidR="00ED379F" w:rsidRPr="009B1344">
        <w:rPr>
          <w:sz w:val="24"/>
          <w:u w:color="0000FF"/>
          <w:lang w:val="da-DK"/>
        </w:rPr>
        <w:tab/>
      </w:r>
      <w:r w:rsidRPr="009B1344">
        <w:rPr>
          <w:sz w:val="24"/>
          <w:u w:color="0000FF"/>
          <w:lang w:val="da-DK"/>
        </w:rPr>
        <w:t xml:space="preserve">Kommissionens rapport af 17. oktober 2024 med titlen "Fjerde årsrapport om screening af udenlandske direkte investeringer i Unionen" (COM(2024)0464). </w:t>
      </w:r>
    </w:p>
  </w:footnote>
  <w:footnote w:id="7">
    <w:p w14:paraId="7BAA005B" w14:textId="06CEB4FF" w:rsidR="009B008B" w:rsidRPr="00ED379F" w:rsidRDefault="009B008B" w:rsidP="00ED379F">
      <w:pPr>
        <w:pStyle w:val="FootnoteText"/>
        <w:ind w:left="567" w:hanging="567"/>
        <w:rPr>
          <w:sz w:val="24"/>
          <w:lang w:val="da-DK"/>
        </w:rPr>
      </w:pPr>
      <w:r w:rsidRPr="00ED379F">
        <w:rPr>
          <w:rStyle w:val="FootnoteReference"/>
          <w:sz w:val="24"/>
          <w:lang w:val="da-DK"/>
        </w:rPr>
        <w:footnoteRef/>
      </w:r>
      <w:r w:rsidR="00ED379F" w:rsidRPr="00ED379F">
        <w:rPr>
          <w:sz w:val="24"/>
          <w:lang w:val="da-DK"/>
        </w:rPr>
        <w:t xml:space="preserve"> </w:t>
      </w:r>
      <w:r w:rsidR="00ED379F" w:rsidRPr="00ED379F">
        <w:rPr>
          <w:sz w:val="24"/>
          <w:lang w:val="da-DK"/>
        </w:rPr>
        <w:tab/>
      </w:r>
      <w:r w:rsidRPr="00ED379F">
        <w:rPr>
          <w:sz w:val="24"/>
          <w:lang w:val="da-DK"/>
        </w:rPr>
        <w:t xml:space="preserve">Kommissionens delegerede forordning (EU) </w:t>
      </w:r>
      <w:r w:rsidR="00F36363">
        <w:rPr>
          <w:sz w:val="24"/>
          <w:lang w:val="da-DK"/>
        </w:rPr>
        <w:t>2025/1774</w:t>
      </w:r>
      <w:r w:rsidRPr="00ED379F">
        <w:rPr>
          <w:sz w:val="24"/>
          <w:lang w:val="da-DK"/>
        </w:rPr>
        <w:t xml:space="preserve"> af 28. august 2025 om ændring af delegeret forordning (EU) 2021/1078 for så vidt angår strategiske investeringer på forsvarsområdet som angivet i investeringsretningslinjerne for </w:t>
      </w:r>
      <w:proofErr w:type="spellStart"/>
      <w:r w:rsidRPr="00ED379F">
        <w:rPr>
          <w:sz w:val="24"/>
          <w:lang w:val="da-DK"/>
        </w:rPr>
        <w:t>InvestEU</w:t>
      </w:r>
      <w:proofErr w:type="spellEnd"/>
      <w:r w:rsidRPr="00ED379F">
        <w:rPr>
          <w:sz w:val="24"/>
          <w:lang w:val="da-DK"/>
        </w:rPr>
        <w:t xml:space="preserve">-Fonden </w:t>
      </w:r>
      <w:r w:rsidR="00DE525E" w:rsidRPr="00DE525E">
        <w:rPr>
          <w:sz w:val="24"/>
          <w:lang w:val="da-DK"/>
        </w:rPr>
        <w:t>(</w:t>
      </w:r>
      <w:r w:rsidR="00DE525E">
        <w:rPr>
          <w:sz w:val="24"/>
          <w:lang w:val="da-DK"/>
        </w:rPr>
        <w:t>EUT</w:t>
      </w:r>
      <w:r w:rsidR="00DE525E" w:rsidRPr="00DE525E">
        <w:rPr>
          <w:sz w:val="24"/>
          <w:lang w:val="da-DK"/>
        </w:rPr>
        <w:t xml:space="preserve"> L, 2025/1774, 18.12.2025, ELI: http://data.europa.eu/eli/reg_del/2025/1774/oj)</w:t>
      </w:r>
      <w:r w:rsidRPr="00ED379F">
        <w:rPr>
          <w:sz w:val="24"/>
          <w:lang w:val="da-DK"/>
        </w:rPr>
        <w:t xml:space="preserve">. </w:t>
      </w:r>
    </w:p>
  </w:footnote>
  <w:footnote w:id="8">
    <w:p w14:paraId="43DCA223" w14:textId="73110A9C" w:rsidR="009B008B" w:rsidRPr="00ED379F" w:rsidRDefault="009B008B" w:rsidP="00ED379F">
      <w:pPr>
        <w:pStyle w:val="FootnoteText"/>
        <w:ind w:left="567" w:hanging="567"/>
        <w:rPr>
          <w:sz w:val="24"/>
          <w:lang w:val="da-DK"/>
        </w:rPr>
      </w:pPr>
      <w:r w:rsidRPr="00ED379F">
        <w:rPr>
          <w:rStyle w:val="FootnoteReference"/>
          <w:sz w:val="24"/>
          <w:lang w:val="da-DK"/>
        </w:rPr>
        <w:footnoteRef/>
      </w:r>
      <w:r w:rsidR="00ED379F" w:rsidRPr="00ED379F">
        <w:rPr>
          <w:sz w:val="24"/>
          <w:lang w:val="da-DK"/>
        </w:rPr>
        <w:t xml:space="preserve"> </w:t>
      </w:r>
      <w:r w:rsidR="00ED379F" w:rsidRPr="00ED379F">
        <w:rPr>
          <w:sz w:val="24"/>
          <w:lang w:val="da-DK"/>
        </w:rPr>
        <w:tab/>
      </w:r>
      <w:r w:rsidR="00C82E04">
        <w:rPr>
          <w:sz w:val="24"/>
          <w:lang w:val="da-DK"/>
        </w:rPr>
        <w:t>EUT</w:t>
      </w:r>
      <w:r w:rsidR="00C82E04" w:rsidRPr="00C82E04">
        <w:rPr>
          <w:sz w:val="24"/>
          <w:lang w:val="da-DK"/>
        </w:rPr>
        <w:t xml:space="preserve"> L, 2025/1775, 30.12.2025, ELI: http://data.europa.eu/eli/reg_del/2025/1775/oj.</w:t>
      </w:r>
    </w:p>
  </w:footnote>
  <w:footnote w:id="9">
    <w:p w14:paraId="0244F4F5" w14:textId="52FAEE95" w:rsidR="009B008B" w:rsidRPr="00ED379F" w:rsidRDefault="009B008B" w:rsidP="00ED379F">
      <w:pPr>
        <w:pStyle w:val="FootnoteText"/>
        <w:ind w:left="567" w:hanging="567"/>
        <w:rPr>
          <w:sz w:val="24"/>
          <w:lang w:val="da-DK"/>
        </w:rPr>
      </w:pPr>
      <w:r w:rsidRPr="00ED379F">
        <w:rPr>
          <w:rStyle w:val="FootnoteReference"/>
          <w:sz w:val="24"/>
          <w:lang w:val="da-DK"/>
        </w:rPr>
        <w:footnoteRef/>
      </w:r>
      <w:r w:rsidR="00ED379F" w:rsidRPr="00ED379F">
        <w:rPr>
          <w:sz w:val="24"/>
          <w:lang w:val="da-DK"/>
        </w:rPr>
        <w:t xml:space="preserve"> </w:t>
      </w:r>
      <w:r w:rsidR="00ED379F" w:rsidRPr="00ED379F">
        <w:rPr>
          <w:sz w:val="24"/>
          <w:lang w:val="da-DK"/>
        </w:rPr>
        <w:tab/>
      </w:r>
      <w:r w:rsidRPr="00ED379F">
        <w:rPr>
          <w:sz w:val="24"/>
          <w:lang w:val="da-DK"/>
        </w:rPr>
        <w:t>Kommissionens henstilling</w:t>
      </w:r>
      <w:r w:rsidR="00C82E04">
        <w:rPr>
          <w:sz w:val="24"/>
          <w:lang w:val="da-DK"/>
        </w:rPr>
        <w:t xml:space="preserve"> (EU) 2025/2029</w:t>
      </w:r>
      <w:r w:rsidRPr="00ED379F">
        <w:rPr>
          <w:sz w:val="24"/>
          <w:lang w:val="da-DK"/>
        </w:rPr>
        <w:t xml:space="preserve"> af 30. </w:t>
      </w:r>
      <w:r w:rsidRPr="00ED379F">
        <w:rPr>
          <w:sz w:val="24"/>
          <w:lang w:val="da-DK"/>
        </w:rPr>
        <w:t xml:space="preserve">september 2025 om forøgelse af tilgængeligheden af opsparings- og investeringskonti med forenklet og gunstig skattemæssig behandling </w:t>
      </w:r>
      <w:r w:rsidR="00C82E04" w:rsidRPr="00C82E04">
        <w:rPr>
          <w:sz w:val="24"/>
          <w:lang w:val="da-DK"/>
        </w:rPr>
        <w:t>(</w:t>
      </w:r>
      <w:r w:rsidR="00C82E04">
        <w:rPr>
          <w:sz w:val="24"/>
          <w:lang w:val="da-DK"/>
        </w:rPr>
        <w:t>EUT</w:t>
      </w:r>
      <w:r w:rsidR="00C82E04" w:rsidRPr="00C82E04">
        <w:rPr>
          <w:sz w:val="24"/>
          <w:lang w:val="da-DK"/>
        </w:rPr>
        <w:t xml:space="preserve"> L, 2025/2029, 8.10.2025, ELI: http://data.europa.eu/eli/reco/2025/2029/oj).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F5F38" w14:textId="77777777" w:rsidR="00064002" w:rsidRPr="00ED37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18173" w14:textId="77777777" w:rsidR="00064002" w:rsidRPr="00ED37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B6AC6" w14:textId="77777777" w:rsidR="00064002" w:rsidRPr="00ED37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6787016">
    <w:abstractNumId w:val="9"/>
  </w:num>
  <w:num w:numId="2" w16cid:durableId="1246960550">
    <w:abstractNumId w:val="9"/>
  </w:num>
  <w:num w:numId="3" w16cid:durableId="993994683">
    <w:abstractNumId w:val="7"/>
  </w:num>
  <w:num w:numId="4" w16cid:durableId="1388451097">
    <w:abstractNumId w:val="7"/>
  </w:num>
  <w:num w:numId="5" w16cid:durableId="1171985883">
    <w:abstractNumId w:val="6"/>
  </w:num>
  <w:num w:numId="6" w16cid:durableId="1582517973">
    <w:abstractNumId w:val="6"/>
  </w:num>
  <w:num w:numId="7" w16cid:durableId="1616138439">
    <w:abstractNumId w:val="5"/>
  </w:num>
  <w:num w:numId="8" w16cid:durableId="222176705">
    <w:abstractNumId w:val="5"/>
  </w:num>
  <w:num w:numId="9" w16cid:durableId="2071416564">
    <w:abstractNumId w:val="4"/>
  </w:num>
  <w:num w:numId="10" w16cid:durableId="309478929">
    <w:abstractNumId w:val="4"/>
  </w:num>
  <w:num w:numId="11" w16cid:durableId="655453337">
    <w:abstractNumId w:val="8"/>
  </w:num>
  <w:num w:numId="12" w16cid:durableId="195971985">
    <w:abstractNumId w:val="8"/>
  </w:num>
  <w:num w:numId="13" w16cid:durableId="1249196260">
    <w:abstractNumId w:val="3"/>
  </w:num>
  <w:num w:numId="14" w16cid:durableId="367754070">
    <w:abstractNumId w:val="3"/>
  </w:num>
  <w:num w:numId="15" w16cid:durableId="1692486359">
    <w:abstractNumId w:val="2"/>
  </w:num>
  <w:num w:numId="16" w16cid:durableId="12537929">
    <w:abstractNumId w:val="2"/>
  </w:num>
  <w:num w:numId="17" w16cid:durableId="401028120">
    <w:abstractNumId w:val="1"/>
  </w:num>
  <w:num w:numId="18" w16cid:durableId="304050586">
    <w:abstractNumId w:val="1"/>
  </w:num>
  <w:num w:numId="19" w16cid:durableId="509442992">
    <w:abstractNumId w:val="0"/>
  </w:num>
  <w:num w:numId="20" w16cid:durableId="764230749">
    <w:abstractNumId w:val="0"/>
  </w:num>
  <w:num w:numId="21" w16cid:durableId="1297368690">
    <w:abstractNumId w:val="9"/>
  </w:num>
  <w:num w:numId="22" w16cid:durableId="583950342">
    <w:abstractNumId w:val="7"/>
  </w:num>
  <w:num w:numId="23" w16cid:durableId="1231768728">
    <w:abstractNumId w:val="6"/>
  </w:num>
  <w:num w:numId="24" w16cid:durableId="292097102">
    <w:abstractNumId w:val="5"/>
  </w:num>
  <w:num w:numId="25" w16cid:durableId="1108623869">
    <w:abstractNumId w:val="4"/>
  </w:num>
  <w:num w:numId="26" w16cid:durableId="1245721243">
    <w:abstractNumId w:val="8"/>
  </w:num>
  <w:num w:numId="27" w16cid:durableId="12852996">
    <w:abstractNumId w:val="3"/>
  </w:num>
  <w:num w:numId="28" w16cid:durableId="191577174">
    <w:abstractNumId w:val="2"/>
  </w:num>
  <w:num w:numId="29" w16cid:durableId="285703472">
    <w:abstractNumId w:val="1"/>
  </w:num>
  <w:num w:numId="30" w16cid:durableId="1349213247">
    <w:abstractNumId w:val="0"/>
  </w:num>
  <w:num w:numId="31" w16cid:durableId="1253390407">
    <w:abstractNumId w:val="9"/>
  </w:num>
  <w:num w:numId="32" w16cid:durableId="593048480">
    <w:abstractNumId w:val="7"/>
  </w:num>
  <w:num w:numId="33" w16cid:durableId="1645624985">
    <w:abstractNumId w:val="6"/>
  </w:num>
  <w:num w:numId="34" w16cid:durableId="995381908">
    <w:abstractNumId w:val="5"/>
  </w:num>
  <w:num w:numId="35" w16cid:durableId="599994757">
    <w:abstractNumId w:val="4"/>
  </w:num>
  <w:num w:numId="36" w16cid:durableId="707029631">
    <w:abstractNumId w:val="8"/>
  </w:num>
  <w:num w:numId="37" w16cid:durableId="1643584981">
    <w:abstractNumId w:val="3"/>
  </w:num>
  <w:num w:numId="38" w16cid:durableId="333579354">
    <w:abstractNumId w:val="2"/>
  </w:num>
  <w:num w:numId="39" w16cid:durableId="1206790944">
    <w:abstractNumId w:val="1"/>
  </w:num>
  <w:num w:numId="40" w16cid:durableId="354698906">
    <w:abstractNumId w:val="0"/>
  </w:num>
  <w:num w:numId="41" w16cid:durableId="1362130645">
    <w:abstractNumId w:val="10"/>
  </w:num>
  <w:num w:numId="42" w16cid:durableId="1949121778">
    <w:abstractNumId w:val="10"/>
  </w:num>
  <w:num w:numId="43" w16cid:durableId="1508058433">
    <w:abstractNumId w:val="10"/>
  </w:num>
  <w:num w:numId="44" w16cid:durableId="2276185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DA"/>
    <w:docVar w:name="dvnumam" w:val="73"/>
    <w:docVar w:name="dvpe" w:val="776.772"/>
    <w:docVar w:name="dvrapporteur" w:val="Ordfører: "/>
    <w:docVar w:name="dvtitre" w:val="Europa-Parlamentets beslutning af xx. december 2025 om europæisk forsvarsberedskab 2030: behovsvurdering(2025/2142(INI))"/>
  </w:docVars>
  <w:rsids>
    <w:rsidRoot w:val="006A2DA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4A91"/>
    <w:rsid w:val="00393972"/>
    <w:rsid w:val="00395FA1"/>
    <w:rsid w:val="003E15D4"/>
    <w:rsid w:val="00411CCE"/>
    <w:rsid w:val="0041666E"/>
    <w:rsid w:val="00421060"/>
    <w:rsid w:val="00452EC0"/>
    <w:rsid w:val="00471C19"/>
    <w:rsid w:val="004867E3"/>
    <w:rsid w:val="00494A28"/>
    <w:rsid w:val="004C0004"/>
    <w:rsid w:val="004C5D52"/>
    <w:rsid w:val="004C76F7"/>
    <w:rsid w:val="0050519A"/>
    <w:rsid w:val="005072A1"/>
    <w:rsid w:val="00514517"/>
    <w:rsid w:val="00545827"/>
    <w:rsid w:val="00560270"/>
    <w:rsid w:val="005C2568"/>
    <w:rsid w:val="005F1B17"/>
    <w:rsid w:val="006037C0"/>
    <w:rsid w:val="006631B6"/>
    <w:rsid w:val="00680577"/>
    <w:rsid w:val="00696F9C"/>
    <w:rsid w:val="006A2DAA"/>
    <w:rsid w:val="006F74FA"/>
    <w:rsid w:val="00731ADD"/>
    <w:rsid w:val="00734777"/>
    <w:rsid w:val="00747932"/>
    <w:rsid w:val="00751A4A"/>
    <w:rsid w:val="00756632"/>
    <w:rsid w:val="00762C74"/>
    <w:rsid w:val="00786EC0"/>
    <w:rsid w:val="007D1690"/>
    <w:rsid w:val="007E22AD"/>
    <w:rsid w:val="00817416"/>
    <w:rsid w:val="00842779"/>
    <w:rsid w:val="0086468E"/>
    <w:rsid w:val="00865F67"/>
    <w:rsid w:val="00881A7B"/>
    <w:rsid w:val="008840E5"/>
    <w:rsid w:val="00887B3E"/>
    <w:rsid w:val="008C2AC6"/>
    <w:rsid w:val="00930C23"/>
    <w:rsid w:val="0093193B"/>
    <w:rsid w:val="009509D8"/>
    <w:rsid w:val="00950B64"/>
    <w:rsid w:val="00981893"/>
    <w:rsid w:val="009B008B"/>
    <w:rsid w:val="009B134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E04"/>
    <w:rsid w:val="00C941CB"/>
    <w:rsid w:val="00CC2357"/>
    <w:rsid w:val="00CF071A"/>
    <w:rsid w:val="00D058B8"/>
    <w:rsid w:val="00D06EFA"/>
    <w:rsid w:val="00D56C11"/>
    <w:rsid w:val="00D834A0"/>
    <w:rsid w:val="00D872DF"/>
    <w:rsid w:val="00D91E21"/>
    <w:rsid w:val="00DA43D5"/>
    <w:rsid w:val="00DA7FCD"/>
    <w:rsid w:val="00DE525E"/>
    <w:rsid w:val="00E365E1"/>
    <w:rsid w:val="00E820A4"/>
    <w:rsid w:val="00EB006A"/>
    <w:rsid w:val="00EB4772"/>
    <w:rsid w:val="00ED169E"/>
    <w:rsid w:val="00ED379F"/>
    <w:rsid w:val="00ED4235"/>
    <w:rsid w:val="00ED56B0"/>
    <w:rsid w:val="00F04346"/>
    <w:rsid w:val="00F075DC"/>
    <w:rsid w:val="00F149E9"/>
    <w:rsid w:val="00F3636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6A95A"/>
  <w15:chartTrackingRefBased/>
  <w15:docId w15:val="{6B148362-F5C8-40D1-A7B4-3787CEEBD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008B"/>
    <w:pPr>
      <w:spacing w:before="480" w:after="240"/>
    </w:pPr>
    <w:rPr>
      <w:snapToGrid w:val="0"/>
      <w:lang w:eastAsia="en-US"/>
    </w:rPr>
  </w:style>
  <w:style w:type="paragraph" w:customStyle="1" w:styleId="NormalHanging12a">
    <w:name w:val="NormalHanging12a"/>
    <w:basedOn w:val="Normal"/>
    <w:rsid w:val="009B008B"/>
    <w:pPr>
      <w:widowControl/>
      <w:spacing w:after="240"/>
      <w:ind w:left="567" w:hanging="567"/>
    </w:pPr>
    <w:rPr>
      <w:snapToGrid w:val="0"/>
      <w:lang w:eastAsia="en-US"/>
    </w:rPr>
  </w:style>
  <w:style w:type="paragraph" w:customStyle="1" w:styleId="NormalCenter12a">
    <w:name w:val="NormalCenter12a"/>
    <w:basedOn w:val="Normal"/>
    <w:rsid w:val="009B008B"/>
    <w:pPr>
      <w:spacing w:after="240"/>
      <w:jc w:val="center"/>
    </w:pPr>
  </w:style>
  <w:style w:type="paragraph" w:customStyle="1" w:styleId="Normal6a">
    <w:name w:val="Normal6a"/>
    <w:basedOn w:val="Normal"/>
    <w:rsid w:val="009B008B"/>
    <w:pPr>
      <w:spacing w:after="120"/>
    </w:pPr>
  </w:style>
  <w:style w:type="character" w:customStyle="1" w:styleId="Bold">
    <w:name w:val="Bold"/>
    <w:uiPriority w:val="1"/>
    <w:rsid w:val="009B008B"/>
    <w:rPr>
      <w:b/>
    </w:rPr>
  </w:style>
  <w:style w:type="character" w:customStyle="1" w:styleId="Italic">
    <w:name w:val="Italic"/>
    <w:uiPriority w:val="1"/>
    <w:rsid w:val="009B008B"/>
    <w:rPr>
      <w:i/>
    </w:rPr>
  </w:style>
  <w:style w:type="paragraph" w:customStyle="1" w:styleId="Normal12a24b">
    <w:name w:val="Normal12a24b"/>
    <w:basedOn w:val="Normal"/>
    <w:rsid w:val="009B008B"/>
    <w:pPr>
      <w:spacing w:before="360" w:after="240"/>
    </w:pPr>
    <w:rPr>
      <w:snapToGrid w:val="0"/>
      <w:lang w:eastAsia="en-US"/>
    </w:rPr>
  </w:style>
  <w:style w:type="character" w:styleId="Hyperlink">
    <w:name w:val="Hyperlink"/>
    <w:basedOn w:val="DefaultParagraphFont"/>
    <w:rsid w:val="009B008B"/>
    <w:rPr>
      <w:color w:val="0000FF"/>
      <w:u w:val="single"/>
    </w:rPr>
  </w:style>
  <w:style w:type="paragraph" w:styleId="Revision">
    <w:name w:val="Revision"/>
    <w:hidden/>
    <w:uiPriority w:val="99"/>
    <w:semiHidden/>
    <w:rsid w:val="0086468E"/>
    <w:rPr>
      <w:sz w:val="24"/>
      <w:lang w:val="da-DK"/>
    </w:rPr>
  </w:style>
  <w:style w:type="character" w:styleId="UnresolvedMention">
    <w:name w:val="Unresolved Mention"/>
    <w:basedOn w:val="DefaultParagraphFont"/>
    <w:uiPriority w:val="99"/>
    <w:semiHidden/>
    <w:unhideWhenUsed/>
    <w:rsid w:val="00DA4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5729</Words>
  <Characters>36713</Characters>
  <Application>Microsoft Office Word</Application>
  <DocSecurity>0</DocSecurity>
  <Lines>305</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2026-01-27T15:36:00Z</dcterms:created>
  <dcterms:modified xsi:type="dcterms:W3CDTF">2026-01-27T15:36:00Z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P10_TA-PROV(2025)0336_A10-0243_2025_</vt:lpwstr>
  </property>
  <property fmtid="{D5CDD505-2E9C-101B-9397-08002B2CF9AE}" pid="4" name="&lt;Type&gt;">
    <vt:lpwstr>RR</vt:lpwstr>
  </property>
</Properties>
</file>