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180F" w14:paraId="557FE16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718593" w14:textId="3EEE60F9" w:rsidR="00751A4A" w:rsidRPr="0017180F" w:rsidRDefault="008164B1" w:rsidP="0010095E">
            <w:pPr>
              <w:pStyle w:val="EPName"/>
            </w:pPr>
            <w:r w:rsidRPr="0017180F">
              <w:t>Europski parlament</w:t>
            </w:r>
          </w:p>
          <w:p w14:paraId="681E4007" w14:textId="77777777" w:rsidR="00751A4A" w:rsidRPr="001718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180F">
              <w:t>2024</w:t>
            </w:r>
            <w:r w:rsidR="00817416" w:rsidRPr="0017180F">
              <w:t>-202</w:t>
            </w:r>
            <w:r w:rsidRPr="0017180F">
              <w:t>9</w:t>
            </w:r>
          </w:p>
        </w:tc>
        <w:tc>
          <w:tcPr>
            <w:tcW w:w="2268" w:type="dxa"/>
            <w:shd w:val="clear" w:color="auto" w:fill="auto"/>
          </w:tcPr>
          <w:p w14:paraId="6B8B2E66" w14:textId="77777777" w:rsidR="00751A4A" w:rsidRPr="0017180F" w:rsidRDefault="00187494" w:rsidP="0010095E">
            <w:pPr>
              <w:pStyle w:val="EPLogo"/>
            </w:pPr>
            <w:r w:rsidRPr="0017180F">
              <w:rPr>
                <w:noProof/>
                <w:lang w:eastAsia="ja-JP"/>
              </w:rPr>
              <w:drawing>
                <wp:inline distT="0" distB="0" distL="0" distR="0" wp14:anchorId="556DF9D0" wp14:editId="771571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F84C32" w14:textId="77777777" w:rsidR="00D058B8" w:rsidRPr="0017180F" w:rsidRDefault="00D058B8" w:rsidP="004C5D52">
      <w:pPr>
        <w:pStyle w:val="LineTop"/>
      </w:pPr>
    </w:p>
    <w:p w14:paraId="418FF115" w14:textId="725DB0E3" w:rsidR="00680577" w:rsidRPr="0017180F" w:rsidRDefault="008164B1" w:rsidP="00680577">
      <w:pPr>
        <w:pStyle w:val="EPBodyTA1"/>
      </w:pPr>
      <w:r w:rsidRPr="0017180F">
        <w:t>USVOJENI TEKSTOVI</w:t>
      </w:r>
    </w:p>
    <w:p w14:paraId="4A208114" w14:textId="77777777" w:rsidR="00D058B8" w:rsidRPr="0017180F" w:rsidRDefault="00D058B8" w:rsidP="00D058B8">
      <w:pPr>
        <w:pStyle w:val="LineBottom"/>
      </w:pPr>
    </w:p>
    <w:p w14:paraId="4DCA8DDB" w14:textId="7958B8C9" w:rsidR="008164B1" w:rsidRPr="0017180F" w:rsidRDefault="008164B1" w:rsidP="008164B1">
      <w:pPr>
        <w:pStyle w:val="ATHeading1"/>
      </w:pPr>
      <w:bookmarkStart w:id="0" w:name="TANumber"/>
      <w:r w:rsidRPr="0017180F">
        <w:t>P10_TA(2025)0</w:t>
      </w:r>
      <w:bookmarkEnd w:id="0"/>
      <w:r w:rsidR="00BE4BED">
        <w:t>336</w:t>
      </w:r>
    </w:p>
    <w:p w14:paraId="4D62FE1D" w14:textId="77777777" w:rsidR="008164B1" w:rsidRPr="0017180F" w:rsidRDefault="008164B1" w:rsidP="008164B1">
      <w:pPr>
        <w:pStyle w:val="ATHeading2"/>
      </w:pPr>
      <w:bookmarkStart w:id="1" w:name="title"/>
      <w:r w:rsidRPr="0017180F">
        <w:t>Europska obrambena spremnost 2030.: procjena potreba</w:t>
      </w:r>
      <w:bookmarkEnd w:id="1"/>
    </w:p>
    <w:p w14:paraId="5872E931" w14:textId="77777777" w:rsidR="008164B1" w:rsidRPr="0017180F" w:rsidRDefault="008164B1" w:rsidP="008164B1">
      <w:pPr>
        <w:rPr>
          <w:i/>
          <w:vanish/>
        </w:rPr>
      </w:pPr>
      <w:r w:rsidRPr="0017180F">
        <w:rPr>
          <w:i/>
        </w:rPr>
        <w:fldChar w:fldCharType="begin"/>
      </w:r>
      <w:r w:rsidRPr="0017180F">
        <w:rPr>
          <w:i/>
        </w:rPr>
        <w:instrText xml:space="preserve"> TC"(</w:instrText>
      </w:r>
      <w:bookmarkStart w:id="2" w:name="DocNumber"/>
      <w:r w:rsidRPr="0017180F">
        <w:rPr>
          <w:i/>
        </w:rPr>
        <w:instrText>A10-0243/2025</w:instrText>
      </w:r>
      <w:bookmarkEnd w:id="2"/>
      <w:r w:rsidRPr="0017180F">
        <w:rPr>
          <w:i/>
        </w:rPr>
        <w:instrText xml:space="preserve"> - Izvjestitelj: Christophe </w:instrText>
      </w:r>
      <w:proofErr w:type="spellStart"/>
      <w:r w:rsidRPr="0017180F">
        <w:rPr>
          <w:i/>
        </w:rPr>
        <w:instrText>Gomart</w:instrText>
      </w:r>
      <w:proofErr w:type="spellEnd"/>
      <w:r w:rsidRPr="0017180F">
        <w:rPr>
          <w:i/>
        </w:rPr>
        <w:instrText xml:space="preserve">)"\l3 \n&gt; \* MERGEFORMAT </w:instrText>
      </w:r>
      <w:r w:rsidRPr="0017180F">
        <w:rPr>
          <w:i/>
        </w:rPr>
        <w:fldChar w:fldCharType="end"/>
      </w:r>
    </w:p>
    <w:p w14:paraId="045D21BC" w14:textId="77777777" w:rsidR="008164B1" w:rsidRPr="0017180F" w:rsidRDefault="008164B1" w:rsidP="008164B1">
      <w:pPr>
        <w:rPr>
          <w:vanish/>
        </w:rPr>
      </w:pPr>
      <w:bookmarkStart w:id="3" w:name="Commission"/>
      <w:r w:rsidRPr="0017180F">
        <w:rPr>
          <w:vanish/>
        </w:rPr>
        <w:t>Odbor za sigurnost i obranu</w:t>
      </w:r>
      <w:bookmarkEnd w:id="3"/>
    </w:p>
    <w:p w14:paraId="6C507FAE" w14:textId="77777777" w:rsidR="008164B1" w:rsidRPr="0017180F" w:rsidRDefault="008164B1" w:rsidP="008164B1">
      <w:pPr>
        <w:rPr>
          <w:vanish/>
        </w:rPr>
      </w:pPr>
      <w:bookmarkStart w:id="4" w:name="PE"/>
      <w:r w:rsidRPr="0017180F">
        <w:rPr>
          <w:vanish/>
        </w:rPr>
        <w:t>PE776.772</w:t>
      </w:r>
      <w:bookmarkEnd w:id="4"/>
    </w:p>
    <w:p w14:paraId="6695477D" w14:textId="4B6A7ABD" w:rsidR="008164B1" w:rsidRPr="0017180F" w:rsidRDefault="008164B1" w:rsidP="008164B1">
      <w:pPr>
        <w:pStyle w:val="ATHeading3"/>
      </w:pPr>
      <w:bookmarkStart w:id="5" w:name="Sujet"/>
      <w:r w:rsidRPr="0017180F">
        <w:t xml:space="preserve">Rezolucija Europskog parlamenta od </w:t>
      </w:r>
      <w:r w:rsidR="00A70BD5">
        <w:t>17. prosinca</w:t>
      </w:r>
      <w:r w:rsidRPr="0017180F">
        <w:t xml:space="preserve"> 2025. o europskoj obrambenoj spremnosti 2030.: procjena potreba</w:t>
      </w:r>
      <w:bookmarkEnd w:id="5"/>
      <w:r w:rsidRPr="0017180F">
        <w:t xml:space="preserve"> </w:t>
      </w:r>
      <w:bookmarkStart w:id="6" w:name="References"/>
      <w:r w:rsidRPr="0017180F">
        <w:t>(2025/2142(INI))</w:t>
      </w:r>
      <w:bookmarkEnd w:id="6"/>
    </w:p>
    <w:p w14:paraId="56DFF25F" w14:textId="77777777" w:rsidR="003623BF" w:rsidRPr="0017180F" w:rsidRDefault="003623BF" w:rsidP="003623BF">
      <w:pPr>
        <w:pStyle w:val="Normal12"/>
      </w:pPr>
      <w:r w:rsidRPr="0017180F">
        <w:rPr>
          <w:i/>
        </w:rPr>
        <w:t>Europski parlament</w:t>
      </w:r>
      <w:r w:rsidRPr="0017180F">
        <w:t>,</w:t>
      </w:r>
    </w:p>
    <w:p w14:paraId="686200F3" w14:textId="77777777" w:rsidR="003623BF" w:rsidRPr="0017180F" w:rsidRDefault="003623BF" w:rsidP="003623BF">
      <w:pPr>
        <w:pStyle w:val="NormalHanging"/>
      </w:pPr>
      <w:r w:rsidRPr="0017180F">
        <w:t>–</w:t>
      </w:r>
      <w:r w:rsidRPr="0017180F">
        <w:tab/>
        <w:t>uzimajući u obzir Ugovor o funkcioniranju Europske unije (UFEU),</w:t>
      </w:r>
    </w:p>
    <w:p w14:paraId="12CB4D56" w14:textId="77777777" w:rsidR="003623BF" w:rsidRPr="0017180F" w:rsidRDefault="003623BF" w:rsidP="003623BF">
      <w:pPr>
        <w:pStyle w:val="NormalHanging12a"/>
      </w:pPr>
      <w:r w:rsidRPr="0017180F">
        <w:t>–</w:t>
      </w:r>
      <w:r w:rsidRPr="0017180F">
        <w:tab/>
        <w:t>uzimajući u obzir glavu V. Ugovora o Europskoj uniji, a posebno poglavlje 2., odjeljak 2., koji se odnosi na zajedničku sigurnosnu i obrambenu politiku,</w:t>
      </w:r>
    </w:p>
    <w:p w14:paraId="1C6294AA" w14:textId="77777777" w:rsidR="003623BF" w:rsidRPr="0017180F" w:rsidRDefault="003623BF" w:rsidP="003623BF">
      <w:pPr>
        <w:pStyle w:val="NormalHanging12a"/>
      </w:pPr>
      <w:r w:rsidRPr="0017180F">
        <w:t>–</w:t>
      </w:r>
      <w:r w:rsidRPr="0017180F">
        <w:tab/>
        <w:t>uzimajući u obzir bijelu knjigu naslovljenu „Bijela knjiga o europskoj obrambenoj spremnosti 2030.” koju su Komisija i visoka predstavnica Unije za vanjske poslove i sigurnosnu politiku predstavile 19. ožujka 2025., i njezin plan financiranja od pet dijelova naslovljen „</w:t>
      </w:r>
      <w:proofErr w:type="spellStart"/>
      <w:r w:rsidRPr="0017180F">
        <w:t>ReArm</w:t>
      </w:r>
      <w:proofErr w:type="spellEnd"/>
      <w:r w:rsidRPr="0017180F">
        <w:t xml:space="preserve"> Europe”,</w:t>
      </w:r>
    </w:p>
    <w:p w14:paraId="0CEE0EFC" w14:textId="77777777" w:rsidR="003623BF" w:rsidRPr="0017180F" w:rsidRDefault="003623BF" w:rsidP="003623BF">
      <w:pPr>
        <w:pStyle w:val="NormalHanging12a"/>
      </w:pPr>
      <w:r w:rsidRPr="0017180F">
        <w:t>–</w:t>
      </w:r>
      <w:r w:rsidRPr="0017180F">
        <w:tab/>
        <w:t>uzimajući u obzir Zajedničku komunikaciju Komisije i visokog predstavnika Unije za vanjske poslove i sigurnosnu politiku od 18. svibnja 2022. o analizi nedostatnih ulaganja u obranu i o daljnjim koracima (JOIN(2022)0024),</w:t>
      </w:r>
    </w:p>
    <w:p w14:paraId="23C18921" w14:textId="77777777" w:rsidR="003623BF" w:rsidRPr="0017180F" w:rsidRDefault="003623BF" w:rsidP="003623BF">
      <w:pPr>
        <w:pStyle w:val="NormalHanging12a"/>
      </w:pPr>
      <w:r w:rsidRPr="0017180F">
        <w:t>–</w:t>
      </w:r>
      <w:r w:rsidRPr="0017180F">
        <w:tab/>
        <w:t xml:space="preserve">uzimajući u obzir studiju naslovljenu „Access to </w:t>
      </w:r>
      <w:proofErr w:type="spellStart"/>
      <w:r w:rsidRPr="0017180F">
        <w:t>equity</w:t>
      </w:r>
      <w:proofErr w:type="spellEnd"/>
      <w:r w:rsidRPr="0017180F">
        <w:t xml:space="preserve"> </w:t>
      </w:r>
      <w:proofErr w:type="spellStart"/>
      <w:r w:rsidRPr="0017180F">
        <w:t>financing</w:t>
      </w:r>
      <w:proofErr w:type="spellEnd"/>
      <w:r w:rsidRPr="0017180F">
        <w:t xml:space="preserve"> for European </w:t>
      </w:r>
      <w:proofErr w:type="spellStart"/>
      <w:r w:rsidRPr="0017180F">
        <w:t>defence</w:t>
      </w:r>
      <w:proofErr w:type="spellEnd"/>
      <w:r w:rsidRPr="0017180F">
        <w:t xml:space="preserve"> </w:t>
      </w:r>
      <w:proofErr w:type="spellStart"/>
      <w:r w:rsidRPr="0017180F">
        <w:t>SMEs</w:t>
      </w:r>
      <w:proofErr w:type="spellEnd"/>
      <w:r w:rsidRPr="0017180F">
        <w:t>” („Pristup financiranju vlasničkim kapitalom za europske MSP-ove u području obrane”) objavljenu 11. siječnja 2024.</w:t>
      </w:r>
      <w:r w:rsidRPr="0017180F">
        <w:rPr>
          <w:rStyle w:val="FootnoteReference"/>
        </w:rPr>
        <w:footnoteReference w:id="1"/>
      </w:r>
      <w:r w:rsidRPr="0017180F">
        <w:t>,</w:t>
      </w:r>
    </w:p>
    <w:p w14:paraId="52B67793" w14:textId="77777777" w:rsidR="003623BF" w:rsidRPr="0017180F" w:rsidRDefault="003623BF" w:rsidP="003623BF">
      <w:pPr>
        <w:pStyle w:val="NormalHanging12a"/>
      </w:pPr>
      <w:r w:rsidRPr="0017180F">
        <w:t>–</w:t>
      </w:r>
      <w:r w:rsidRPr="0017180F">
        <w:tab/>
        <w:t>uzimajući u obzir zajedničku komunikaciju Komisije i visokog predstavnika Unije za vanjske poslove i sigurnosnu politiku od 5. ožujka 2024. naslovljenu „Nova strategija za europsku obrambenu industriju: postizanje spremnosti EU-a uz pomoć fleksibilne i otporne europske obrambene industrije” (JOIN(2024)0010),</w:t>
      </w:r>
    </w:p>
    <w:p w14:paraId="3D163245" w14:textId="77777777" w:rsidR="003623BF" w:rsidRPr="0017180F" w:rsidRDefault="003623BF" w:rsidP="003623BF">
      <w:pPr>
        <w:pStyle w:val="NormalHanging12a"/>
      </w:pPr>
      <w:r w:rsidRPr="0017180F">
        <w:t>–</w:t>
      </w:r>
      <w:r w:rsidRPr="0017180F">
        <w:tab/>
        <w:t xml:space="preserve">uzimajući u obzir izvješće Marija </w:t>
      </w:r>
      <w:proofErr w:type="spellStart"/>
      <w:r w:rsidRPr="0017180F">
        <w:t>Draghija</w:t>
      </w:r>
      <w:proofErr w:type="spellEnd"/>
      <w:r w:rsidRPr="0017180F">
        <w:t xml:space="preserve"> od 9. rujna 2024. naslovljeno „Budućnost europske konkurentnosti” (</w:t>
      </w:r>
      <w:proofErr w:type="spellStart"/>
      <w:r w:rsidRPr="0017180F">
        <w:t>Draghijevo</w:t>
      </w:r>
      <w:proofErr w:type="spellEnd"/>
      <w:r w:rsidRPr="0017180F">
        <w:t xml:space="preserve"> izvješće),</w:t>
      </w:r>
    </w:p>
    <w:p w14:paraId="1793622D" w14:textId="77777777" w:rsidR="003623BF" w:rsidRPr="0017180F" w:rsidRDefault="003623BF" w:rsidP="00A70BD5">
      <w:pPr>
        <w:pStyle w:val="NormalHanging12a"/>
      </w:pPr>
      <w:r w:rsidRPr="0017180F">
        <w:lastRenderedPageBreak/>
        <w:t>–</w:t>
      </w:r>
      <w:r w:rsidRPr="0017180F">
        <w:tab/>
        <w:t>uzimajući u obzir izvješće o radu Europske investicijske banke (EIB) za 2024.,</w:t>
      </w:r>
    </w:p>
    <w:p w14:paraId="0C2A1B69" w14:textId="77777777" w:rsidR="003623BF" w:rsidRPr="0017180F" w:rsidRDefault="003623BF" w:rsidP="00A70BD5">
      <w:pPr>
        <w:pStyle w:val="NormalHanging12a"/>
      </w:pPr>
      <w:r w:rsidRPr="0017180F">
        <w:t>–</w:t>
      </w:r>
      <w:r w:rsidRPr="0017180F">
        <w:tab/>
        <w:t>uzimajući u obzir svoje stajalište u prvom čitanju od 25. studenoga 2025. o Prijedlogu uredbe Europskog parlamenta i Vijeća o uspostavi Programa za europsku obrambenu industriju i okvira mjera za osiguravanje pravodobne dostupnosti i opskrbe obrambenim proizvodima</w:t>
      </w:r>
      <w:r w:rsidRPr="0017180F">
        <w:rPr>
          <w:rStyle w:val="FootnoteReference"/>
        </w:rPr>
        <w:footnoteReference w:id="2"/>
      </w:r>
      <w:r w:rsidRPr="0017180F">
        <w:t>,</w:t>
      </w:r>
    </w:p>
    <w:p w14:paraId="466A546D" w14:textId="77777777" w:rsidR="003623BF" w:rsidRPr="0017180F" w:rsidRDefault="003623BF" w:rsidP="00A70BD5">
      <w:pPr>
        <w:pStyle w:val="NormalHanging12a"/>
      </w:pPr>
      <w:r w:rsidRPr="0017180F">
        <w:t>–</w:t>
      </w:r>
      <w:r w:rsidRPr="0017180F">
        <w:tab/>
        <w:t>uzimajući u obzir zajedničko priopćenje Francuske, Njemačke, Španjolske, Estonije, Luksemburga, Nizozemske i Portugala od 6. lipnja 2025. o uvođenju oznake „</w:t>
      </w:r>
      <w:proofErr w:type="spellStart"/>
      <w:r w:rsidRPr="0017180F">
        <w:t>Finance</w:t>
      </w:r>
      <w:proofErr w:type="spellEnd"/>
      <w:r w:rsidRPr="0017180F">
        <w:t xml:space="preserve"> Europe”,</w:t>
      </w:r>
    </w:p>
    <w:p w14:paraId="7835A5CC" w14:textId="77777777" w:rsidR="003623BF" w:rsidRPr="0017180F" w:rsidRDefault="003623BF" w:rsidP="00A70BD5">
      <w:pPr>
        <w:pStyle w:val="NormalHanging12a"/>
      </w:pPr>
      <w:r w:rsidRPr="0017180F">
        <w:t>–</w:t>
      </w:r>
      <w:r w:rsidRPr="0017180F">
        <w:tab/>
        <w:t>uzimajući u obzir Komunikaciju Komisije od 17. lipnja 2025. o skupnom paketu za obrambenu spremnost (COM(2025)0820), čiji je cilj pojednostavnjenje relevantnih pravnih i administrativnih okvira za jačanje obrambene spremnosti Unije,</w:t>
      </w:r>
    </w:p>
    <w:p w14:paraId="3D2678E6" w14:textId="77777777" w:rsidR="003623BF" w:rsidRPr="0017180F" w:rsidRDefault="003623BF" w:rsidP="00A70BD5">
      <w:pPr>
        <w:spacing w:after="240"/>
        <w:ind w:left="567" w:hanging="567"/>
      </w:pPr>
      <w:r w:rsidRPr="0017180F">
        <w:t>–</w:t>
      </w:r>
      <w:r w:rsidRPr="0017180F">
        <w:tab/>
        <w:t>uzimajući u obzir deseto izvješće o napretku iz lipnja 2025. o provedbi zajedničkog skupa prijedloga koji su 6. prosinca 2016. i 5. prosinca 2017. odobrili Vijeće EU-a i Vijeće NATO-a,</w:t>
      </w:r>
    </w:p>
    <w:p w14:paraId="07F8D7B7" w14:textId="77777777" w:rsidR="003623BF" w:rsidRPr="0017180F" w:rsidRDefault="003623BF" w:rsidP="00A70BD5">
      <w:pPr>
        <w:spacing w:after="240"/>
        <w:ind w:left="567" w:hanging="567"/>
      </w:pPr>
      <w:r w:rsidRPr="0017180F">
        <w:t>–</w:t>
      </w:r>
      <w:r w:rsidRPr="0017180F">
        <w:tab/>
        <w:t>uzimajući u obzir Uredbu Vijeća (EU) 2025/1106 od 27. svibnja 2025. o uspostavi Instrumenta za sigurnosne mjere za Europu (SAFE) putem jačanja europske obrambene industrije</w:t>
      </w:r>
      <w:r w:rsidRPr="0017180F">
        <w:rPr>
          <w:rStyle w:val="FootnoteReference"/>
        </w:rPr>
        <w:footnoteReference w:id="3"/>
      </w:r>
      <w:r w:rsidRPr="0017180F">
        <w:t>,</w:t>
      </w:r>
    </w:p>
    <w:p w14:paraId="707837E2" w14:textId="77777777" w:rsidR="003623BF" w:rsidRPr="0017180F" w:rsidRDefault="003623BF" w:rsidP="00A70BD5">
      <w:pPr>
        <w:spacing w:after="240"/>
        <w:ind w:left="567" w:hanging="567"/>
      </w:pPr>
      <w:r w:rsidRPr="0017180F">
        <w:t>–</w:t>
      </w:r>
      <w:r w:rsidRPr="0017180F">
        <w:tab/>
        <w:t xml:space="preserve">uzimajući u obzir izvješće Enrica </w:t>
      </w:r>
      <w:proofErr w:type="spellStart"/>
      <w:r w:rsidRPr="0017180F">
        <w:t>Lette</w:t>
      </w:r>
      <w:proofErr w:type="spellEnd"/>
      <w:r w:rsidRPr="0017180F">
        <w:t xml:space="preserve"> od 10. travnja 2024. o budućnosti europskog jedinstvenog tržišta (</w:t>
      </w:r>
      <w:proofErr w:type="spellStart"/>
      <w:r w:rsidRPr="0017180F">
        <w:t>Lettino</w:t>
      </w:r>
      <w:proofErr w:type="spellEnd"/>
      <w:r w:rsidRPr="0017180F">
        <w:t xml:space="preserve"> izvješće),</w:t>
      </w:r>
    </w:p>
    <w:p w14:paraId="4F04BFFA" w14:textId="4CD7A819" w:rsidR="003623BF" w:rsidRPr="0017180F" w:rsidRDefault="003623BF" w:rsidP="003623BF">
      <w:pPr>
        <w:pStyle w:val="Normal6a"/>
        <w:spacing w:after="240"/>
        <w:ind w:left="567" w:hanging="567"/>
        <w:rPr>
          <w:lang w:val="hr-HR"/>
        </w:rPr>
      </w:pPr>
      <w:r w:rsidRPr="0017180F">
        <w:rPr>
          <w:lang w:val="hr-HR"/>
        </w:rPr>
        <w:t>–</w:t>
      </w:r>
      <w:r w:rsidRPr="0017180F">
        <w:rPr>
          <w:lang w:val="hr-HR"/>
        </w:rPr>
        <w:tab/>
        <w:t xml:space="preserve">uzimajući u obzir izvješće </w:t>
      </w:r>
      <w:proofErr w:type="spellStart"/>
      <w:r w:rsidRPr="0017180F">
        <w:rPr>
          <w:lang w:val="hr-HR"/>
        </w:rPr>
        <w:t>Saulija</w:t>
      </w:r>
      <w:proofErr w:type="spellEnd"/>
      <w:r w:rsidRPr="0017180F">
        <w:rPr>
          <w:lang w:val="hr-HR"/>
        </w:rPr>
        <w:t xml:space="preserve"> </w:t>
      </w:r>
      <w:proofErr w:type="spellStart"/>
      <w:r w:rsidRPr="0017180F">
        <w:rPr>
          <w:lang w:val="hr-HR"/>
        </w:rPr>
        <w:t>Niinistöa</w:t>
      </w:r>
      <w:proofErr w:type="spellEnd"/>
      <w:r w:rsidRPr="0017180F">
        <w:rPr>
          <w:lang w:val="hr-HR"/>
        </w:rPr>
        <w:t xml:space="preserve"> od 30. listopada 20</w:t>
      </w:r>
      <w:r w:rsidR="00F4062D">
        <w:rPr>
          <w:lang w:val="hr-HR"/>
        </w:rPr>
        <w:t>2</w:t>
      </w:r>
      <w:r w:rsidRPr="0017180F">
        <w:rPr>
          <w:lang w:val="hr-HR"/>
        </w:rPr>
        <w:t>4. naslovljeno „Sigurniji zajedno – jačanje europske civilne i vojne spremnosti i pripravnosti” (</w:t>
      </w:r>
      <w:proofErr w:type="spellStart"/>
      <w:r w:rsidRPr="0017180F">
        <w:rPr>
          <w:lang w:val="hr-HR"/>
        </w:rPr>
        <w:t>Niinistöovo</w:t>
      </w:r>
      <w:proofErr w:type="spellEnd"/>
      <w:r w:rsidRPr="0017180F">
        <w:rPr>
          <w:lang w:val="hr-HR"/>
        </w:rPr>
        <w:t xml:space="preserve"> izvješće), </w:t>
      </w:r>
    </w:p>
    <w:p w14:paraId="0445C2CC" w14:textId="77777777" w:rsidR="003623BF" w:rsidRPr="0017180F" w:rsidRDefault="003623BF" w:rsidP="003623BF">
      <w:pPr>
        <w:pStyle w:val="Normal6a"/>
        <w:spacing w:after="240"/>
        <w:ind w:left="567" w:hanging="567"/>
        <w:rPr>
          <w:lang w:val="hr-HR"/>
        </w:rPr>
      </w:pPr>
      <w:r w:rsidRPr="0017180F">
        <w:rPr>
          <w:lang w:val="hr-HR"/>
        </w:rPr>
        <w:t>–</w:t>
      </w:r>
      <w:r w:rsidRPr="0017180F">
        <w:rPr>
          <w:lang w:val="hr-HR"/>
        </w:rPr>
        <w:tab/>
        <w:t>uzimajući u obzir svoju Rezoluciju od 12. ožujka 2025. o Bijeloj knjizi o budućnosti europske obrane</w:t>
      </w:r>
      <w:r w:rsidRPr="0017180F">
        <w:rPr>
          <w:rStyle w:val="FootnoteReference"/>
          <w:lang w:val="hr-HR"/>
        </w:rPr>
        <w:footnoteReference w:id="4"/>
      </w:r>
      <w:r w:rsidRPr="0017180F">
        <w:rPr>
          <w:lang w:val="hr-HR"/>
        </w:rPr>
        <w:t>,</w:t>
      </w:r>
    </w:p>
    <w:p w14:paraId="034ED1F2" w14:textId="77777777" w:rsidR="003623BF" w:rsidRPr="0017180F" w:rsidRDefault="003623BF" w:rsidP="003623BF">
      <w:pPr>
        <w:pStyle w:val="Normal6a"/>
        <w:spacing w:after="240"/>
        <w:ind w:left="567" w:hanging="567"/>
        <w:rPr>
          <w:lang w:val="hr-HR"/>
        </w:rPr>
      </w:pPr>
      <w:r w:rsidRPr="0017180F">
        <w:rPr>
          <w:lang w:val="hr-HR"/>
        </w:rPr>
        <w:t>–</w:t>
      </w:r>
      <w:r w:rsidRPr="0017180F">
        <w:rPr>
          <w:lang w:val="hr-HR"/>
        </w:rPr>
        <w:tab/>
        <w:t>uzimajući u obzir svoju Rezoluciju od 8. srpnja 2025. o financijskim aktivnostima Europske investicijske banke – godišnje izvješće za 2024.</w:t>
      </w:r>
      <w:r w:rsidRPr="0017180F">
        <w:rPr>
          <w:rStyle w:val="FootnoteReference"/>
          <w:lang w:val="hr-HR"/>
        </w:rPr>
        <w:footnoteReference w:id="5"/>
      </w:r>
      <w:r w:rsidRPr="0017180F">
        <w:rPr>
          <w:lang w:val="hr-HR"/>
        </w:rPr>
        <w:t>,</w:t>
      </w:r>
    </w:p>
    <w:p w14:paraId="01D8EF7C" w14:textId="77777777" w:rsidR="003623BF" w:rsidRPr="0017180F" w:rsidRDefault="003623BF" w:rsidP="003623BF">
      <w:pPr>
        <w:pStyle w:val="Normal6a"/>
        <w:spacing w:after="240"/>
        <w:ind w:left="567" w:hanging="567"/>
        <w:rPr>
          <w:lang w:val="hr-HR"/>
        </w:rPr>
      </w:pPr>
      <w:r w:rsidRPr="0017180F">
        <w:rPr>
          <w:lang w:val="hr-HR"/>
        </w:rPr>
        <w:t>–</w:t>
      </w:r>
      <w:r w:rsidRPr="0017180F">
        <w:rPr>
          <w:lang w:val="hr-HR"/>
        </w:rPr>
        <w:tab/>
        <w:t>uzimajući u obzir Obavijest Komisije od 28. kolovoza 2025. o primjeni okvira za održivo financiranje i Direktive o dužnoj pažnji za održivo poslovanje na obrambeni sektor (C(2025)3800),</w:t>
      </w:r>
    </w:p>
    <w:p w14:paraId="7A680EDC" w14:textId="77777777" w:rsidR="003623BF" w:rsidRPr="0017180F" w:rsidRDefault="003623BF" w:rsidP="003623BF">
      <w:pPr>
        <w:pStyle w:val="NormalHanging"/>
      </w:pPr>
      <w:r w:rsidRPr="0017180F">
        <w:t>–</w:t>
      </w:r>
      <w:r w:rsidRPr="0017180F">
        <w:tab/>
        <w:t>uzimajući u obzir mišljenja Odbora za ekonomsku i monetarnu politiku, Odbora za industriju, istraživanje i energetiku te Odbora za proračune,</w:t>
      </w:r>
    </w:p>
    <w:p w14:paraId="050F0236" w14:textId="77777777" w:rsidR="003623BF" w:rsidRPr="0017180F" w:rsidRDefault="003623BF" w:rsidP="003623BF">
      <w:pPr>
        <w:pStyle w:val="NormalHanging"/>
      </w:pPr>
      <w:r w:rsidRPr="0017180F">
        <w:t>–</w:t>
      </w:r>
      <w:r w:rsidRPr="0017180F">
        <w:tab/>
        <w:t>uzimajući u obzir članak 55. Poslovnika,</w:t>
      </w:r>
    </w:p>
    <w:p w14:paraId="2BD47A01" w14:textId="77777777" w:rsidR="003623BF" w:rsidRPr="0017180F" w:rsidRDefault="003623BF" w:rsidP="003623BF">
      <w:pPr>
        <w:pStyle w:val="NormalHanging"/>
      </w:pPr>
      <w:r w:rsidRPr="0017180F">
        <w:t>–</w:t>
      </w:r>
      <w:r w:rsidRPr="0017180F">
        <w:tab/>
        <w:t>uzimajući u obzir izvješće Odbora za sigurnost i obranu (A10</w:t>
      </w:r>
      <w:r w:rsidRPr="0017180F">
        <w:noBreakHyphen/>
        <w:t>0243/2025),</w:t>
      </w:r>
    </w:p>
    <w:p w14:paraId="11594E89" w14:textId="77777777" w:rsidR="003623BF" w:rsidRPr="0017180F" w:rsidRDefault="003623BF" w:rsidP="003623BF">
      <w:pPr>
        <w:pStyle w:val="NormalHanging12a"/>
      </w:pPr>
      <w:r w:rsidRPr="0017180F">
        <w:lastRenderedPageBreak/>
        <w:t>A.</w:t>
      </w:r>
      <w:r w:rsidRPr="0017180F">
        <w:tab/>
        <w:t>budući da su prema podacima Europske obrambene agencije (EDA) rashodi država članica za obranu, nakon smanjenja 2014., 2024. dosegli 343 milijarde EUR, što odgovara 1,9 % BDP-a i predstavlja povećanje od 19 % u usporedbi s 2023.; budući da bi, prema Europskoj obrambenoj agenciji, 2025. rashodi država članica za obranu mogli dosegnuti više od 2 %, koliko je navedeno u smjernicama NATO-a;</w:t>
      </w:r>
    </w:p>
    <w:p w14:paraId="2A268CE7" w14:textId="77777777" w:rsidR="003623BF" w:rsidRPr="0017180F" w:rsidRDefault="003623BF" w:rsidP="003623BF">
      <w:pPr>
        <w:pStyle w:val="NormalHanging12a"/>
        <w:rPr>
          <w:bCs/>
          <w:iCs/>
        </w:rPr>
      </w:pPr>
      <w:r w:rsidRPr="0017180F">
        <w:t>B.</w:t>
      </w:r>
      <w:r w:rsidRPr="0017180F">
        <w:tab/>
        <w:t>budući da trenutačna razina ulaganja u sigurnost i obranu u EU-u nije dovoljna za postizanje ciljeva u pogledu kapaciteta za svaku državu članicu; budući da je trošak izoliranog djelovanja puno veći nego trošak zajedničkog djelovanja; budući da je trošak nespremnosti i svakog potencijalnog vojnog poraza te posljedičnog gubitka autonomije mnogo veći od troška odlučnog djelovanja danas; budući da bi povećanje nacionalnih rashoda za obranu bez rješavanja pitanja koordinacije, suvišnih napora i neusklađenih strategija moglo biti kontraproduktivno jer bi moglo pogoršati probleme u integriranju snaga i povećati troškove nabave za sve države članice zbog povećanja nadmetanja među njima;</w:t>
      </w:r>
    </w:p>
    <w:p w14:paraId="23F83710" w14:textId="77777777" w:rsidR="003623BF" w:rsidRPr="0017180F" w:rsidRDefault="003623BF" w:rsidP="003623BF">
      <w:pPr>
        <w:pStyle w:val="NormalHanging12a"/>
      </w:pPr>
      <w:r w:rsidRPr="0017180F">
        <w:t>C.</w:t>
      </w:r>
      <w:r w:rsidRPr="0017180F">
        <w:tab/>
        <w:t xml:space="preserve">budući da se u izvješću </w:t>
      </w:r>
      <w:proofErr w:type="spellStart"/>
      <w:r w:rsidRPr="0017180F">
        <w:t>Saulija</w:t>
      </w:r>
      <w:proofErr w:type="spellEnd"/>
      <w:r w:rsidRPr="0017180F">
        <w:t xml:space="preserve"> </w:t>
      </w:r>
      <w:proofErr w:type="spellStart"/>
      <w:r w:rsidRPr="0017180F">
        <w:t>Niinistöa</w:t>
      </w:r>
      <w:proofErr w:type="spellEnd"/>
      <w:r w:rsidRPr="0017180F">
        <w:t xml:space="preserve"> naglašava da je povećanje dostupnih financijskih sredstava za obrambenu suradnju ključno za prevladavanje endemske fragmentacije i desetljeća nedovoljnih ulaganja; budući da je Komisija u okviru plana „</w:t>
      </w:r>
      <w:proofErr w:type="spellStart"/>
      <w:r w:rsidRPr="0017180F">
        <w:t>ReArm</w:t>
      </w:r>
      <w:proofErr w:type="spellEnd"/>
      <w:r w:rsidRPr="0017180F">
        <w:t xml:space="preserve"> Europe” utvrdila da postoji manjak u ulaganjima u obrambenu sposobnost u iznosu od 800 milijardi EUR koji države članice trebaju nadopuniti do 2030., što podrazumijeva godišnje povećanje rashoda od 10 % kako bi se doseglo oko 575 milijardi EUR 2030., odnosno 3,15 % kumulativnog BDP-a; budući da je to u skladu s </w:t>
      </w:r>
      <w:proofErr w:type="spellStart"/>
      <w:r w:rsidRPr="0017180F">
        <w:t>Draghijevim</w:t>
      </w:r>
      <w:proofErr w:type="spellEnd"/>
      <w:r w:rsidRPr="0017180F">
        <w:t xml:space="preserve"> izvješćem o budućnosti europske konkurentnosti;</w:t>
      </w:r>
    </w:p>
    <w:p w14:paraId="04651CAF" w14:textId="77777777" w:rsidR="003623BF" w:rsidRPr="0017180F" w:rsidRDefault="003623BF" w:rsidP="003623BF">
      <w:pPr>
        <w:pStyle w:val="NormalHanging12a"/>
      </w:pPr>
      <w:r w:rsidRPr="0017180F">
        <w:t>D.</w:t>
      </w:r>
      <w:r w:rsidRPr="0017180F">
        <w:tab/>
        <w:t>budući da je u prijedlogu višegodišnjeg financijskog okvira (VFO) za razdoblje 2028. – 2034. Komisija izdvojila 115,7 milijardi EUR (u cijenama iz 2025.) za obranu i svemir u okviru Europskog fonda za konkurentnost, što je pet puta više nego u prethodnom razdoblju VFO-a, te 15,7 milijardi EUR (u cijenama iz 2025.) za vojnu mobilnost u okviru Instrumenta za povezivanje Europe, što je deset puta više u odnosu na prethodno razdoblje, radi podupiranja razvoja prometne infrastrukture koja se može upotrebljavati i u civilne i u vojne svrhe;</w:t>
      </w:r>
    </w:p>
    <w:p w14:paraId="360A1E12" w14:textId="77777777" w:rsidR="003623BF" w:rsidRPr="0017180F" w:rsidRDefault="003623BF" w:rsidP="003623BF">
      <w:pPr>
        <w:pStyle w:val="NormalHanging12a"/>
      </w:pPr>
      <w:r w:rsidRPr="0017180F">
        <w:t>E.</w:t>
      </w:r>
      <w:r w:rsidRPr="0017180F">
        <w:tab/>
        <w:t>budući da građani EU-a s pravom od EU-a i njegovog proračuna očekuju više, uključujući kapacitet za brz i djelotvoran odgovor na novonastale prijetnje te za pružanje potrebne potpore u cilju jačanja obrambenih sposobnosti, posebno u kriznim vremenima; budući da bi se sljedećim VFO-om trebao podupirati sveobuhvatan sigurnosni pristup i na odgovarajući način trebale financirati mjere za jačanje obrambene spremnosti i otpornosti;</w:t>
      </w:r>
    </w:p>
    <w:p w14:paraId="3D3070BB" w14:textId="77777777" w:rsidR="003623BF" w:rsidRPr="0017180F" w:rsidRDefault="003623BF" w:rsidP="003623BF">
      <w:pPr>
        <w:pStyle w:val="NormalHanging12a"/>
      </w:pPr>
      <w:r w:rsidRPr="0017180F">
        <w:t>F.</w:t>
      </w:r>
      <w:r w:rsidRPr="0017180F">
        <w:tab/>
        <w:t>budući da je prema Europskoj obrambenoj agenciji 31 % rashoda država članica za obranu 2024. bilo namijenjeno ulaganjima, od čega je 88,2 % bilo namijenjeno nabavi nove opreme, a 11,8 % istraživanju i razvoju; budući da su rashodi za nabavu obrambene opreme 2024. dosegnuli 88 milijardi EUR, što je povećanje od 39 % u odnosu na 2023.; budući da se očekuje da će se u okviru plana „</w:t>
      </w:r>
      <w:proofErr w:type="spellStart"/>
      <w:r w:rsidRPr="0017180F">
        <w:t>ReArm</w:t>
      </w:r>
      <w:proofErr w:type="spellEnd"/>
      <w:r w:rsidRPr="0017180F">
        <w:t xml:space="preserve"> Europe” tim povećanjem do 2030. ostvariti barem 240 milijardi EUR dodatnih ulaganja; budući da su se 2024. rashodi za istraživanje i razvoj u području obrane u državama članicama također povećali za 20 % i dosegnuli 13 milijardi EUR;</w:t>
      </w:r>
    </w:p>
    <w:p w14:paraId="066187C2" w14:textId="77777777" w:rsidR="003623BF" w:rsidRPr="0017180F" w:rsidRDefault="003623BF" w:rsidP="003623BF">
      <w:pPr>
        <w:pStyle w:val="NormalHanging12a"/>
      </w:pPr>
      <w:r w:rsidRPr="0017180F">
        <w:t>G.</w:t>
      </w:r>
      <w:r w:rsidRPr="0017180F">
        <w:tab/>
        <w:t xml:space="preserve">budući da je između veljače 2022. i lipnja 2023., prema podacima Komisije, 78 % nabava država članica u području obrane dolazilo iz zemalja izvan EU-a, od čega su </w:t>
      </w:r>
      <w:r w:rsidRPr="0017180F">
        <w:lastRenderedPageBreak/>
        <w:t>dvije trećine dolazile iz SAD-a, te budući da 70 % prometa europske obrambene tehnološke i industrijske baze (EDTIB) ovisi o europskoj javnoj nabavi;</w:t>
      </w:r>
    </w:p>
    <w:p w14:paraId="66A1DE70" w14:textId="77777777" w:rsidR="003623BF" w:rsidRPr="0017180F" w:rsidRDefault="003623BF" w:rsidP="003623BF">
      <w:pPr>
        <w:pStyle w:val="NormalHanging12a"/>
      </w:pPr>
      <w:r w:rsidRPr="0017180F">
        <w:t>H.</w:t>
      </w:r>
      <w:r w:rsidRPr="0017180F">
        <w:tab/>
        <w:t>budući da se, prema Udruženju europskih zrakoplovnih, sigurnosnih i obrambenih industrija, EDTIB, koji je 2023. imao oko 580 000 izravnih radnih mjesta, 1,4 milijuna neizravnih radnih mjesta i promet od 160 milijardi EUR (od čega trećina potječe iz izvoza), suočava s trostrukim problemom: zapošljavanje, nabava i financiranje;</w:t>
      </w:r>
    </w:p>
    <w:p w14:paraId="6ADF5B08" w14:textId="77777777" w:rsidR="003623BF" w:rsidRPr="0017180F" w:rsidRDefault="003623BF" w:rsidP="003623BF">
      <w:pPr>
        <w:pStyle w:val="NormalHanging12a"/>
      </w:pPr>
      <w:r w:rsidRPr="0017180F">
        <w:t>I.</w:t>
      </w:r>
      <w:r w:rsidRPr="0017180F">
        <w:tab/>
        <w:t xml:space="preserve">budući da su mala i srednja poduzeća (MSP-ovi) ključna sastavnica EDTIB-a jer pružaju inovacije, fleksibilnost i otpornost u cijelom lancu vrijednosti; budući da, međutim, se prema studiji Komisije iz 2024. o pristupu financiranju vlasničkim kapitalom ističe da se MSP-ovi u EDTIB-u suočavaju s više poteškoća u odnosu na druge sektore prilikom dobivanja kreditnog financiranja i financiranja vlasničkim kapitalom zbog: (i.) neredovitosti javnih nabava i kašnjenja u plaćanju među </w:t>
      </w:r>
      <w:proofErr w:type="spellStart"/>
      <w:r w:rsidRPr="0017180F">
        <w:t>podugovarateljima</w:t>
      </w:r>
      <w:proofErr w:type="spellEnd"/>
      <w:r w:rsidRPr="0017180F">
        <w:t>, čime se smanjuje transparentnost novčanog toka, (ii.) isključenja obrambenih aktivnosti od strane određenih ulagača zbog razloga povezanih s ugledom i (iii.) ograničene mogućnosti izlaska imovine u području obrane na europska tržišta kapitala; budući da je uklanjanje takvih prepreka financiranju ključno kako bi se MSP-ovima povezanima s obranom omogućio pravedan pristup tržištima kapitala i privatnim ulaganjima, čime bi se poboljšala konkurentnost i ekonomska otpornost;</w:t>
      </w:r>
    </w:p>
    <w:p w14:paraId="15B434C6" w14:textId="77777777" w:rsidR="003623BF" w:rsidRPr="0017180F" w:rsidRDefault="003623BF" w:rsidP="003623BF">
      <w:pPr>
        <w:pStyle w:val="NormalHanging12a"/>
      </w:pPr>
      <w:r w:rsidRPr="0017180F">
        <w:t>J.</w:t>
      </w:r>
      <w:r w:rsidRPr="0017180F">
        <w:tab/>
        <w:t>budući da se procjenjuje da dodatne potrebe financiranja EDTIB-a u razdoblju 2025. – 2030. iznose najmanje između 30 i 40 milijardi EUR, od čega se procjenjuje da će se 6 – 18 milijardi EUR morati pokriti vlasničkim kapitalom; budući da to naglašava važnost unije štednje i ulaganja EU-a za mobilizaciju dugoročnog privatnog kapitala i privlačenje institucionalnih ulagača;</w:t>
      </w:r>
    </w:p>
    <w:p w14:paraId="3D5954F0" w14:textId="77777777" w:rsidR="003623BF" w:rsidRPr="0017180F" w:rsidRDefault="003623BF" w:rsidP="003623BF">
      <w:pPr>
        <w:pStyle w:val="NormalHanging12a"/>
      </w:pPr>
      <w:r w:rsidRPr="0017180F">
        <w:t>K.</w:t>
      </w:r>
      <w:r w:rsidRPr="0017180F">
        <w:tab/>
        <w:t>budući da je obrambeni sektor i dalje nedovoljno konsolidiran, strukturiran oko velikih naručitelja i krhkih lanaca podugovaranja te nedovoljno razvijenih paneuropskih lanaca vrijednosti, što ograničava novčani tok malih poduzeća, koja su često primorana svoje potrebe za obrtnim kapitalom financirati dugoročnim sredstvima;</w:t>
      </w:r>
      <w:r w:rsidRPr="0017180F">
        <w:rPr>
          <w:b/>
          <w:i/>
        </w:rPr>
        <w:t xml:space="preserve"> </w:t>
      </w:r>
      <w:r w:rsidRPr="0017180F">
        <w:t>budući da to otežava jačanje EDTIB-a, što je ključno za izgradnju obrambenih kapaciteta;</w:t>
      </w:r>
    </w:p>
    <w:p w14:paraId="271C6031" w14:textId="77777777" w:rsidR="003623BF" w:rsidRPr="0017180F" w:rsidRDefault="003623BF" w:rsidP="003623BF">
      <w:pPr>
        <w:pStyle w:val="NormalHanging12a"/>
      </w:pPr>
      <w:r w:rsidRPr="0017180F">
        <w:t>L.</w:t>
      </w:r>
      <w:r w:rsidRPr="0017180F">
        <w:tab/>
        <w:t xml:space="preserve">budući da je EIB postavio sigurnosni i obrambeni sektor kao prioritet, prilagodio svoje kriterije kreditiranja i unutarnje procese te uspostavio Ured za sigurnost i obranu, jedinstvenu kontaktnu točku za financijsku potporu u području sigurnosti i obrane; budući da je EIB 2024. mobilizirao gotovo 1 milijardu EUR i da je 2025. namjeravao mobilizirati 2 milijarde EUR, ali je zapravo već dosegnuo 3 milijarde EUR; budući da je od 2017. za obranu već dodijelio 13 milijardi EUR i planira dodijeliti dodatnih 6 milijardi EUR do 2027., proširujući pritom svoje djelovanje na projekte s dvojnom namjenom i nove financijske instrumente; budući da je za osiguravanje </w:t>
      </w:r>
      <w:proofErr w:type="spellStart"/>
      <w:r w:rsidRPr="0017180F">
        <w:t>uključivog</w:t>
      </w:r>
      <w:proofErr w:type="spellEnd"/>
      <w:r w:rsidRPr="0017180F">
        <w:t xml:space="preserve"> i inovativnog rasta diljem EU-a neophodno poboljšati pristup instrumentima EIB-a za MSP-ove i poduzeća srednje tržišne kapitalizacije u obrambenom i sigurnosnom ekosustavu;</w:t>
      </w:r>
    </w:p>
    <w:p w14:paraId="06A30BF3" w14:textId="77777777" w:rsidR="003623BF" w:rsidRPr="0017180F" w:rsidRDefault="003623BF" w:rsidP="003623BF">
      <w:pPr>
        <w:pStyle w:val="Normal6a"/>
        <w:spacing w:after="240"/>
        <w:ind w:left="567" w:hanging="567"/>
        <w:rPr>
          <w:lang w:val="hr-HR"/>
        </w:rPr>
      </w:pPr>
      <w:bookmarkStart w:id="7" w:name="_Hlk215500216"/>
      <w:r w:rsidRPr="0017180F">
        <w:rPr>
          <w:lang w:val="hr-HR"/>
        </w:rPr>
        <w:t>M.</w:t>
      </w:r>
      <w:r w:rsidRPr="0017180F">
        <w:rPr>
          <w:lang w:val="hr-HR"/>
        </w:rPr>
        <w:tab/>
        <w:t>budući da EIB ima ključnu ulogu u promicanju gospodarske kohezije, održivog razvoja i konkurentnosti u EU-u; budući da je uspostava banke za obranu, sigurnost i otpornost predložena u Bijeloj knjizi o budućnosti europske obrane; budući da bi službeno proširenje mandata EIB-a na potporu EDTIB-u bilo učinkovitije i proporcionalnije rješenje od uspostave nove banke za obranu, sigurnost i otpornost;</w:t>
      </w:r>
    </w:p>
    <w:bookmarkEnd w:id="7"/>
    <w:p w14:paraId="380E1C14" w14:textId="77777777" w:rsidR="003623BF" w:rsidRPr="0017180F" w:rsidRDefault="003623BF" w:rsidP="003623BF">
      <w:pPr>
        <w:pStyle w:val="Normal6a"/>
        <w:tabs>
          <w:tab w:val="left" w:pos="567"/>
        </w:tabs>
        <w:spacing w:after="240"/>
        <w:ind w:left="567" w:hanging="567"/>
        <w:rPr>
          <w:lang w:val="hr-HR"/>
        </w:rPr>
      </w:pPr>
      <w:r w:rsidRPr="0017180F">
        <w:rPr>
          <w:lang w:val="hr-HR"/>
        </w:rPr>
        <w:lastRenderedPageBreak/>
        <w:t>N.</w:t>
      </w:r>
      <w:r w:rsidRPr="0017180F">
        <w:rPr>
          <w:lang w:val="hr-HR"/>
        </w:rPr>
        <w:tab/>
        <w:t>budući da se svako proširenje EIB-ove politike kreditiranja i kriterija prihvatljivosti na obrambenu opremu mora ocijeniti u odnosu na potrebu za očuvanjem financijske stabilnosti EIB-a i njegova kreditnog rejtinga AAA, koji su i dalje ključne zaštitne mjere za njegovu sposobnost da ostvari prioritete politika EU-a, uključujući obrambenu spremnost i opću političku neovisnost EU-a;</w:t>
      </w:r>
    </w:p>
    <w:p w14:paraId="10580AF4" w14:textId="77777777" w:rsidR="003623BF" w:rsidRPr="0017180F" w:rsidRDefault="003623BF" w:rsidP="003623BF">
      <w:pPr>
        <w:pStyle w:val="NormalHanging12a"/>
      </w:pPr>
      <w:r w:rsidRPr="0017180F">
        <w:t>O.</w:t>
      </w:r>
      <w:r w:rsidRPr="0017180F">
        <w:tab/>
        <w:t>budući da je 2023. nad otprilike 39 prijavljenih izravnih stranih ulaganja provedeno dubinsko preispitivanje u okviru EU-ova mehanizma za suradnju na provjeri izravnih stranih ulaganja, pri čemu su posebno zastupljeni bili sektor obrane i zrakoplovstva</w:t>
      </w:r>
      <w:r w:rsidRPr="0017180F">
        <w:rPr>
          <w:rStyle w:val="FootnoteReference"/>
        </w:rPr>
        <w:footnoteReference w:id="6"/>
      </w:r>
      <w:r w:rsidRPr="0017180F">
        <w:t>;</w:t>
      </w:r>
    </w:p>
    <w:p w14:paraId="1CA8E465" w14:textId="77777777" w:rsidR="003623BF" w:rsidRPr="0017180F" w:rsidRDefault="003623BF" w:rsidP="003623BF">
      <w:pPr>
        <w:pStyle w:val="NormalHanging12a"/>
      </w:pPr>
      <w:r w:rsidRPr="0017180F">
        <w:t>P.</w:t>
      </w:r>
      <w:r w:rsidRPr="0017180F">
        <w:tab/>
        <w:t>budući da je unatoč osnivanju specijaliziranih fondova u Europi, 2024. postojalo samo tridesetak europskih fondova specijaliziranih za obranu, od kojih su četiri imala imovinu veću od 500 milijuna EUR, u usporedbi s više od 50 takvih fondova u Sjedinjenim Američkim Državama, od kojih je njih 30 te veličine, te s obzirom na to da ta situacija stvara manje atraktivno sekundarno tržište, niže vrednovanje prilikom izlaznih transakcija i rizik od toga da strani ulagači preuzmu kontrolu;</w:t>
      </w:r>
    </w:p>
    <w:p w14:paraId="164EC18C" w14:textId="77777777" w:rsidR="003623BF" w:rsidRPr="0017180F" w:rsidRDefault="003623BF" w:rsidP="003623BF">
      <w:pPr>
        <w:pStyle w:val="Normal6a"/>
        <w:tabs>
          <w:tab w:val="left" w:pos="567"/>
        </w:tabs>
        <w:spacing w:after="240"/>
        <w:ind w:left="567" w:hanging="567"/>
        <w:rPr>
          <w:bCs/>
          <w:iCs/>
          <w:lang w:val="hr-HR"/>
        </w:rPr>
      </w:pPr>
      <w:r w:rsidRPr="0017180F">
        <w:rPr>
          <w:lang w:val="hr-HR"/>
        </w:rPr>
        <w:t>Q.</w:t>
      </w:r>
      <w:r w:rsidRPr="0017180F">
        <w:rPr>
          <w:lang w:val="hr-HR"/>
        </w:rPr>
        <w:tab/>
        <w:t>budući da sve lošije sigurnosno okruženje i sve češće hibridne i konvencionalne prijetnje diljem EU-a naglašavaju potrebu za kontinuiranim ulaganjem u obrambenu spremnost, otpornost i vojnu mobilnost; budući da istočne države članice predstavljaju strateško područje za opću sigurnost Europe, za što su potrebni poboljšana infrastruktura, kapaciteti za nadzor i mehanizmi brzog jačanja; budući da su jačanje upravljanja granicama, poboljšanje sustava obrane od dronova i sustava zračne obrane te razvoj regionalnih industrijskih kapaciteta za obrambenu proizvodnju i inovacije ključni za osiguravanje pripravnosti EU-a; budući da bi te mjere, uključujući provedbu ključnih inicijativa kao što su europska inicijativa za obranu od bespilotnih letjelica, promatračka misija na istočnim granicama, europski zračni štit i europski svemirski štit, trebalo poduprijeti odgovarajućim financijskim sredstvima EU-a; budući da su takvi napori ključni za zaštitu najizloženijih država članica, očuvanje teritorijalne cjelovitosti EU-a, očuvanje kolektivnog odvraćanja i stabilnosti diljem kontinenta;</w:t>
      </w:r>
    </w:p>
    <w:p w14:paraId="6663DCF1" w14:textId="77777777" w:rsidR="003623BF" w:rsidRPr="0017180F" w:rsidRDefault="003623BF" w:rsidP="003623BF">
      <w:pPr>
        <w:pStyle w:val="Normal6a"/>
        <w:rPr>
          <w:i/>
          <w:iCs/>
          <w:lang w:val="hr-HR"/>
        </w:rPr>
      </w:pPr>
      <w:r w:rsidRPr="0017180F">
        <w:rPr>
          <w:rStyle w:val="Bold"/>
          <w:i/>
          <w:lang w:val="hr-HR"/>
        </w:rPr>
        <w:t>Izgradnja stabilnih temelja i dugoročne vizije za privatna ulaganja u obranu</w:t>
      </w:r>
    </w:p>
    <w:p w14:paraId="201FF586" w14:textId="77777777" w:rsidR="003623BF" w:rsidRPr="0017180F" w:rsidRDefault="003623BF" w:rsidP="003623BF">
      <w:pPr>
        <w:pStyle w:val="Normal12a24b"/>
        <w:rPr>
          <w:lang w:val="hr-HR"/>
        </w:rPr>
      </w:pPr>
      <w:r w:rsidRPr="0017180F">
        <w:rPr>
          <w:rStyle w:val="Italic"/>
          <w:lang w:val="hr-HR"/>
        </w:rPr>
        <w:t>Podupiranje i bolje usmjeravanje javnih ulaganja država članica u obranu</w:t>
      </w:r>
    </w:p>
    <w:p w14:paraId="051AE5B5" w14:textId="77777777" w:rsidR="003623BF" w:rsidRPr="0017180F" w:rsidRDefault="003623BF" w:rsidP="00A70BD5">
      <w:pPr>
        <w:tabs>
          <w:tab w:val="left" w:pos="567"/>
        </w:tabs>
        <w:spacing w:after="240"/>
        <w:ind w:left="567" w:hanging="567"/>
        <w:rPr>
          <w:bCs/>
          <w:iCs/>
        </w:rPr>
      </w:pPr>
      <w:r w:rsidRPr="0017180F">
        <w:t>1.</w:t>
      </w:r>
      <w:r w:rsidRPr="0017180F">
        <w:tab/>
        <w:t>smatra da je došlo vrijeme da se obnovi politička obveza da EU postane vjerodostojan pružatelj sigurnosti jačanjem njegove obrambene spremnosti kroz promicanje dublje suradnje između država članica, njihovih oružanih snaga i industrija; poziva države članice da udruže napore kako bi postigle dosljedan, ambiciozan i integriran europski okvir za obranu; u tom kontekstu naglašava potrebu da Komisija i države članice pripreme hitne postupke za projekte uspostavljene kao odgovor na velike krize ili ratove, uključujući bržu dodjelu javnih sredstava i privatnog kapitala, kao sastavni element jamčenja spremnosti i sposobnosti EU-a da brzo i učinkovito odgovori na nove sigurnosne prijetnje;</w:t>
      </w:r>
    </w:p>
    <w:p w14:paraId="73EB03ED" w14:textId="77777777" w:rsidR="003623BF" w:rsidRPr="0017180F" w:rsidRDefault="003623BF" w:rsidP="003623BF">
      <w:pPr>
        <w:pStyle w:val="NormalHanging12a"/>
      </w:pPr>
      <w:r w:rsidRPr="0017180F">
        <w:t>2.</w:t>
      </w:r>
      <w:r w:rsidRPr="0017180F">
        <w:tab/>
        <w:t>zabrinut je zbog toga što je do kraja srpnja 2025., unatoč ciljevima plana „</w:t>
      </w:r>
      <w:proofErr w:type="spellStart"/>
      <w:r w:rsidRPr="0017180F">
        <w:t>ReArm</w:t>
      </w:r>
      <w:proofErr w:type="spellEnd"/>
      <w:r w:rsidRPr="0017180F">
        <w:t xml:space="preserve"> Europe”, samo 10 od 27 država članica najavilo jasan cilj povećanja svojih rashoda za obranu na najmanje 3 % svojeg BDP-a do 2030.; poziva svaku državu članicu da </w:t>
      </w:r>
      <w:r w:rsidRPr="0017180F">
        <w:lastRenderedPageBreak/>
        <w:t xml:space="preserve">pripremi iscrpnu stratešku viziju svojih vojnih rashoda do 2030. s jasnom podjelom između obrambenih kapaciteta i infrastrukture s dvojnom namjenom, uključujući ključne etape u pogledu kapaciteta, pokazatelje zaliha, podatke o sudjelovanju MSP-ova i ciljni udio zajedničke nabave; naglašava potrebu da se nacionalnim proračunima za obranu uklone nedostaci u sposobnostima, ponovno uspostave mjere odvraćanja i osigura odgovarajuća potpora Ukrajini; naglašava da se u budućim ulaganjima prednost mora dati suradnji, interoperabilnosti i zajedničkoj nabavi, čime bi suradnja na razini EU-a postala norma u europskom obrambenom industrijskom sektoru; u tom pogledu naglašava potrebu za usklađivanjem </w:t>
      </w:r>
      <w:proofErr w:type="spellStart"/>
      <w:r w:rsidRPr="0017180F">
        <w:t>usklađivanjem</w:t>
      </w:r>
      <w:proofErr w:type="spellEnd"/>
      <w:r w:rsidRPr="0017180F">
        <w:t xml:space="preserve"> plana „Spremnost 2030.” s konkretnim ciljevima utvrđenima u Strategiji za europsku obrambenu industriju (EDIS), posebno osiguravanjem da se do 2030. najmanje 40 % obrambene opreme zajednički nabavlja, da se do 2030. najmanje 35 % trgovine obrambenom opremom odvija unutar EU-a te da se najmanje 50 % nabave u području obrane odnosi na proizvode proizvedene u EU-u do 2030. i 60 % do 2035.; pohvaljuje one države članice koje dosljedno izdvajaju više od 3 % BDP-a za obranu; podsjeća da bi države članice trebale redovito ažurirati svoje ciljeve u pogledu sposobnosti i vojne doktrine kako bi ostale pripravne za nove prijetnje i prijetnje u nastajanju;</w:t>
      </w:r>
    </w:p>
    <w:p w14:paraId="1A029DA0" w14:textId="77777777" w:rsidR="003623BF" w:rsidRPr="0017180F" w:rsidRDefault="003623BF" w:rsidP="003623BF">
      <w:pPr>
        <w:pStyle w:val="NormalHanging12a"/>
        <w:rPr>
          <w:bCs/>
        </w:rPr>
      </w:pPr>
      <w:r w:rsidRPr="0017180F">
        <w:t>3.</w:t>
      </w:r>
      <w:r w:rsidRPr="0017180F">
        <w:tab/>
        <w:t>prima na znanje veliko pogoršanje sigurnosnog konteksta EU-a, što dovodi do sve većih prijetnji vanjskim granicama EU-a; stoga poziva EU i države članice da usvoje sveobuhvatan pristup obrani i pritom prepoznaje da sigurnost nadilazi vojna sredstva i obuhvaća obranu od hibridnih prijetnji; naglašava da je unutarnja politička stabilnost preduvjet za vjerodostojnu vojnu snagu te da bi bez povjerenja građana u institucije i demokraciju opća sigurnost i kohezija EU-a i dalje bile nestabilne; poziva na brzu i solidarnu mobilizaciju financijske potpore EU-a, posebno za one države članice koje su najizloženije konvencionalnim vojnim prijetnjama;</w:t>
      </w:r>
    </w:p>
    <w:p w14:paraId="7165C6C8" w14:textId="77777777" w:rsidR="003623BF" w:rsidRPr="0017180F" w:rsidRDefault="003623BF" w:rsidP="003623BF">
      <w:pPr>
        <w:pStyle w:val="NormalHanging12a"/>
      </w:pPr>
      <w:r w:rsidRPr="0017180F">
        <w:t>4.</w:t>
      </w:r>
      <w:r w:rsidRPr="0017180F">
        <w:tab/>
        <w:t>pozdravlja prijedloge iz plana „</w:t>
      </w:r>
      <w:proofErr w:type="spellStart"/>
      <w:r w:rsidRPr="0017180F">
        <w:t>ReArm</w:t>
      </w:r>
      <w:proofErr w:type="spellEnd"/>
      <w:r w:rsidRPr="0017180F">
        <w:t xml:space="preserve"> Europe” da se državama članicama omogući veća proračunska fleksibilnost i da se potakne povećana potrošnja za obranu kako bi se ojačao EDTIB; posebno prima na znanje instrument za kreditiranje u okviru instrumenta SAFE u vrijednosti od 150 milijardi EUR i činjenicu da će 19 država članica iskoristiti zajmove iz instrumenta SAFE; međutim, žali zbog toga što je Komisija taj instrument temeljila na članku 122. UFEU-a, isključujući savjetovanje s Parlamentom, čime se sprečava praćenje i nadzor sredstava i riskira povećanje razlika među državama članicama; naglašava svoju funkciju proračunskog nadzora u skladu s člankom 314. UFEU-a i stoga odlučno poziva Komisiju da  članak 122. više ne primjenjuje na druge inicijative koje se odnose na obrambenu industriju, kao ni na druga pitanja povezana s financiranjem obrane u budućnosti; u tom pogledu smatra da je ključno da projekti u okviru SAFE-a odražavaju prioritete EU-a u pogledu sposobnosti kako su utvrđeni u Bijeloj knjizi o europskoj obrani, planu za razvoj sposobnosti i Planu za obrambenu spremnost do 2030.; međutim žali zbog činjenice da postupci javne nabave koje provodi jedna država članica ispunjavaju uvjete za potporu u okviru instrumenta SAFE, ako je ugovor o nabavi potpisan najkasnije 30. svibnja 2026., jer se time ne potiče zajednička nabava i </w:t>
      </w:r>
      <w:proofErr w:type="spellStart"/>
      <w:r w:rsidRPr="0017180F">
        <w:t>defragmentacija</w:t>
      </w:r>
      <w:proofErr w:type="spellEnd"/>
      <w:r w:rsidRPr="0017180F">
        <w:t xml:space="preserve"> tržišta, što bi u konačnici moglo pogoršati razlike među državama članicama; u tom pogledu naglašava da bi se financiranje trebalo također temeljiti na olakšanom pristupu privatnom kapitalu, nacionalnim doprinosima, postojećim proračunskim razlikama ili alternativnim mehanizmima kojima se osigurava fiskalna odgovornost; u tu svrhu poziva Komisiju da promiče višegodišnje skupne nabave kako bi se smanjili jedinični troškovi i fragmentacija oružanih sustava koji se trenutačno upotrebljavaju diljem EU-a;</w:t>
      </w:r>
    </w:p>
    <w:p w14:paraId="6887E7AE" w14:textId="77777777" w:rsidR="003623BF" w:rsidRPr="0017180F" w:rsidRDefault="003623BF" w:rsidP="003623BF">
      <w:pPr>
        <w:pStyle w:val="NormalHanging12a"/>
      </w:pPr>
      <w:r w:rsidRPr="0017180F">
        <w:lastRenderedPageBreak/>
        <w:t>5.</w:t>
      </w:r>
      <w:r w:rsidRPr="0017180F">
        <w:tab/>
      </w:r>
      <w:bookmarkStart w:id="8" w:name="_Hlk210563278"/>
      <w:r w:rsidRPr="0017180F">
        <w:t>napominje da je europski obrambeni ekosustav i dalje rascjepkan u industrijskoj, financijskoj i upravljačkoj dimenziji; naglašava da je proračun EU-a i dalje učinkovit instrument za poboljšanje integriranog planiranja, stabilnog dugoročnog financiranja i učinkovite provedbe u području obrane, čime bi se prevladala fragmentacija; ponavlja da povećanje nacionalnih proračuna za obranu treba biti popraćeno povećanom koordinacijom i zajedničkim djelovanjem na razini EU-a; podsjeća na važnost osiguravanja široke potpore javnim ulaganjima u obranu, a time i na potrebu za pravednom raspodjelom troškova; žali zbog nedostatka snažne klauzule o davanju prednosti u planu „</w:t>
      </w:r>
      <w:proofErr w:type="spellStart"/>
      <w:r w:rsidRPr="0017180F">
        <w:t>ReArm</w:t>
      </w:r>
      <w:proofErr w:type="spellEnd"/>
      <w:r w:rsidRPr="0017180F">
        <w:t xml:space="preserve"> Europe”, posebno u pogledu instrumenta SAFE, kojom bi se ojačao EDTIB, otvorila nova radna mjesta u EU-u, povećala interoperabilnost i zamjenjivost obrambenih proizvoda u EU-u te smanjila ovisnost o zemljama izvan EU-a, čime bi se ojačale europske mjere odvraćanja i povećala sigurnost opskrbe; naglašava da bi instrument SAFE, kako bi bio financijski učinkovit, prvenstveno trebao biti sredstvo za zajedničku nabavu, održavanje i rad strateških pospješitelja, posebno onih koji pružaju obavještajni nadzor i izviđanje; poziva Komisiju da u potpunosti iskoristi svoju ulogu, posebno putem radne skupine za instrument SAFE, kako bi se osiguralo da se nacionalnim obrambenim planovima država članica poštuje cilj SAFE-a u pogledu promicanja zajedničke nabave radi učinkovitog uklanjanja nedostataka u pogledu sposobnosti i iskoristili svi dostupni instrumenti, uključujući europske obrambene projekte od zajedničkog interesa i strukturu za europski program naoružanja;</w:t>
      </w:r>
      <w:bookmarkEnd w:id="8"/>
    </w:p>
    <w:p w14:paraId="40CFF652" w14:textId="77777777" w:rsidR="003623BF" w:rsidRPr="0017180F" w:rsidRDefault="003623BF" w:rsidP="003623BF">
      <w:pPr>
        <w:pStyle w:val="NormalHanging12a"/>
        <w:rPr>
          <w:bCs/>
          <w:iCs/>
        </w:rPr>
      </w:pPr>
      <w:r w:rsidRPr="0017180F">
        <w:t>6.</w:t>
      </w:r>
      <w:r w:rsidRPr="0017180F">
        <w:tab/>
        <w:t>primjećuje ograničenu i neujednačenu primjenu nacionalne klauzule o odstupanju i napominje da se, unatoč takvoj fleksibilnosti, nekoliko država članica i dalje suočava s ograničenjima u svojem fiskalnom kapacitetu kako bi ispunile zahtjeve i učinkovito odgovorile na zajedničke prioritete te da su se druge države članice suzdržale od podnošenja zahtjeva za nacionalnu klauzulu o odstupanju zbog zabrinutosti u pogledu reakcije financijskih tržišta; uviđa da je nacionalna klauzula o odstupanju privremeni instrument za hitne situacije specifične za pojedinu zemlju, dok je za održivo planiranje ulaganja potrebna dugoročna predvidljivost; ističe činjenicu da su predvidljivi fiskalni i regulatorni uvjeti ključni za privlačenje privatnih ulaganja i osiguravanje učinkovite upotrebe javnih sredstava diljem EU-a; smatra da bi taj okvir prema potrebi trebalo ojačati investicijskim instrumentima i alatima na razini EU-a osmišljenima kako bi se troškovi za porezne obveznike EU-a sveli na najmanju moguću mjeru i kako bi se maksimalno povećala učinkovitost u pružanju javnih dobara EU-a;</w:t>
      </w:r>
    </w:p>
    <w:p w14:paraId="05298827" w14:textId="77777777" w:rsidR="003623BF" w:rsidRPr="0017180F" w:rsidRDefault="003623BF" w:rsidP="003623BF">
      <w:pPr>
        <w:pStyle w:val="NormalHanging12a"/>
      </w:pPr>
      <w:r w:rsidRPr="0017180F">
        <w:t>7.</w:t>
      </w:r>
      <w:r w:rsidRPr="0017180F">
        <w:tab/>
      </w:r>
      <w:bookmarkStart w:id="9" w:name="_Hlk213505486"/>
      <w:r w:rsidRPr="0017180F">
        <w:t>pozdravlja prijedloge Komisije za pojednostavnjenje, olakšavanje i ubrzanje javne nabave u području obrane; poziva na jačanje načela davanja prednosti EU-u, osiguravajući da korisnici mogu odlučivati o definiciji, prilagodbi i razvoju dizajna i sustava tijekom njihovih životnih ciklusa te da nijedna komponenta ne potječe iz zemalja izvan EU-a ili subjekata koji su u suprotnosti sa sigurnosnim i obrambenim interesima EU-a i njegovih država članica;</w:t>
      </w:r>
      <w:bookmarkEnd w:id="9"/>
      <w:r w:rsidRPr="0017180F">
        <w:t xml:space="preserve"> nadalje, poziva na potpuno usklađivanje kriterija prihvatljivosti u okviru plana </w:t>
      </w:r>
      <w:proofErr w:type="spellStart"/>
      <w:r w:rsidRPr="0017180F">
        <w:t>ReArm</w:t>
      </w:r>
      <w:proofErr w:type="spellEnd"/>
      <w:r w:rsidRPr="0017180F">
        <w:t xml:space="preserve"> Europe s kriterijima utvrđenima u Programu za europsku obrambenu industriju (EDIP) radi smanjenja fragmentacije i troškova, povećanja učinkovitosti, poticanja interoperabilnosti i zamjenjivosti te povećanja konkurentnosti EDTIB-a; naglašava da bi pravila o javnoj nabavi i sudjelovanju trebala biti razmjerna i prilagođena MSP-ovima te poziva na uvođenje minimalnog obveznog udjela vrijednosti projekta koji bi se dodjeljivao sudjelovanju MSP-ova u lancu opskrbe, čime bi se osigurao jednak pristup start-</w:t>
      </w:r>
      <w:proofErr w:type="spellStart"/>
      <w:r w:rsidRPr="0017180F">
        <w:t>up</w:t>
      </w:r>
      <w:proofErr w:type="spellEnd"/>
      <w:r w:rsidRPr="0017180F">
        <w:t xml:space="preserve"> poduzećima i manjim dobavljačima zajedno s glavnim ugovarateljima i izbjegla administrativna opterećenja koja odvraćaju MSP-ove od sudjelovanja; poziva, nadalje, na jačanje otpornosti europskih lanaca opskrbe promicanjem zajedničkih standarda i </w:t>
      </w:r>
      <w:r w:rsidRPr="0017180F">
        <w:lastRenderedPageBreak/>
        <w:t>diversificiranih lanaca opskrbe kojima se smanjuju kritične ovisnosti; prepoznaje potrebu za snažnom transatlantskom suradnjom kao temeljem europske obrane, ali izražava zabrinutost zbog najave znatnog povećanja nabave obrambenih proizvoda iz Sjedinjenih Američkih Država jer će to biti u suprotnosti s ambicijom utvrđenom u EDIS-u i uzrokovati nesigurnost za ulaganja u EDTIB; poziva na transatlantsku suradnju u području obrambene industrije koja se temelji na jednakim uvjetima koji će koristiti objema stranama; naglašava da sudjelovanje u programima EU-a za obranu mora biti u potpunosti usklađeno s temeljnim vrijednostima i sigurnosnim interesima EU-a te ciljevima zajedničke vanjske i sigurnosne politike (ZVSP) i zajedničke sigurnosne i obrambene politike (ZSOP);</w:t>
      </w:r>
    </w:p>
    <w:p w14:paraId="2558E3E9" w14:textId="77777777" w:rsidR="003623BF" w:rsidRPr="0017180F" w:rsidRDefault="003623BF" w:rsidP="003623BF">
      <w:pPr>
        <w:pStyle w:val="Normal12a24b"/>
        <w:ind w:left="567" w:hanging="567"/>
        <w:rPr>
          <w:lang w:val="hr-HR"/>
        </w:rPr>
      </w:pPr>
      <w:r w:rsidRPr="0017180F">
        <w:rPr>
          <w:lang w:val="hr-HR"/>
        </w:rPr>
        <w:t>8.</w:t>
      </w:r>
      <w:r w:rsidRPr="0017180F">
        <w:rPr>
          <w:lang w:val="hr-HR"/>
        </w:rPr>
        <w:tab/>
        <w:t xml:space="preserve">naglašava da su obrambenoj industriji EU-a potrebni predvidljiva, višegodišnja potražnja i zajednički zahtjevi kako bi mogla biti brza i razmjerna te pružiti vrijednost; naglašava da se interoperabilnost i normizacija od samog početka moraju uključiti u nabavu i ulaganja u području obrane u EU-u, i to zajedničkim testiranjem i certificiranjem te prekograničnim prihvaćanjem kako bi se suzbilo širenje alternativne ponude i fragmentacija tržišta, u skladu s izvješćima </w:t>
      </w:r>
      <w:proofErr w:type="spellStart"/>
      <w:r w:rsidRPr="0017180F">
        <w:rPr>
          <w:lang w:val="hr-HR"/>
        </w:rPr>
        <w:t>Draghija</w:t>
      </w:r>
      <w:proofErr w:type="spellEnd"/>
      <w:r w:rsidRPr="0017180F">
        <w:rPr>
          <w:lang w:val="hr-HR"/>
        </w:rPr>
        <w:t xml:space="preserve">, </w:t>
      </w:r>
      <w:proofErr w:type="spellStart"/>
      <w:r w:rsidRPr="0017180F">
        <w:rPr>
          <w:lang w:val="hr-HR"/>
        </w:rPr>
        <w:t>Lette</w:t>
      </w:r>
      <w:proofErr w:type="spellEnd"/>
      <w:r w:rsidRPr="0017180F">
        <w:rPr>
          <w:lang w:val="hr-HR"/>
        </w:rPr>
        <w:t xml:space="preserve"> i </w:t>
      </w:r>
      <w:proofErr w:type="spellStart"/>
      <w:r w:rsidRPr="0017180F">
        <w:rPr>
          <w:lang w:val="hr-HR"/>
        </w:rPr>
        <w:t>Niinistöa</w:t>
      </w:r>
      <w:proofErr w:type="spellEnd"/>
      <w:r w:rsidRPr="0017180F">
        <w:rPr>
          <w:lang w:val="hr-HR"/>
        </w:rPr>
        <w:t>; potiče države članice da svoje proračunske obveze dopune transparentnim srednjoročnim prognozama za ulaganja u obranu, koje obuhvaćaju ciljeve u pogledu sposobnosti, rokove za javnu nabavu i udio rashoda namijenjenih za programe suradnje; poziva Europsku obrambenu agenciju da te nacionalne prognoze objedini u godišnjem usporednom pregledu kako bi se olakšala koordinacija i utvrdile mogućnosti za zajedničke projekte;</w:t>
      </w:r>
    </w:p>
    <w:p w14:paraId="5E2C2DC5" w14:textId="77777777" w:rsidR="003623BF" w:rsidRPr="0017180F" w:rsidRDefault="003623BF" w:rsidP="003623BF">
      <w:pPr>
        <w:pStyle w:val="Normal6a"/>
        <w:ind w:left="567" w:hanging="567"/>
        <w:rPr>
          <w:lang w:val="hr-HR"/>
        </w:rPr>
      </w:pPr>
      <w:r w:rsidRPr="0017180F">
        <w:rPr>
          <w:lang w:val="hr-HR"/>
        </w:rPr>
        <w:t>9.</w:t>
      </w:r>
      <w:r w:rsidRPr="0017180F">
        <w:rPr>
          <w:lang w:val="hr-HR"/>
        </w:rPr>
        <w:tab/>
        <w:t xml:space="preserve">ističe potrebu za jačanjem EDTIB-a objedinjavanjem potražnje, pojednostavnjenjem i usklađivanjem pravila te promicanjem otvorenog i poštenog tržišnog natjecanja među europskim industrijama, što bi dovelo do troškovno učinkovitije i konkurentnije europske obrambene industrije te do boljeg pristupa obrambenoj opremi diljem EU-a; žali zbog nepostojanja sveobuhvatnih podataka o zajedničkoj nabavi opreme u EU-u, zbog čega nije moguće pružiti sveobuhvatnu analizu zajedničke nabave obrambene opreme u EU-u i na odgovarajući način procijeniti stanje obrambenog okružja EU-a u tom području; potiče Komisiju i Vijeće da uklone trajne prepreke za trgovinu obrambenim proizvodima unutar EU-a, uključujući prepreke za licenciranje i certificiranje, te poziva </w:t>
      </w:r>
      <w:proofErr w:type="spellStart"/>
      <w:r w:rsidRPr="0017180F">
        <w:rPr>
          <w:lang w:val="hr-HR"/>
        </w:rPr>
        <w:t>suzakonodavce</w:t>
      </w:r>
      <w:proofErr w:type="spellEnd"/>
      <w:r w:rsidRPr="0017180F">
        <w:rPr>
          <w:lang w:val="hr-HR"/>
        </w:rPr>
        <w:t xml:space="preserve"> da kao prioritet postave donošenje i učinkovitu provedbu skupnog prijedloga Komisije o obrani kako bi se pojednostavili prijenosi i nabava diljem EU-a radi potpore otpornijem i konkurentnijem EDTIB-u;</w:t>
      </w:r>
    </w:p>
    <w:p w14:paraId="5FE4CD62" w14:textId="77777777" w:rsidR="003623BF" w:rsidRPr="0017180F" w:rsidRDefault="003623BF" w:rsidP="003623BF">
      <w:pPr>
        <w:pStyle w:val="Normal12a24b"/>
        <w:tabs>
          <w:tab w:val="left" w:pos="567"/>
        </w:tabs>
        <w:ind w:left="567" w:hanging="567"/>
        <w:rPr>
          <w:lang w:val="hr-HR"/>
        </w:rPr>
      </w:pPr>
      <w:r w:rsidRPr="0017180F">
        <w:rPr>
          <w:lang w:val="hr-HR"/>
        </w:rPr>
        <w:t>10.</w:t>
      </w:r>
      <w:r w:rsidRPr="0017180F">
        <w:rPr>
          <w:lang w:val="hr-HR"/>
        </w:rPr>
        <w:tab/>
        <w:t>ističe da bi trebalo ojačati sinergije s civilnim inovacijskim programima kao što su program Obzor Europa i Europsko vijeće za inovacije kako bi se maksimalno povećao učinak i izbjeglo udvostručavanje; istodobno naglašava da tehnološki napredak mora biti popraćen potrebnim ljudskim kapacitetima; izražava zabrinutost zbog toga što je broj aktivnog osoblja 2024. tek neznatno porastao i upozorava da bi povećanje ulaganja bez paralelnih napora za zapošljavanje i zadržavanje osoblja moglo stvoriti nedostatke u kapacitetima za rad i održavanje nove opreme; poziva države članice da daju prednost politikama zapošljavanja i zadržavanja osoblja u obrambenom sektoru, uključujući programe razmjene i osposobljavanja koje podupire EU, kako bi se osiguralo da se povećana potrošnja pretvori u stvarnu operativnu spremnost;</w:t>
      </w:r>
    </w:p>
    <w:p w14:paraId="67A81B3D" w14:textId="77777777" w:rsidR="003623BF" w:rsidRPr="0017180F" w:rsidRDefault="003623BF" w:rsidP="003623BF">
      <w:pPr>
        <w:pStyle w:val="Normal12a24b"/>
        <w:rPr>
          <w:lang w:val="hr-HR"/>
        </w:rPr>
      </w:pPr>
      <w:r w:rsidRPr="0017180F">
        <w:rPr>
          <w:rStyle w:val="Italic"/>
          <w:lang w:val="hr-HR"/>
        </w:rPr>
        <w:t xml:space="preserve">Prilagodba proračuna i instrumenata financiranja EU-a sigurnosnim izazovima i potrebama </w:t>
      </w:r>
      <w:r w:rsidRPr="0017180F">
        <w:rPr>
          <w:rStyle w:val="Italic"/>
          <w:lang w:val="hr-HR"/>
        </w:rPr>
        <w:lastRenderedPageBreak/>
        <w:t>poslovnih subjekata</w:t>
      </w:r>
    </w:p>
    <w:p w14:paraId="3729EFEB" w14:textId="77777777" w:rsidR="003623BF" w:rsidRPr="0017180F" w:rsidRDefault="003623BF" w:rsidP="003623BF">
      <w:pPr>
        <w:pStyle w:val="NormalHanging12a"/>
      </w:pPr>
      <w:r w:rsidRPr="0017180F">
        <w:t>11.</w:t>
      </w:r>
      <w:r w:rsidRPr="0017180F">
        <w:tab/>
        <w:t>ponavlja svoje prethodne pozive Komisiji da istraži sve mogućnosti za potporu ulaganjima država članica u obranu i da maksimalno poveća sinergije u postojećim mehanizmima za potporu obrambenoj pripravnosti EU-a; podsjeća na svoj poziv da se u sljedećem VFO-u odgovarajućim i koordiniranim ulaganjima podupre sveobuhvatan sigurnosni pristup; pozdravlja konsolidaciju omotnice za obranu predloženu u VFO-u za razdoblje 2028. – 2034.; međutim žali zbog toga što Komisija u svojem prijedlogu VFO-a za razdoblje 2028. – 2034. nije dala dovoljno detaljnu raščlambu te omotnice; podsjeća da je potrebna detaljna raščlamba proračuna kako bi se omogućilo da proračunsko tijelo donosi smislene i utemeljene odluke; naglašava da se većim ulaganjem u obranu na razini EU-a u sljedećem VFO-u, koje se temelji na transparentnom upravljanju, može smanjiti udvostručavanje, ostvariti ekonomija razmjera i poboljšati interoperabilnost; podsjeća na posebnu prirodu obrambenog sektora i smatra da se u sljedećem VFO-u moraju zadržati svi kriteriji i postupci financijskih instrumenata europske obrambene industrije, posebno kriteriji povezani s Europskim fondom za obranu i EDIP-om;</w:t>
      </w:r>
    </w:p>
    <w:p w14:paraId="5EE5CE68" w14:textId="77777777" w:rsidR="003623BF" w:rsidRPr="0017180F" w:rsidRDefault="003623BF" w:rsidP="003623BF">
      <w:pPr>
        <w:pStyle w:val="Normal6a"/>
        <w:tabs>
          <w:tab w:val="left" w:pos="567"/>
        </w:tabs>
        <w:spacing w:after="240"/>
        <w:ind w:left="567" w:hanging="567"/>
        <w:rPr>
          <w:lang w:val="hr-HR"/>
        </w:rPr>
      </w:pPr>
      <w:r w:rsidRPr="0017180F">
        <w:rPr>
          <w:lang w:val="hr-HR"/>
        </w:rPr>
        <w:t>12.</w:t>
      </w:r>
      <w:r w:rsidRPr="0017180F">
        <w:rPr>
          <w:lang w:val="hr-HR"/>
        </w:rPr>
        <w:tab/>
        <w:t>u tom pogledu smatra da bi trebalo istražiti sve mogućnosti za potporu ulaganjima država članica u obranu, posebno preko postojećih mehanizama, bez povećanja nacionalnih doprinosa ili ukupnog poreznog opterećenja građana; naglašava da se takvi instrumenti ne smiju oslanjati isključivo na davanje zajmova koje podupire EU, primjerice preko instrumenta SAFE;</w:t>
      </w:r>
    </w:p>
    <w:p w14:paraId="312C42ED" w14:textId="77777777" w:rsidR="003623BF" w:rsidRPr="0017180F" w:rsidRDefault="003623BF" w:rsidP="00A70BD5">
      <w:pPr>
        <w:tabs>
          <w:tab w:val="left" w:pos="567"/>
        </w:tabs>
        <w:spacing w:after="240"/>
        <w:ind w:left="567" w:hanging="567"/>
      </w:pPr>
      <w:r w:rsidRPr="0017180F">
        <w:t>13.</w:t>
      </w:r>
      <w:r w:rsidRPr="0017180F">
        <w:tab/>
        <w:t>naglašava da bi financiranje koje pruža EU trebalo dopuniti, a ne zamijeniti napore država članica da povećaju svoje nacionalne rashode za obranu; naglašava da bi instrumenti EU-a trebali pružiti dodanu vrijednost poticanjem suradnje, interoperabilnosti i učinkovitosti, dok planiranje kapaciteta i zahtjevi moraju ostati unutar odgovarajućih institucijskih okvira; ponavlja da se, kako bi se zadovoljile hitne potrebe ZSOP-a, moraju osigurati dodatna sredstva za obrambene prioritete; stoga ponavlja svoj poziv Komisiji i Vijeću da osiguraju da EU bude opremljen za pokrivanje svojih općenito većih potreba za potrošnjom, među ostalim usvajanjem novih vlastitih sredstava;</w:t>
      </w:r>
    </w:p>
    <w:p w14:paraId="0A103B18" w14:textId="77777777" w:rsidR="003623BF" w:rsidRPr="0017180F" w:rsidRDefault="003623BF" w:rsidP="003623BF">
      <w:pPr>
        <w:pStyle w:val="NormalHanging12a"/>
      </w:pPr>
      <w:r w:rsidRPr="0017180F">
        <w:t>14.</w:t>
      </w:r>
      <w:r w:rsidRPr="0017180F">
        <w:tab/>
        <w:t xml:space="preserve">podsjeća da je cilj EIB-a poticati integraciju EU-a, promicati njegov razvoj i podupirati njegove politike u skladu s člankom 309. UFEU-a; pozdravlja </w:t>
      </w:r>
      <w:proofErr w:type="spellStart"/>
      <w:r w:rsidRPr="0017180F">
        <w:t>proaktivan</w:t>
      </w:r>
      <w:proofErr w:type="spellEnd"/>
      <w:r w:rsidRPr="0017180F">
        <w:t xml:space="preserve"> pristup EIB-a u povećanju financiranja u području europske sigurnosti i obrane; međutim, prima na znanje da njegova ulagačka politika i dalje isključuje „oružje i streljivo” te da su njegove dosadašnje intervencije bile nedovoljne u pogledu brzine, sklonosti za preuzimanje rizika i razmjera da bi se ispunile hitne potrebe u pogledu obrambene pripravnosti; prima na znanje napredak postignut u otvaranju njegovih kriterija, ali smatra da su oni i dalje nedostatni za ostvarivanje ciljeva Plana za obrambenu pripravnost do 2030. koje su u okviru studija i javnih savjetovanja iznijeli dionici iz te industrije; poziva države članice da, kao upravljačko tijelo EIB-a, u svrhu usklađenosti s planom „</w:t>
      </w:r>
      <w:proofErr w:type="spellStart"/>
      <w:r w:rsidRPr="0017180F">
        <w:t>ReArm</w:t>
      </w:r>
      <w:proofErr w:type="spellEnd"/>
      <w:r w:rsidRPr="0017180F">
        <w:t xml:space="preserve"> Europe” prilagode mandat EIB-a kako bi se povećala njegova sposobnost da podrži europsku obrambenu industriju te da revidiraju njegove smjernice za ulaganja kako bi se omogućilo financiranje legitimnih projekata za oružje i streljiva koji su u skladu s međunarodnim pravom i sigurnosnim interesima EU-a; poziva Grupu EIB-a da poveća sklonost preuzimanju rizika i ambiciju za privlačenje ulaganja; međutim upozorava da se pri svakoj prilagodbi kriterija prihvatljivosti ili financiranja Grupe EIB-a radi usklađivanja s novim prioritetima mora očuvati financijski položaj </w:t>
      </w:r>
      <w:r w:rsidRPr="0017180F">
        <w:lastRenderedPageBreak/>
        <w:t>Grupe EIB-a i osigurati učinkovito financiranje ostalih strateških prioriteta EU-a; poziva EIB da provede i Parlamentu dostavi temeljitu kvantitativnu procjenu svoje ulagačke politike u pogledu ulaganja u obranu, a da pritom, ako je to primjenjivo, ne ugrozi svoje sporazume o povjerljivosti sklopljene s ulagačima;</w:t>
      </w:r>
    </w:p>
    <w:p w14:paraId="2BB7B5A7" w14:textId="77777777" w:rsidR="003623BF" w:rsidRPr="0017180F" w:rsidRDefault="003623BF" w:rsidP="003623BF">
      <w:pPr>
        <w:pStyle w:val="NormalHanging12a"/>
        <w:rPr>
          <w:bCs/>
          <w:iCs/>
        </w:rPr>
      </w:pPr>
      <w:r w:rsidRPr="0017180F">
        <w:t>15.</w:t>
      </w:r>
      <w:r w:rsidRPr="0017180F">
        <w:tab/>
        <w:t>predlaže da EIB kontinuirano razmatra i ocjenjuje svoju ulogu, kao i opseg prihvatljivih ulaganja, s obzirom na hitnu potrebu za širenjem europskog obrambenog sektora te osiguravanjem dugoročne sigurnosti i strateške autonomije; predlaže službeno proširenje mandata EIB-a kako bi se u okviru specijalizirane podružnice uz potporu jamstava Komisije i mreže stručnjaka uključila potpora za EDTIB ; smatra da bi takva struktura bila učinkovitije rješenje od stvaranja nove banke za obranu, sigurnost i otpornost;</w:t>
      </w:r>
    </w:p>
    <w:p w14:paraId="41C08868" w14:textId="77777777" w:rsidR="003623BF" w:rsidRPr="0017180F" w:rsidRDefault="003623BF" w:rsidP="003623BF">
      <w:pPr>
        <w:pStyle w:val="NormalHanging12a"/>
      </w:pPr>
      <w:r w:rsidRPr="0017180F">
        <w:t>16.</w:t>
      </w:r>
      <w:r w:rsidRPr="0017180F">
        <w:tab/>
        <w:t>ističe važnost poboljšanja dostupnosti i usklađenosti fondova EU-a za potporu ulaganjima za trgovačka društva u području EDTIB-a, posebno za start-</w:t>
      </w:r>
      <w:proofErr w:type="spellStart"/>
      <w:r w:rsidRPr="0017180F">
        <w:t>up</w:t>
      </w:r>
      <w:proofErr w:type="spellEnd"/>
      <w:r w:rsidRPr="0017180F">
        <w:t xml:space="preserve"> poduzeća te MSP-ove, i to postupnom prilagodbom kriterija prihvatljivosti uzimajući u obzir ambicije iz Strategije za europsku obrambenu industriju i EDIP-a, pojednostavnjenjem postupaka podnošenja zahtjeva i usklađivanjem ciljeva programa rada; ističe važnost prilagodbe rokova i zahtjeva za takva sredstva različitim inovacijskim ciklusima i tempu različitih vrsta područja sposobnosti; poziva države članice i regije da osnaže uloge svojih gospodarskih i industrijskih komora u podupiranju MSP-ova u području EDTIB-a kad je riječ o istraživanju i pristupu financijskim sredstvima EU-a;</w:t>
      </w:r>
    </w:p>
    <w:p w14:paraId="123DD53A" w14:textId="77777777" w:rsidR="003623BF" w:rsidRPr="0017180F" w:rsidRDefault="003623BF" w:rsidP="003623BF">
      <w:pPr>
        <w:pStyle w:val="Normal12a24b"/>
        <w:tabs>
          <w:tab w:val="left" w:pos="567"/>
        </w:tabs>
        <w:ind w:left="567" w:hanging="567"/>
        <w:rPr>
          <w:bCs/>
          <w:iCs/>
          <w:lang w:val="hr-HR"/>
        </w:rPr>
      </w:pPr>
      <w:r w:rsidRPr="0017180F">
        <w:rPr>
          <w:lang w:val="hr-HR"/>
        </w:rPr>
        <w:t>17.</w:t>
      </w:r>
      <w:r w:rsidRPr="0017180F">
        <w:rPr>
          <w:lang w:val="hr-HR"/>
        </w:rPr>
        <w:tab/>
        <w:t>poziva Komisiju da pruži jasne smjernice i predloške za nove vrste sporazuma, koordinaciju i zajedničku upotrebu među konkurentima u obrambenom sektoru kako bi se omogućila veća ulaganja trgovačkih društava iz područja EDTIB-a u istraživanje i razvoj;</w:t>
      </w:r>
    </w:p>
    <w:p w14:paraId="6929C492" w14:textId="77777777" w:rsidR="003623BF" w:rsidRPr="0017180F" w:rsidRDefault="003623BF" w:rsidP="003623BF">
      <w:pPr>
        <w:widowControl/>
        <w:spacing w:after="240"/>
        <w:ind w:left="567" w:hanging="567"/>
      </w:pPr>
      <w:r w:rsidRPr="0017180F">
        <w:t>18.</w:t>
      </w:r>
      <w:r w:rsidRPr="0017180F">
        <w:tab/>
        <w:t xml:space="preserve">poziva na razvoj instrumenta za potporu javnim i privatnim ulaganjima u obranu na temelju jamstava iz proračuna EU-a po uzoru na program </w:t>
      </w:r>
      <w:proofErr w:type="spellStart"/>
      <w:r w:rsidRPr="0017180F">
        <w:t>InvestEU</w:t>
      </w:r>
      <w:proofErr w:type="spellEnd"/>
      <w:r w:rsidRPr="0017180F">
        <w:t xml:space="preserve">; pozdravlja činjenicu da je Komisija u kratkom roku donijela prijedlog za donošenje delegiranog akta o smjernicama o ulaganjima za fond </w:t>
      </w:r>
      <w:proofErr w:type="spellStart"/>
      <w:r w:rsidRPr="0017180F">
        <w:t>InvestEU</w:t>
      </w:r>
      <w:proofErr w:type="spellEnd"/>
      <w:r w:rsidRPr="0017180F">
        <w:t xml:space="preserve"> u pogledu strateških ulaganja u području obrane</w:t>
      </w:r>
      <w:r w:rsidRPr="0017180F">
        <w:rPr>
          <w:rStyle w:val="FootnoteReference"/>
          <w:bCs/>
          <w:iCs/>
        </w:rPr>
        <w:footnoteReference w:id="7"/>
      </w:r>
      <w:r w:rsidRPr="0017180F">
        <w:t>, u kojemu se poziva na uklanjanje nepotrebnog administrativnog opterećenja u vezi s upotrebom proračunskih jamstava i financijskih instrumenata za potporu ulaganjima u obranu, čime se omogućuje dodatno pojednostavnjenje uz poštovanje potrebe za zaštitom sigurnosti EU-a i država članica; smatra da bi se tim mjerama zajedno osigurala brza mobilizacija financijskih sredstava te uspostava stabilnog i prilagodljivog okvira za ulaganja u europsku obrambenu industriju;</w:t>
      </w:r>
    </w:p>
    <w:p w14:paraId="0266FF37" w14:textId="77777777" w:rsidR="003623BF" w:rsidRPr="0017180F" w:rsidRDefault="003623BF" w:rsidP="003623BF">
      <w:pPr>
        <w:pStyle w:val="Normal12a24b"/>
        <w:tabs>
          <w:tab w:val="left" w:pos="567"/>
        </w:tabs>
        <w:ind w:left="567" w:hanging="567"/>
        <w:rPr>
          <w:lang w:val="hr-HR"/>
        </w:rPr>
      </w:pPr>
      <w:r w:rsidRPr="0017180F">
        <w:rPr>
          <w:lang w:val="hr-HR"/>
        </w:rPr>
        <w:t>19.</w:t>
      </w:r>
      <w:r w:rsidRPr="0017180F">
        <w:rPr>
          <w:lang w:val="hr-HR"/>
        </w:rPr>
        <w:tab/>
        <w:t>smatra da je upotreba bankovnih fondova u zajmovima, jamstvima i kvalitetnim portfeljima likvidnosti presudna za dugoročna dospijeća u rashodima za obranu kojima će se osigurati predvidljivost i stabilnost; ponavlja da bi ubrzanje dovršetka uspostave unije za štednju i ulaganja doprinijelo mobilizaciji privatnog kapitala i poboljšanju pristupa financiranju;</w:t>
      </w:r>
    </w:p>
    <w:p w14:paraId="4459A338" w14:textId="77777777" w:rsidR="003623BF" w:rsidRPr="0017180F" w:rsidRDefault="003623BF" w:rsidP="003623BF">
      <w:pPr>
        <w:pStyle w:val="Normal12a24b"/>
        <w:rPr>
          <w:i/>
          <w:iCs/>
          <w:lang w:val="hr-HR"/>
        </w:rPr>
      </w:pPr>
      <w:r w:rsidRPr="0017180F">
        <w:rPr>
          <w:rStyle w:val="Bold"/>
          <w:i/>
          <w:lang w:val="hr-HR"/>
        </w:rPr>
        <w:lastRenderedPageBreak/>
        <w:t>Uklanjanje prepreka za privatna ulaganja u obranu</w:t>
      </w:r>
    </w:p>
    <w:p w14:paraId="3DD764B4" w14:textId="77777777" w:rsidR="003623BF" w:rsidRPr="0017180F" w:rsidRDefault="003623BF" w:rsidP="003623BF">
      <w:pPr>
        <w:pStyle w:val="Normal12a24b"/>
        <w:rPr>
          <w:lang w:val="hr-HR"/>
        </w:rPr>
      </w:pPr>
      <w:r w:rsidRPr="0017180F">
        <w:rPr>
          <w:rStyle w:val="Italic"/>
          <w:lang w:val="hr-HR"/>
        </w:rPr>
        <w:t>Pojednostavnjenje pristupa kratkoročnom financiranju za trgovačka društva u području EDTIB-a</w:t>
      </w:r>
    </w:p>
    <w:p w14:paraId="0B3F1134" w14:textId="77777777" w:rsidR="003623BF" w:rsidRPr="0017180F" w:rsidRDefault="003623BF" w:rsidP="003623BF">
      <w:pPr>
        <w:pStyle w:val="NormalHanging12a"/>
      </w:pPr>
      <w:r w:rsidRPr="0017180F">
        <w:t>20.</w:t>
      </w:r>
      <w:r w:rsidRPr="0017180F">
        <w:tab/>
        <w:t>poziva Opservatorij EU-a za plaćanja da provede studiju o poštovanju rokova za plaćanje u okviru EDTIB-a u odnosu na ostale grane industrije te da rangira trgovačka društva koja se najstrože pridržavaju pravila u tom pogledu;</w:t>
      </w:r>
    </w:p>
    <w:p w14:paraId="0D83BA21" w14:textId="77777777" w:rsidR="003623BF" w:rsidRPr="0017180F" w:rsidRDefault="003623BF" w:rsidP="003623BF">
      <w:pPr>
        <w:pStyle w:val="NormalHanging12a"/>
      </w:pPr>
      <w:r w:rsidRPr="0017180F">
        <w:t>21.</w:t>
      </w:r>
      <w:r w:rsidRPr="0017180F">
        <w:tab/>
        <w:t xml:space="preserve">poziva EIB da uz potporu država članica dosegne iznos od četiri milijarde EUR za kratkoročne zajmove, s jamstvima za rizik do 50 %, te poziva na ublažavanje i pojednostavnjenje kriterija EIB-a za preuzimanje obveza u području obrane te na proširenje kriterija prihvatljivosti na neizravne </w:t>
      </w:r>
      <w:proofErr w:type="spellStart"/>
      <w:r w:rsidRPr="0017180F">
        <w:t>podugovaratelje</w:t>
      </w:r>
      <w:proofErr w:type="spellEnd"/>
      <w:r w:rsidRPr="0017180F">
        <w:t>;</w:t>
      </w:r>
    </w:p>
    <w:p w14:paraId="11884D59" w14:textId="77777777" w:rsidR="003623BF" w:rsidRPr="0017180F" w:rsidRDefault="003623BF" w:rsidP="003623BF">
      <w:pPr>
        <w:pStyle w:val="Normal12a24b"/>
        <w:rPr>
          <w:lang w:val="hr-HR"/>
        </w:rPr>
      </w:pPr>
      <w:r w:rsidRPr="0017180F">
        <w:rPr>
          <w:rStyle w:val="Italic"/>
          <w:lang w:val="hr-HR"/>
        </w:rPr>
        <w:t>Povećanje sposobnosti privatnih ulagača da financiraju obranu osiguravanjem usklađenosti s održivim financiranjem</w:t>
      </w:r>
    </w:p>
    <w:p w14:paraId="350BFC24" w14:textId="77777777" w:rsidR="003623BF" w:rsidRPr="0017180F" w:rsidRDefault="003623BF" w:rsidP="003623BF">
      <w:pPr>
        <w:pStyle w:val="NormalHanging12a"/>
      </w:pPr>
      <w:r w:rsidRPr="0017180F">
        <w:t>22.</w:t>
      </w:r>
      <w:r w:rsidRPr="0017180F">
        <w:tab/>
        <w:t>napominje da, unatoč naporima uloženima od početka rata u Ukrajini, brojni ulagači i dalje nisu voljni financirati obranu, među ostalim zbog nesigurnosti u pogledu primjene okolišnih, socijalnih i upravljačkih kriterija, te da je EDTIB i dalje diskriminiran na financijskim tržištima zbog pogrešne percepcije o postojanju rizika za ugled; podsjeća da mnoge obrambene tehnologije imaju dvojnu namjenu i stoga donose znatne koristi od prelijevanja za civilne inovacije i šire gospodarstvo EU-a; naglašava da je potrebno pozabaviti se pitanjem trajno negativne percepcije financiranja obrane, posebno u bankarskom sektoru; apelira na Komisiju i države članice da pojačaju svoje aktivnosti informiranja i podizanja razine osviještenosti o financiranju EDTIB-a kako bi se financijskim akterima omogućilo da postanu stručniji u analizi i obradi financiranja povezanog s obranom; potiče Komisiju da intenzivira napore za poboljšanje informiranosti i osviještenosti o financiranju EDTIB-a;</w:t>
      </w:r>
    </w:p>
    <w:p w14:paraId="27D4BC62" w14:textId="06EBD353" w:rsidR="003623BF" w:rsidRPr="0017180F" w:rsidRDefault="003623BF" w:rsidP="003623BF">
      <w:pPr>
        <w:pStyle w:val="NormalHanging12a"/>
      </w:pPr>
      <w:r w:rsidRPr="0017180F">
        <w:t>23.</w:t>
      </w:r>
      <w:r w:rsidRPr="0017180F">
        <w:tab/>
        <w:t xml:space="preserve">prima na znanje Delegiranu uredbu Komisije </w:t>
      </w:r>
      <w:r w:rsidR="00F4062D">
        <w:t>(EU) 2025/1775 od 28. kolovoza 2025.</w:t>
      </w:r>
      <w:r w:rsidRPr="0017180F">
        <w:t xml:space="preserve"> o izmjeni Delegirane uredbe (EU) 2020/1818 u pogledu definicije zabranjenog oružja</w:t>
      </w:r>
      <w:r w:rsidRPr="0017180F">
        <w:rPr>
          <w:rStyle w:val="FootnoteReference"/>
        </w:rPr>
        <w:footnoteReference w:id="8"/>
      </w:r>
      <w:r w:rsidRPr="0017180F">
        <w:t>, kojom se pojam „kontroverzno oružje” zamjenjuje pojmom „zabranjeno oružje” i koja je donesena u okviru skupnog paketa za obrambenu pripravnost; ističe činjenicu da je ta definicija ograničena na oružje koje je izričito zabranjeno obvezujućim međunarodnim konvencijama; pozdravlja pravna pojašnjenja uvrštena u skupni paket za obrambenu pripravnost i prepoznaje njihov značaj u postizanju ciljeva EU-a u pogledu financiranja obrane; poziva privatne financijske aktere da svoja isključenja ograniče na taj konsolidirani popis i da objave svoju ulagačku politiku; predlaže da se na pojedinačnoj osnovi preispita uključivanje u financiranje EU-a aktera čija ulagačka politika izlazi iz okvira tog isključenja;</w:t>
      </w:r>
    </w:p>
    <w:p w14:paraId="274BC422" w14:textId="77777777" w:rsidR="003623BF" w:rsidRPr="0017180F" w:rsidRDefault="003623BF" w:rsidP="003623BF">
      <w:pPr>
        <w:pStyle w:val="NormalHanging12a"/>
      </w:pPr>
      <w:r w:rsidRPr="0017180F">
        <w:t>24.</w:t>
      </w:r>
      <w:r w:rsidRPr="0017180F">
        <w:tab/>
        <w:t xml:space="preserve">podsjeća da je okvir EU-a za održivo financiranje osmišljen za usmjeravanje tokova kapitala prema održivim aktivnostima bez ograničavanja financiranja obrambenog sektora, kako je Komisija ponovno potvrdila u svojoj obavijesti od 18. kolovoza 2025. u kojoj se potvrđuje da isključivanje obrambenih aktivnosti iz taksonomije EU-a ne sprečava privatne ili javne ulagače da ulažu u obrambeni sektor; poziva Komisiju da javno i nedvojbeno potvrdi da se zelenom taksonomijom EU-a ne zabranjuje, ne </w:t>
      </w:r>
      <w:r w:rsidRPr="0017180F">
        <w:lastRenderedPageBreak/>
        <w:t>ograničava i ne odvraća od ulaganja u obranu; naglašava da su obrana i sigurnost preduvjeti za održiv razvoj;</w:t>
      </w:r>
    </w:p>
    <w:p w14:paraId="20B01F99" w14:textId="77777777" w:rsidR="003623BF" w:rsidRPr="0017180F" w:rsidRDefault="003623BF" w:rsidP="003623BF">
      <w:pPr>
        <w:pStyle w:val="Normal12a24b"/>
        <w:rPr>
          <w:lang w:val="hr-HR"/>
        </w:rPr>
      </w:pPr>
      <w:r w:rsidRPr="0017180F">
        <w:rPr>
          <w:rStyle w:val="Italic"/>
          <w:lang w:val="hr-HR"/>
        </w:rPr>
        <w:t>Otvaranje mogućnosti izlaska imovine u području obrane na financijskim tržištima mobilizacijom privatnog kapitala</w:t>
      </w:r>
    </w:p>
    <w:p w14:paraId="1FB902DB" w14:textId="77777777" w:rsidR="003623BF" w:rsidRPr="0017180F" w:rsidRDefault="003623BF" w:rsidP="003623BF">
      <w:pPr>
        <w:pStyle w:val="NormalHanging12a"/>
      </w:pPr>
      <w:r w:rsidRPr="0017180F">
        <w:t>25.</w:t>
      </w:r>
      <w:r w:rsidRPr="0017180F">
        <w:tab/>
      </w:r>
      <w:bookmarkStart w:id="11" w:name="_Hlk215501491"/>
      <w:r w:rsidRPr="0017180F">
        <w:t>smatra da je od presudne važnosti podržati europsko tržište specijaliziranih ulagača koji trgovačkim društvima, a posebno start-</w:t>
      </w:r>
      <w:proofErr w:type="spellStart"/>
      <w:r w:rsidRPr="0017180F">
        <w:t>up</w:t>
      </w:r>
      <w:proofErr w:type="spellEnd"/>
      <w:r w:rsidRPr="0017180F">
        <w:t xml:space="preserve"> poduzećima, MSP-ovima i poduzećima srednje tržišne kapitalizacije, u području EDTIB-a i ukrajinskog DTIB-a, nude kontinuirano financiranje (kreditiranje, privatni dug i vlasnički kapital)</w:t>
      </w:r>
      <w:bookmarkEnd w:id="11"/>
      <w:r w:rsidRPr="0017180F">
        <w:t>; pozdravlja inicijativu Komisije i EIB-a da se uspostavi fond pod nazivom „</w:t>
      </w:r>
      <w:proofErr w:type="spellStart"/>
      <w:r w:rsidRPr="0017180F">
        <w:t>Defence</w:t>
      </w:r>
      <w:proofErr w:type="spellEnd"/>
      <w:r w:rsidRPr="0017180F">
        <w:t xml:space="preserve"> </w:t>
      </w:r>
      <w:proofErr w:type="spellStart"/>
      <w:r w:rsidRPr="0017180F">
        <w:t>Equity</w:t>
      </w:r>
      <w:proofErr w:type="spellEnd"/>
      <w:r w:rsidRPr="0017180F">
        <w:t xml:space="preserve"> </w:t>
      </w:r>
      <w:proofErr w:type="spellStart"/>
      <w:r w:rsidRPr="0017180F">
        <w:t>Facility</w:t>
      </w:r>
      <w:proofErr w:type="spellEnd"/>
      <w:r w:rsidRPr="0017180F">
        <w:t>” (instrument vlasničkog kapitala u području obrane), s proračunom od 175 milijuna EUR za razdoblje 2024. – 2027.; smatra, međutim, da je taj fond potpuno nedovoljan s obzirom na potrebe za financiranjem i poziva EIB da ispuni želje država članica, kako je ponovljeno u zaključcima Vijeća, i da poveća taj proračun na jednu milijardu EUR kako bi bolje odgovarao potrebama EDTIB-a za vlasničkim kapitalom i njegovu lancu vrijednosti, s posebnim naglaskom na manjim akterima koji se suočavaju s najvećim manjkom financijskih sredstava; potiče EIB da proširi taj instrument na ukrajinski DTIB te da ga oblikuje tako da se njime potiču partnerstva i zajednički pothvati među trgovačkim društvima u području EDTIB-a i ukrajinskog DTIB-a;</w:t>
      </w:r>
    </w:p>
    <w:p w14:paraId="17AF4FF9" w14:textId="77777777" w:rsidR="003623BF" w:rsidRPr="0017180F" w:rsidRDefault="003623BF" w:rsidP="003623BF">
      <w:pPr>
        <w:pStyle w:val="NormalHanging12a"/>
        <w:rPr>
          <w:bCs/>
          <w:iCs/>
        </w:rPr>
      </w:pPr>
      <w:r w:rsidRPr="0017180F">
        <w:t>26.</w:t>
      </w:r>
      <w:r w:rsidRPr="0017180F">
        <w:tab/>
        <w:t>poziva Komisiju i Grupu EIB-a da operacionaliziraju potporu za projekte s dvojnom namjenom, i to poboljšanjem pristupa toj potpori za pothvate i MSP-ove u ranoj fazi, pojednostavnjenjem postupaka, pružanjem jasnih smjernica ulagačima i redovitim izvješćivanjem o prihvaćanju i geografskoj raspodjeli potpore; poziva na učinkovitu provedbu ciljanim pozivima i jasnim smjernicama za upravljačka tijela kako bi regije s manje razvijenim obrambenim ekosustavima mogle iskoristiti te mogućnosti; poziva države članice da pri izradi programa uzmu u obzir te mogućnosti i da se koordiniraju s Komisijom i EIB-om kako bi se razvile regionalne platforme za ulaganja, pri čemu treba osigurati komplementarnost i izbjegavati dvostruko financiranje;</w:t>
      </w:r>
    </w:p>
    <w:p w14:paraId="3B9BB0B7" w14:textId="77777777" w:rsidR="003623BF" w:rsidRPr="0017180F" w:rsidRDefault="003623BF" w:rsidP="003623BF">
      <w:pPr>
        <w:pStyle w:val="NormalHanging12a"/>
      </w:pPr>
      <w:r w:rsidRPr="0017180F">
        <w:t>27.</w:t>
      </w:r>
      <w:r w:rsidRPr="0017180F">
        <w:tab/>
        <w:t>poziva Komisiju da u okviru svoje politike tržišnog natjecanja uzme u obzir obrambenu pripravnost, sigurnost opskrbe, potencijal za poticanje inovacija i smanjenje ovisnosti o državama koje nisu članice EU-a; istodobno poziva države članice da osiguraju da je njihova nabava obrambenih proizvoda otvorena i konkurentna za EDTIB u cjelini; poziva države članice da poboljšaju nadzor nad izravnim ulaganjem aktera iz trećih zemalja;</w:t>
      </w:r>
    </w:p>
    <w:p w14:paraId="5ED72B3B" w14:textId="77777777" w:rsidR="003623BF" w:rsidRPr="0017180F" w:rsidRDefault="003623BF" w:rsidP="003623BF">
      <w:pPr>
        <w:pStyle w:val="NormalHanging12a"/>
      </w:pPr>
      <w:r w:rsidRPr="0017180F">
        <w:t>28.</w:t>
      </w:r>
      <w:r w:rsidRPr="0017180F">
        <w:tab/>
        <w:t>poziva Komisiju da ojača programe industrijske suradnje i transnacionalna partnerstva, uključujući platforme za lanac opskrbe i projekte zajedničkog razvoja, kako bi se integrirali proizvodni lanci, iskoristilo nacionalno stručno znanje, promicala ekonomija razmjera i povećala globalna konkurentnost EDTIB-a;</w:t>
      </w:r>
    </w:p>
    <w:p w14:paraId="7FA24C99" w14:textId="77777777" w:rsidR="003623BF" w:rsidRPr="0017180F" w:rsidRDefault="003623BF" w:rsidP="003623BF">
      <w:pPr>
        <w:pStyle w:val="NormalHanging12a"/>
      </w:pPr>
      <w:r w:rsidRPr="0017180F">
        <w:t>29.</w:t>
      </w:r>
      <w:r w:rsidRPr="0017180F">
        <w:tab/>
        <w:t>ističe da su za financiranje obrane važna funkcionalna tržišta kapitala; poziva Komisiju i države članice da ubrzaju napredak u pogledu unije tržišta kapitala i unije za štednju i ulaganja, i to konkretno poboljšanjem pristupa vlasničkom kapitalu, poduzetničkom kapitalu i financiranju za MSP-ove u obrambenom sektoru; ističe da su unija tržišta kapitala i unija za štednju i ulaganja ključne za povećanje financiranja obrane;</w:t>
      </w:r>
    </w:p>
    <w:p w14:paraId="10618571" w14:textId="77777777" w:rsidR="003623BF" w:rsidRPr="0017180F" w:rsidRDefault="003623BF" w:rsidP="003623BF">
      <w:pPr>
        <w:pStyle w:val="NormalHanging12a"/>
      </w:pPr>
      <w:r w:rsidRPr="0017180F">
        <w:t>30.</w:t>
      </w:r>
      <w:r w:rsidRPr="0017180F">
        <w:tab/>
        <w:t xml:space="preserve">ističe važnost ubrzavanja napretka u dovršetku uspostave unije za štednju i ulaganja radi </w:t>
      </w:r>
      <w:r w:rsidRPr="0017180F">
        <w:lastRenderedPageBreak/>
        <w:t>podupiranja dubljeg, likvidnijeg i integriranijeg financijskog sustava EU-a u kojemu se štednja učinkovitije usmjerava u produktivna ulaganja kao što su ulaganja u obrambenu industriju EU-a; ističe da obrambena industrija EU-a treba znatno povećati kapacitete kako bi zadovoljila golem porast potražnje za vojnim proizvodima;</w:t>
      </w:r>
    </w:p>
    <w:p w14:paraId="0848FD45" w14:textId="77777777" w:rsidR="003623BF" w:rsidRPr="0017180F" w:rsidRDefault="003623BF" w:rsidP="003623BF">
      <w:pPr>
        <w:pStyle w:val="NormalHanging12a"/>
      </w:pPr>
      <w:r w:rsidRPr="0017180F">
        <w:t>31.</w:t>
      </w:r>
      <w:r w:rsidRPr="0017180F">
        <w:tab/>
        <w:t>pozdravlja uvođenje oznake „</w:t>
      </w:r>
      <w:proofErr w:type="spellStart"/>
      <w:r w:rsidRPr="0017180F">
        <w:t>Finance</w:t>
      </w:r>
      <w:proofErr w:type="spellEnd"/>
      <w:r w:rsidRPr="0017180F">
        <w:t xml:space="preserve"> Europe”; napominje da se tom oznakom, kojom se privatna štednja nastoji usmjeriti prema ulaganjima u europsko realno gospodarstvo, potiče financiranje trgovačkih društava vlasničkim kapitalom; potiče Komisiju da podrži tu inicijativu predlaganjem europske oznake u okviru unije za štednju i ulaganja te da istodobno osigura da se time ne stvara dodatno administrativno opterećenje;</w:t>
      </w:r>
    </w:p>
    <w:p w14:paraId="732902E6" w14:textId="77777777" w:rsidR="003623BF" w:rsidRPr="0017180F" w:rsidRDefault="003623BF" w:rsidP="003623BF">
      <w:pPr>
        <w:pStyle w:val="NormalCenter12a"/>
        <w:ind w:left="567" w:hanging="567"/>
        <w:jc w:val="left"/>
      </w:pPr>
      <w:r w:rsidRPr="0017180F">
        <w:t>32.</w:t>
      </w:r>
      <w:r w:rsidRPr="0017180F">
        <w:tab/>
        <w:t>pozdravlja preporuku Komisije o štedno-investicijskim računima</w:t>
      </w:r>
      <w:r w:rsidRPr="0017180F">
        <w:rPr>
          <w:rStyle w:val="FootnoteReference"/>
        </w:rPr>
        <w:footnoteReference w:id="9"/>
      </w:r>
      <w:r w:rsidRPr="0017180F">
        <w:t>; ističe činjenicu da je cilj štedno-investicijskih računa povećati sudjelovanje malih ulagača na tržištima kapitala EU-a, čime bi se doprinijelo jačanju tih tržišta i omogućilo povećanje baze ulagača u EU-u koja bi pomogla u financiranju strateških prioriteta EU-a, uključujući obranu; potiče Komisiju da nastavi podupirati tu inicijativu poziva države članice da slijede preporuku Komisije o povećanju dostupnosti štedno-investicijskih računa;</w:t>
      </w:r>
    </w:p>
    <w:p w14:paraId="076132A9" w14:textId="77777777" w:rsidR="003623BF" w:rsidRPr="0017180F" w:rsidRDefault="003623BF" w:rsidP="003623BF">
      <w:pPr>
        <w:pStyle w:val="NormalHanging12a"/>
      </w:pPr>
      <w:r w:rsidRPr="0017180F">
        <w:t>33.</w:t>
      </w:r>
      <w:r w:rsidRPr="0017180F">
        <w:tab/>
        <w:t>pozdravlja trenutačni rad čiji je cilj upotreba zamrznute ruske imovine za financiranje obrambenih napora Ukrajine, uz istodobno rješavanje pitanja financijske stabilnosti i sporova;</w:t>
      </w:r>
    </w:p>
    <w:p w14:paraId="36E12FAC" w14:textId="77777777" w:rsidR="003623BF" w:rsidRPr="0017180F" w:rsidRDefault="003623BF" w:rsidP="003623BF">
      <w:pPr>
        <w:pStyle w:val="NormalCenter12a"/>
        <w:tabs>
          <w:tab w:val="left" w:pos="567"/>
        </w:tabs>
        <w:ind w:left="567" w:hanging="567"/>
        <w:jc w:val="left"/>
        <w:rPr>
          <w:bCs/>
          <w:iCs/>
        </w:rPr>
      </w:pPr>
      <w:r w:rsidRPr="0017180F">
        <w:t>34.</w:t>
      </w:r>
      <w:r w:rsidRPr="0017180F">
        <w:tab/>
        <w:t>poziva na jedinstvenu predanost država članica povećanju potrošnje za obranu u skladu s ishodima sastanka na vrhu NATO-a održanog u Haagu 2025., na kojem su se saveznici NATO-a obvezali da će do 2035. godišnje ulagati 5 % BDP-a u temeljne obrambene zahtjeve te u rashode povezane s obranom i sigurnošću; apelira na države članice da potiču europske obrambene inicijative, poboljšavaju interoperabilnost i ulažu u zajedničku nabavu usklađenu sa zajedničkim strateškim prioritetima, uključujući proizvodnju streljiva;</w:t>
      </w:r>
    </w:p>
    <w:p w14:paraId="2BE1091C" w14:textId="0A28B6B1" w:rsidR="00832385" w:rsidRDefault="00832385" w:rsidP="00832385">
      <w:pPr>
        <w:pStyle w:val="NormalCenter12a"/>
        <w:widowControl/>
      </w:pPr>
      <w:r>
        <w:t>°</w:t>
      </w:r>
    </w:p>
    <w:p w14:paraId="086D800E" w14:textId="6BD65CF8" w:rsidR="00832385" w:rsidRDefault="00832385" w:rsidP="00832385">
      <w:pPr>
        <w:pStyle w:val="NormalCenter12a"/>
        <w:widowControl/>
      </w:pPr>
      <w:r>
        <w:t>°     °</w:t>
      </w:r>
    </w:p>
    <w:p w14:paraId="5DC964C9" w14:textId="4D38AF34" w:rsidR="0017180F" w:rsidRPr="0017180F" w:rsidRDefault="003623BF" w:rsidP="0017180F">
      <w:pPr>
        <w:pStyle w:val="NormalHanging12a"/>
      </w:pPr>
      <w:r w:rsidRPr="0017180F">
        <w:t>35.</w:t>
      </w:r>
      <w:r w:rsidRPr="0017180F">
        <w:tab/>
        <w:t>nalaže svojoj predsjednici da ovu Rezoluciju proslijedi Vijeću i Komisiji.</w:t>
      </w:r>
    </w:p>
    <w:p w14:paraId="6A2A9E8B" w14:textId="34396885" w:rsidR="00E365E1" w:rsidRPr="0017180F" w:rsidRDefault="00E365E1" w:rsidP="008164B1"/>
    <w:sectPr w:rsidR="00E365E1" w:rsidRPr="0017180F" w:rsidSect="001718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A4882" w14:textId="77777777" w:rsidR="008164B1" w:rsidRPr="0017180F" w:rsidRDefault="008164B1">
      <w:r w:rsidRPr="0017180F">
        <w:separator/>
      </w:r>
    </w:p>
  </w:endnote>
  <w:endnote w:type="continuationSeparator" w:id="0">
    <w:p w14:paraId="03406FC6" w14:textId="77777777" w:rsidR="008164B1" w:rsidRPr="0017180F" w:rsidRDefault="008164B1">
      <w:r w:rsidRPr="001718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415B" w14:textId="77777777" w:rsidR="00064002" w:rsidRPr="001718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89D73" w14:textId="77777777" w:rsidR="00064002" w:rsidRPr="001718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DDC3" w14:textId="77777777" w:rsidR="00064002" w:rsidRPr="001718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71004" w14:textId="77777777" w:rsidR="008164B1" w:rsidRPr="0017180F" w:rsidRDefault="008164B1">
      <w:r w:rsidRPr="0017180F">
        <w:separator/>
      </w:r>
    </w:p>
  </w:footnote>
  <w:footnote w:type="continuationSeparator" w:id="0">
    <w:p w14:paraId="66A48D4A" w14:textId="77777777" w:rsidR="008164B1" w:rsidRPr="0017180F" w:rsidRDefault="008164B1">
      <w:r w:rsidRPr="0017180F">
        <w:continuationSeparator/>
      </w:r>
    </w:p>
  </w:footnote>
  <w:footnote w:id="1">
    <w:p w14:paraId="122C57BA" w14:textId="612B767B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17180F">
        <w:rPr>
          <w:sz w:val="24"/>
          <w:lang w:val="hr-HR"/>
        </w:rPr>
        <w:t xml:space="preserve">Europska komisija: Glavna uprava za obrambenu industriju i svemir, </w:t>
      </w:r>
      <w:r w:rsidRPr="0017180F">
        <w:rPr>
          <w:i/>
          <w:sz w:val="24"/>
          <w:lang w:val="hr-HR"/>
        </w:rPr>
        <w:t xml:space="preserve">Access to </w:t>
      </w:r>
      <w:proofErr w:type="spellStart"/>
      <w:r w:rsidRPr="0017180F">
        <w:rPr>
          <w:i/>
          <w:sz w:val="24"/>
          <w:lang w:val="hr-HR"/>
        </w:rPr>
        <w:t>equity</w:t>
      </w:r>
      <w:proofErr w:type="spellEnd"/>
      <w:r w:rsidRPr="0017180F">
        <w:rPr>
          <w:i/>
          <w:sz w:val="24"/>
          <w:lang w:val="hr-HR"/>
        </w:rPr>
        <w:t xml:space="preserve"> </w:t>
      </w:r>
      <w:proofErr w:type="spellStart"/>
      <w:r w:rsidRPr="0017180F">
        <w:rPr>
          <w:i/>
          <w:sz w:val="24"/>
          <w:lang w:val="hr-HR"/>
        </w:rPr>
        <w:t>financing</w:t>
      </w:r>
      <w:proofErr w:type="spellEnd"/>
      <w:r w:rsidRPr="0017180F">
        <w:rPr>
          <w:i/>
          <w:sz w:val="24"/>
          <w:lang w:val="hr-HR"/>
        </w:rPr>
        <w:t xml:space="preserve"> for European </w:t>
      </w:r>
      <w:proofErr w:type="spellStart"/>
      <w:r w:rsidRPr="0017180F">
        <w:rPr>
          <w:i/>
          <w:sz w:val="24"/>
          <w:lang w:val="hr-HR"/>
        </w:rPr>
        <w:t>defence</w:t>
      </w:r>
      <w:proofErr w:type="spellEnd"/>
      <w:r w:rsidRPr="0017180F">
        <w:rPr>
          <w:i/>
          <w:sz w:val="24"/>
          <w:lang w:val="hr-HR"/>
        </w:rPr>
        <w:t xml:space="preserve"> </w:t>
      </w:r>
      <w:proofErr w:type="spellStart"/>
      <w:r w:rsidRPr="0017180F">
        <w:rPr>
          <w:i/>
          <w:sz w:val="24"/>
          <w:lang w:val="hr-HR"/>
        </w:rPr>
        <w:t>SMEs</w:t>
      </w:r>
      <w:proofErr w:type="spellEnd"/>
      <w:r w:rsidRPr="0017180F">
        <w:rPr>
          <w:sz w:val="24"/>
          <w:lang w:val="hr-HR"/>
        </w:rPr>
        <w:t xml:space="preserve"> (Pristup financiranju vlasničkim kapitalom za MSP-ove u području europske obrane), Ured za publikacije Europske unije, 2024., </w:t>
      </w:r>
      <w:hyperlink r:id="rId1" w:history="1">
        <w:r w:rsidRPr="0017180F">
          <w:rPr>
            <w:rStyle w:val="Hyperlink"/>
            <w:sz w:val="24"/>
            <w:lang w:val="hr-HR"/>
          </w:rPr>
          <w:t>https://data.europa.eu/doi/10.2889/698738</w:t>
        </w:r>
      </w:hyperlink>
      <w:r w:rsidRPr="0017180F">
        <w:rPr>
          <w:sz w:val="24"/>
          <w:lang w:val="hr-HR"/>
        </w:rPr>
        <w:t>.</w:t>
      </w:r>
    </w:p>
  </w:footnote>
  <w:footnote w:id="2">
    <w:p w14:paraId="4A2E32D7" w14:textId="09DB2145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17180F">
        <w:rPr>
          <w:sz w:val="24"/>
          <w:lang w:val="hr-HR"/>
        </w:rPr>
        <w:t>Usvojeni tekstovi, P10_TA(2025)0281.</w:t>
      </w:r>
    </w:p>
  </w:footnote>
  <w:footnote w:id="3">
    <w:p w14:paraId="69614BC1" w14:textId="193B8C41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17180F">
        <w:rPr>
          <w:sz w:val="24"/>
          <w:lang w:val="hr-HR"/>
        </w:rPr>
        <w:t xml:space="preserve">SL L, 2025/1106, 28.5.2025., ELI: </w:t>
      </w:r>
      <w:hyperlink r:id="rId2" w:history="1">
        <w:r w:rsidRPr="00A70BD5">
          <w:rPr>
            <w:rStyle w:val="Hyperlink"/>
            <w:sz w:val="24"/>
            <w:lang w:val="hr-HR"/>
          </w:rPr>
          <w:t>http://data.europa.eu/eli/reg/2025/1106/oj</w:t>
        </w:r>
      </w:hyperlink>
      <w:r w:rsidRPr="0017180F">
        <w:rPr>
          <w:sz w:val="24"/>
          <w:lang w:val="hr-HR"/>
        </w:rPr>
        <w:t>.</w:t>
      </w:r>
    </w:p>
  </w:footnote>
  <w:footnote w:id="4">
    <w:p w14:paraId="54A4094C" w14:textId="1490431B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17180F">
        <w:rPr>
          <w:sz w:val="24"/>
          <w:lang w:val="hr-HR"/>
        </w:rPr>
        <w:t>Usvojeni tekstovi, P10_TA(2025)0034.</w:t>
      </w:r>
    </w:p>
  </w:footnote>
  <w:footnote w:id="5">
    <w:p w14:paraId="34058ED0" w14:textId="12F78107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17180F">
        <w:rPr>
          <w:sz w:val="24"/>
          <w:lang w:val="hr-HR"/>
        </w:rPr>
        <w:t>Usvojeni tekstovi, P10_TA(2025)0145.</w:t>
      </w:r>
    </w:p>
  </w:footnote>
  <w:footnote w:id="6">
    <w:p w14:paraId="5444921C" w14:textId="57B313C3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A70BD5">
        <w:rPr>
          <w:rStyle w:val="FootnoteReference"/>
          <w:sz w:val="24"/>
          <w:lang w:val="hr-HR"/>
        </w:rPr>
        <w:footnoteRef/>
      </w:r>
      <w:r w:rsidR="0017180F" w:rsidRPr="00A70BD5">
        <w:rPr>
          <w:sz w:val="24"/>
          <w:lang w:val="hr-HR"/>
        </w:rPr>
        <w:t xml:space="preserve"> </w:t>
      </w:r>
      <w:r w:rsidR="0017180F" w:rsidRPr="00A70BD5">
        <w:rPr>
          <w:sz w:val="24"/>
          <w:lang w:val="hr-HR"/>
        </w:rPr>
        <w:tab/>
      </w:r>
      <w:r w:rsidRPr="00A70BD5">
        <w:rPr>
          <w:sz w:val="24"/>
          <w:lang w:val="hr-HR"/>
        </w:rPr>
        <w:t>Izvješće Komisije od 17. listopada 2024. naslovljeno „Četvrto godišnje izvješće o provjeri izravnih stranih ulaganja u Uniju” (COM(2024)0464).</w:t>
      </w:r>
      <w:r w:rsidRPr="00A70BD5">
        <w:rPr>
          <w:sz w:val="24"/>
          <w:u w:val="single" w:color="0000FF"/>
          <w:lang w:val="hr-HR"/>
        </w:rPr>
        <w:t xml:space="preserve"> </w:t>
      </w:r>
    </w:p>
  </w:footnote>
  <w:footnote w:id="7">
    <w:p w14:paraId="65A62020" w14:textId="7CC2BE73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9F1133">
        <w:rPr>
          <w:sz w:val="24"/>
          <w:szCs w:val="24"/>
          <w:lang w:val="hr-HR"/>
        </w:rPr>
        <w:t xml:space="preserve">Delegirana uredba Komisije (EU) </w:t>
      </w:r>
      <w:r w:rsidR="00F4062D" w:rsidRPr="009F1133">
        <w:rPr>
          <w:sz w:val="24"/>
          <w:szCs w:val="24"/>
          <w:lang w:val="hr-HR"/>
        </w:rPr>
        <w:t>2025/1774</w:t>
      </w:r>
      <w:r w:rsidRPr="009F1133">
        <w:rPr>
          <w:sz w:val="24"/>
          <w:szCs w:val="24"/>
          <w:lang w:val="hr-HR"/>
        </w:rPr>
        <w:t xml:space="preserve"> od 28. kolovoza 2025. o izmjeni Delegirane uredbe (EU) 2021/1078 u pogledu strateških ulaganja u području obrane utvrđenih u smjernicama o ulaganjima za fond </w:t>
      </w:r>
      <w:proofErr w:type="spellStart"/>
      <w:r w:rsidRPr="009F1133">
        <w:rPr>
          <w:sz w:val="24"/>
          <w:szCs w:val="24"/>
          <w:lang w:val="hr-HR"/>
        </w:rPr>
        <w:t>InvestEU</w:t>
      </w:r>
      <w:proofErr w:type="spellEnd"/>
      <w:r w:rsidRPr="009F1133">
        <w:rPr>
          <w:sz w:val="24"/>
          <w:szCs w:val="24"/>
          <w:lang w:val="hr-HR"/>
        </w:rPr>
        <w:t xml:space="preserve"> (</w:t>
      </w:r>
      <w:r w:rsidR="00F4062D" w:rsidRPr="009F1133">
        <w:rPr>
          <w:sz w:val="24"/>
          <w:szCs w:val="24"/>
          <w:lang w:val="hr-HR"/>
        </w:rPr>
        <w:t xml:space="preserve">SL L, 2025/1774, 18.12.2025., </w:t>
      </w:r>
      <w:proofErr w:type="gramStart"/>
      <w:r w:rsidR="00F4062D" w:rsidRPr="009F1133">
        <w:rPr>
          <w:bCs/>
          <w:iCs/>
          <w:sz w:val="24"/>
          <w:szCs w:val="24"/>
        </w:rPr>
        <w:t>ELI:</w:t>
      </w:r>
      <w:proofErr w:type="gramEnd"/>
      <w:r w:rsidR="00F4062D" w:rsidRPr="009F1133">
        <w:rPr>
          <w:bCs/>
          <w:iCs/>
          <w:sz w:val="24"/>
          <w:szCs w:val="24"/>
        </w:rPr>
        <w:t> </w:t>
      </w:r>
      <w:hyperlink r:id="rId3" w:tgtFrame="_blank" w:tooltip="Gives access to this document through its ELI URI." w:history="1">
        <w:r w:rsidR="00F4062D" w:rsidRPr="009F1133">
          <w:rPr>
            <w:rStyle w:val="Hyperlink"/>
            <w:bCs/>
            <w:iCs/>
            <w:sz w:val="24"/>
            <w:szCs w:val="24"/>
          </w:rPr>
          <w:t>http://data.europa.eu/eli/reg_del/2025/1774/oj</w:t>
        </w:r>
      </w:hyperlink>
      <w:r w:rsidRPr="009F1133">
        <w:rPr>
          <w:sz w:val="24"/>
          <w:szCs w:val="24"/>
          <w:lang w:val="hr-HR"/>
        </w:rPr>
        <w:t>).</w:t>
      </w:r>
      <w:r w:rsidRPr="0017180F">
        <w:rPr>
          <w:sz w:val="24"/>
          <w:lang w:val="hr-HR"/>
        </w:rPr>
        <w:t xml:space="preserve"> </w:t>
      </w:r>
    </w:p>
  </w:footnote>
  <w:footnote w:id="8">
    <w:p w14:paraId="312B514E" w14:textId="5F596B3D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bookmarkStart w:id="10" w:name="_Hlk220057370"/>
      <w:r w:rsidR="009F1133">
        <w:rPr>
          <w:sz w:val="24"/>
          <w:szCs w:val="24"/>
          <w:lang w:val="hr-HR" w:eastAsia="en-US"/>
        </w:rPr>
        <w:t>SL</w:t>
      </w:r>
      <w:r w:rsidR="00F4062D" w:rsidRPr="009F1133">
        <w:rPr>
          <w:sz w:val="24"/>
          <w:szCs w:val="24"/>
          <w:lang w:val="hr-HR" w:eastAsia="en-US"/>
        </w:rPr>
        <w:t xml:space="preserve"> L, 2025/1775, 30.12.2025</w:t>
      </w:r>
      <w:r w:rsidR="009F1133">
        <w:rPr>
          <w:sz w:val="24"/>
          <w:szCs w:val="24"/>
          <w:lang w:val="hr-HR" w:eastAsia="en-US"/>
        </w:rPr>
        <w:t>.</w:t>
      </w:r>
      <w:r w:rsidR="00F4062D" w:rsidRPr="009F1133">
        <w:rPr>
          <w:sz w:val="24"/>
          <w:szCs w:val="24"/>
          <w:lang w:val="hr-HR" w:eastAsia="en-US"/>
        </w:rPr>
        <w:t xml:space="preserve">, ELI: </w:t>
      </w:r>
      <w:hyperlink r:id="rId4" w:history="1">
        <w:r w:rsidR="00F4062D" w:rsidRPr="009F1133">
          <w:rPr>
            <w:rStyle w:val="Hyperlink"/>
            <w:bCs/>
            <w:iCs/>
            <w:sz w:val="24"/>
            <w:szCs w:val="24"/>
          </w:rPr>
          <w:t>http://data.europa.eu/eli/reg_del/2025/1775/oj</w:t>
        </w:r>
      </w:hyperlink>
      <w:bookmarkEnd w:id="10"/>
      <w:r w:rsidR="00F4062D" w:rsidRPr="009F1133">
        <w:rPr>
          <w:lang w:val="hr-HR" w:eastAsia="en-US"/>
        </w:rPr>
        <w:t>.</w:t>
      </w:r>
    </w:p>
  </w:footnote>
  <w:footnote w:id="9">
    <w:p w14:paraId="65DAE378" w14:textId="4768E220" w:rsidR="003623BF" w:rsidRPr="0017180F" w:rsidRDefault="003623BF" w:rsidP="0017180F">
      <w:pPr>
        <w:pStyle w:val="FootnoteText"/>
        <w:ind w:left="567" w:hanging="567"/>
        <w:rPr>
          <w:sz w:val="24"/>
          <w:lang w:val="hr-HR"/>
        </w:rPr>
      </w:pPr>
      <w:r w:rsidRPr="0017180F">
        <w:rPr>
          <w:rStyle w:val="FootnoteReference"/>
          <w:sz w:val="24"/>
          <w:lang w:val="hr-HR"/>
        </w:rPr>
        <w:footnoteRef/>
      </w:r>
      <w:r w:rsidR="0017180F" w:rsidRPr="0017180F">
        <w:rPr>
          <w:sz w:val="24"/>
          <w:lang w:val="hr-HR"/>
        </w:rPr>
        <w:t xml:space="preserve"> </w:t>
      </w:r>
      <w:r w:rsidR="0017180F" w:rsidRPr="0017180F">
        <w:rPr>
          <w:sz w:val="24"/>
          <w:lang w:val="hr-HR"/>
        </w:rPr>
        <w:tab/>
      </w:r>
      <w:r w:rsidRPr="009F1133">
        <w:rPr>
          <w:sz w:val="24"/>
          <w:szCs w:val="24"/>
          <w:lang w:val="hr-HR"/>
        </w:rPr>
        <w:t xml:space="preserve">Preporuka Komisije </w:t>
      </w:r>
      <w:r w:rsidR="00F4062D" w:rsidRPr="009F1133">
        <w:rPr>
          <w:sz w:val="24"/>
          <w:szCs w:val="24"/>
          <w:lang w:val="hr-HR"/>
        </w:rPr>
        <w:t>(EU) 2025/2029 od 30. rujna 2025</w:t>
      </w:r>
      <w:r w:rsidR="00F4062D" w:rsidRPr="009F1133">
        <w:rPr>
          <w:sz w:val="24"/>
          <w:szCs w:val="24"/>
        </w:rPr>
        <w:t xml:space="preserve">. </w:t>
      </w:r>
      <w:r w:rsidRPr="009F1133">
        <w:rPr>
          <w:sz w:val="24"/>
          <w:szCs w:val="24"/>
          <w:lang w:val="hr-HR"/>
        </w:rPr>
        <w:t xml:space="preserve">o povećanju dostupnosti štedno-investicijskih računa s pojednostavnjenim i povoljnijim poreznim tretmanom </w:t>
      </w:r>
      <w:bookmarkStart w:id="12" w:name="_Hlk220057449"/>
      <w:r w:rsidR="00F4062D" w:rsidRPr="009F1133">
        <w:rPr>
          <w:sz w:val="24"/>
          <w:szCs w:val="24"/>
          <w:lang w:val="hr-HR"/>
        </w:rPr>
        <w:t>(</w:t>
      </w:r>
      <w:r w:rsidR="009F1133" w:rsidRPr="009F1133">
        <w:rPr>
          <w:sz w:val="24"/>
          <w:szCs w:val="24"/>
          <w:lang w:val="hr-HR"/>
        </w:rPr>
        <w:t>SL</w:t>
      </w:r>
      <w:r w:rsidR="00F4062D" w:rsidRPr="009F1133">
        <w:rPr>
          <w:sz w:val="24"/>
          <w:szCs w:val="24"/>
          <w:lang w:val="hr-HR"/>
        </w:rPr>
        <w:t xml:space="preserve"> L, 2025/2029, 8.10.2025</w:t>
      </w:r>
      <w:r w:rsidR="009F1133" w:rsidRPr="009F1133">
        <w:rPr>
          <w:sz w:val="24"/>
          <w:szCs w:val="24"/>
          <w:lang w:val="hr-HR"/>
        </w:rPr>
        <w:t>.</w:t>
      </w:r>
      <w:r w:rsidR="00F4062D" w:rsidRPr="009F1133">
        <w:rPr>
          <w:sz w:val="24"/>
          <w:szCs w:val="24"/>
          <w:lang w:val="hr-HR"/>
        </w:rPr>
        <w:t xml:space="preserve">, ELI: </w:t>
      </w:r>
      <w:hyperlink r:id="rId5" w:history="1">
        <w:r w:rsidR="00F4062D" w:rsidRPr="009F1133">
          <w:rPr>
            <w:rStyle w:val="Hyperlink"/>
            <w:bCs/>
            <w:iCs/>
            <w:sz w:val="24"/>
            <w:szCs w:val="24"/>
          </w:rPr>
          <w:t>http://data.europa.eu/eli/reco/2025/2029/oj)</w:t>
        </w:r>
      </w:hyperlink>
      <w:r w:rsidR="00F4062D" w:rsidRPr="009F1133">
        <w:rPr>
          <w:sz w:val="24"/>
          <w:szCs w:val="24"/>
          <w:lang w:val="hr-HR"/>
        </w:rPr>
        <w:t>.</w:t>
      </w:r>
      <w:bookmarkEnd w:id="1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256F2" w14:textId="77777777" w:rsidR="00064002" w:rsidRPr="001718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A980" w14:textId="77777777" w:rsidR="00064002" w:rsidRPr="001718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64E63" w14:textId="77777777" w:rsidR="00064002" w:rsidRPr="001718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5868845">
    <w:abstractNumId w:val="9"/>
  </w:num>
  <w:num w:numId="2" w16cid:durableId="625820383">
    <w:abstractNumId w:val="9"/>
  </w:num>
  <w:num w:numId="3" w16cid:durableId="476145714">
    <w:abstractNumId w:val="7"/>
  </w:num>
  <w:num w:numId="4" w16cid:durableId="1506439372">
    <w:abstractNumId w:val="7"/>
  </w:num>
  <w:num w:numId="5" w16cid:durableId="1275207567">
    <w:abstractNumId w:val="6"/>
  </w:num>
  <w:num w:numId="6" w16cid:durableId="675376658">
    <w:abstractNumId w:val="6"/>
  </w:num>
  <w:num w:numId="7" w16cid:durableId="1766919413">
    <w:abstractNumId w:val="5"/>
  </w:num>
  <w:num w:numId="8" w16cid:durableId="760949218">
    <w:abstractNumId w:val="5"/>
  </w:num>
  <w:num w:numId="9" w16cid:durableId="1525679433">
    <w:abstractNumId w:val="4"/>
  </w:num>
  <w:num w:numId="10" w16cid:durableId="487937814">
    <w:abstractNumId w:val="4"/>
  </w:num>
  <w:num w:numId="11" w16cid:durableId="597059641">
    <w:abstractNumId w:val="8"/>
  </w:num>
  <w:num w:numId="12" w16cid:durableId="1426728466">
    <w:abstractNumId w:val="8"/>
  </w:num>
  <w:num w:numId="13" w16cid:durableId="638847347">
    <w:abstractNumId w:val="3"/>
  </w:num>
  <w:num w:numId="14" w16cid:durableId="302076697">
    <w:abstractNumId w:val="3"/>
  </w:num>
  <w:num w:numId="15" w16cid:durableId="1710253639">
    <w:abstractNumId w:val="2"/>
  </w:num>
  <w:num w:numId="16" w16cid:durableId="1126967293">
    <w:abstractNumId w:val="2"/>
  </w:num>
  <w:num w:numId="17" w16cid:durableId="1130629640">
    <w:abstractNumId w:val="1"/>
  </w:num>
  <w:num w:numId="18" w16cid:durableId="1715154836">
    <w:abstractNumId w:val="1"/>
  </w:num>
  <w:num w:numId="19" w16cid:durableId="1906186114">
    <w:abstractNumId w:val="0"/>
  </w:num>
  <w:num w:numId="20" w16cid:durableId="139737380">
    <w:abstractNumId w:val="0"/>
  </w:num>
  <w:num w:numId="21" w16cid:durableId="504632479">
    <w:abstractNumId w:val="9"/>
  </w:num>
  <w:num w:numId="22" w16cid:durableId="1058094711">
    <w:abstractNumId w:val="7"/>
  </w:num>
  <w:num w:numId="23" w16cid:durableId="1125999233">
    <w:abstractNumId w:val="6"/>
  </w:num>
  <w:num w:numId="24" w16cid:durableId="854417745">
    <w:abstractNumId w:val="5"/>
  </w:num>
  <w:num w:numId="25" w16cid:durableId="1373963347">
    <w:abstractNumId w:val="4"/>
  </w:num>
  <w:num w:numId="26" w16cid:durableId="1578586738">
    <w:abstractNumId w:val="8"/>
  </w:num>
  <w:num w:numId="27" w16cid:durableId="1211499005">
    <w:abstractNumId w:val="3"/>
  </w:num>
  <w:num w:numId="28" w16cid:durableId="1705902815">
    <w:abstractNumId w:val="2"/>
  </w:num>
  <w:num w:numId="29" w16cid:durableId="161894684">
    <w:abstractNumId w:val="1"/>
  </w:num>
  <w:num w:numId="30" w16cid:durableId="1457336736">
    <w:abstractNumId w:val="0"/>
  </w:num>
  <w:num w:numId="31" w16cid:durableId="738943219">
    <w:abstractNumId w:val="9"/>
  </w:num>
  <w:num w:numId="32" w16cid:durableId="1682201999">
    <w:abstractNumId w:val="7"/>
  </w:num>
  <w:num w:numId="33" w16cid:durableId="643438222">
    <w:abstractNumId w:val="6"/>
  </w:num>
  <w:num w:numId="34" w16cid:durableId="1542326299">
    <w:abstractNumId w:val="5"/>
  </w:num>
  <w:num w:numId="35" w16cid:durableId="695541812">
    <w:abstractNumId w:val="4"/>
  </w:num>
  <w:num w:numId="36" w16cid:durableId="1886867632">
    <w:abstractNumId w:val="8"/>
  </w:num>
  <w:num w:numId="37" w16cid:durableId="206842737">
    <w:abstractNumId w:val="3"/>
  </w:num>
  <w:num w:numId="38" w16cid:durableId="503671097">
    <w:abstractNumId w:val="2"/>
  </w:num>
  <w:num w:numId="39" w16cid:durableId="2123525130">
    <w:abstractNumId w:val="1"/>
  </w:num>
  <w:num w:numId="40" w16cid:durableId="801382984">
    <w:abstractNumId w:val="0"/>
  </w:num>
  <w:num w:numId="41" w16cid:durableId="1351372487">
    <w:abstractNumId w:val="10"/>
  </w:num>
  <w:num w:numId="42" w16cid:durableId="916941071">
    <w:abstractNumId w:val="10"/>
  </w:num>
  <w:num w:numId="43" w16cid:durableId="1663045412">
    <w:abstractNumId w:val="10"/>
  </w:num>
  <w:num w:numId="44" w16cid:durableId="1972033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3/2025"/>
    <w:docVar w:name="dvlangue" w:val="HR"/>
    <w:docVar w:name="dvnumam" w:val="73"/>
    <w:docVar w:name="dvpe" w:val="776.772"/>
    <w:docVar w:name="dvrapporteur" w:val="Izvjestitelj: "/>
    <w:docVar w:name="dvtitre" w:val="Rezolucija Europskog parlamenta od .... 2025. o europskoj obrambenoj spremnosti 2030.: procjena potreba(2025/2142(INI))"/>
  </w:docVars>
  <w:rsids>
    <w:rsidRoot w:val="008164B1"/>
    <w:rsid w:val="00002272"/>
    <w:rsid w:val="00064002"/>
    <w:rsid w:val="000677B9"/>
    <w:rsid w:val="000831BA"/>
    <w:rsid w:val="00086F02"/>
    <w:rsid w:val="000A42CC"/>
    <w:rsid w:val="000D3B8F"/>
    <w:rsid w:val="000E7DD9"/>
    <w:rsid w:val="0010095E"/>
    <w:rsid w:val="00125B37"/>
    <w:rsid w:val="0017180F"/>
    <w:rsid w:val="00187494"/>
    <w:rsid w:val="001B19DD"/>
    <w:rsid w:val="001F32AE"/>
    <w:rsid w:val="002767FF"/>
    <w:rsid w:val="002B18FE"/>
    <w:rsid w:val="002B5493"/>
    <w:rsid w:val="00343214"/>
    <w:rsid w:val="00354839"/>
    <w:rsid w:val="00361C00"/>
    <w:rsid w:val="003623BF"/>
    <w:rsid w:val="00395FA1"/>
    <w:rsid w:val="003E15D4"/>
    <w:rsid w:val="00411CCE"/>
    <w:rsid w:val="0041666E"/>
    <w:rsid w:val="00416CF4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4B1"/>
    <w:rsid w:val="00817416"/>
    <w:rsid w:val="00832385"/>
    <w:rsid w:val="00842779"/>
    <w:rsid w:val="00865F67"/>
    <w:rsid w:val="00881A7B"/>
    <w:rsid w:val="008840E5"/>
    <w:rsid w:val="00887B3E"/>
    <w:rsid w:val="008C2AC6"/>
    <w:rsid w:val="008F5039"/>
    <w:rsid w:val="00930C23"/>
    <w:rsid w:val="0093193B"/>
    <w:rsid w:val="009509D8"/>
    <w:rsid w:val="00950B64"/>
    <w:rsid w:val="00981893"/>
    <w:rsid w:val="009F1133"/>
    <w:rsid w:val="00A1687D"/>
    <w:rsid w:val="00A43E52"/>
    <w:rsid w:val="00A4678D"/>
    <w:rsid w:val="00A70BD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BED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62D"/>
    <w:rsid w:val="00F5134D"/>
    <w:rsid w:val="00F74202"/>
    <w:rsid w:val="00F87713"/>
    <w:rsid w:val="00FB4360"/>
    <w:rsid w:val="00FD0C70"/>
    <w:rsid w:val="00FD3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D88F4"/>
  <w15:chartTrackingRefBased/>
  <w15:docId w15:val="{D6BF74E7-E7FC-4257-B8F3-F5F418B5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23BF"/>
    <w:pPr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link w:val="Normal12Char"/>
    <w:rsid w:val="003623B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623B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623BF"/>
    <w:pPr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uiPriority w:val="99"/>
    <w:rsid w:val="003623BF"/>
    <w:rPr>
      <w:color w:val="0000FF"/>
      <w:u w:val="single"/>
    </w:rPr>
  </w:style>
  <w:style w:type="paragraph" w:customStyle="1" w:styleId="Normal6a">
    <w:name w:val="Normal6a"/>
    <w:basedOn w:val="Normal"/>
    <w:rsid w:val="003623BF"/>
    <w:pPr>
      <w:spacing w:after="120"/>
    </w:pPr>
    <w:rPr>
      <w:lang w:val="en-GB"/>
    </w:rPr>
  </w:style>
  <w:style w:type="character" w:customStyle="1" w:styleId="Bold">
    <w:name w:val="Bold"/>
    <w:uiPriority w:val="1"/>
    <w:rsid w:val="003623BF"/>
    <w:rPr>
      <w:b/>
    </w:rPr>
  </w:style>
  <w:style w:type="character" w:customStyle="1" w:styleId="Italic">
    <w:name w:val="Italic"/>
    <w:uiPriority w:val="1"/>
    <w:rsid w:val="003623BF"/>
    <w:rPr>
      <w:i/>
    </w:rPr>
  </w:style>
  <w:style w:type="paragraph" w:customStyle="1" w:styleId="Normal12a24b">
    <w:name w:val="Normal12a24b"/>
    <w:basedOn w:val="Normal"/>
    <w:rsid w:val="003623BF"/>
    <w:pPr>
      <w:spacing w:before="360" w:after="240"/>
    </w:pPr>
    <w:rPr>
      <w:snapToGrid w:val="0"/>
      <w:lang w:val="en-GB" w:eastAsia="en-US"/>
    </w:rPr>
  </w:style>
  <w:style w:type="character" w:customStyle="1" w:styleId="Normal12Char">
    <w:name w:val="Normal12 Char"/>
    <w:basedOn w:val="DefaultParagraphFont"/>
    <w:link w:val="Normal12"/>
    <w:locked/>
    <w:rsid w:val="003623BF"/>
    <w:rPr>
      <w:sz w:val="24"/>
      <w:szCs w:val="24"/>
      <w:lang w:val="hr-H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70B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70B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_del/2025/1774/oj" TargetMode="External"/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s://data.europa.eu/doi/10.2889/698738" TargetMode="External"/><Relationship Id="rId5" Type="http://schemas.openxmlformats.org/officeDocument/2006/relationships/hyperlink" Target="http://data.europa.eu/eli/reco/2025/2029/oj)" TargetMode="External"/><Relationship Id="rId4" Type="http://schemas.openxmlformats.org/officeDocument/2006/relationships/hyperlink" Target="http://data.europa.eu/eli/reg_del/2025/177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5737</Words>
  <Characters>35260</Characters>
  <Application>Microsoft Office Word</Application>
  <DocSecurity>0</DocSecurity>
  <Lines>293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BULJAN Jakov</cp:lastModifiedBy>
  <cp:revision>2</cp:revision>
  <cp:lastPrinted>2004-11-19T15:42:00Z</cp:lastPrinted>
  <dcterms:created xsi:type="dcterms:W3CDTF">2026-01-28T12:43:00Z</dcterms:created>
  <dcterms:modified xsi:type="dcterms:W3CDTF">2026-01-28T12:43:00Z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A10-0243/2025</vt:lpwstr>
  </property>
  <property fmtid="{D5CDD505-2E9C-101B-9397-08002B2CF9AE}" pid="4" name="&lt;Type&gt;">
    <vt:lpwstr>RR</vt:lpwstr>
  </property>
</Properties>
</file>