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6903" w14:paraId="27120420" w14:textId="77777777" w:rsidTr="0010095E">
        <w:trPr>
          <w:trHeight w:hRule="exact" w:val="1418"/>
        </w:trPr>
        <w:tc>
          <w:tcPr>
            <w:tcW w:w="6804" w:type="dxa"/>
            <w:shd w:val="clear" w:color="auto" w:fill="auto"/>
            <w:vAlign w:val="center"/>
          </w:tcPr>
          <w:p w14:paraId="60E17F03" w14:textId="77777777" w:rsidR="00751A4A" w:rsidRPr="00C46903" w:rsidRDefault="00E53B90" w:rsidP="0010095E">
            <w:pPr>
              <w:pStyle w:val="EPName"/>
            </w:pPr>
            <w:r w:rsidRPr="00C46903">
              <w:t>Europos Parlamentas</w:t>
            </w:r>
          </w:p>
          <w:p w14:paraId="45D27B51" w14:textId="77777777" w:rsidR="00751A4A" w:rsidRPr="00C46903" w:rsidRDefault="005F1B17" w:rsidP="005F1B17">
            <w:pPr>
              <w:pStyle w:val="EPTerm"/>
              <w:rPr>
                <w:rStyle w:val="HideTWBExt"/>
                <w:noProof w:val="0"/>
                <w:vanish w:val="0"/>
                <w:color w:val="auto"/>
              </w:rPr>
            </w:pPr>
            <w:r w:rsidRPr="00C46903">
              <w:t>2024</w:t>
            </w:r>
            <w:r w:rsidR="00817416" w:rsidRPr="00C46903">
              <w:t>-202</w:t>
            </w:r>
            <w:r w:rsidRPr="00C46903">
              <w:t>9</w:t>
            </w:r>
          </w:p>
        </w:tc>
        <w:tc>
          <w:tcPr>
            <w:tcW w:w="2268" w:type="dxa"/>
            <w:shd w:val="clear" w:color="auto" w:fill="auto"/>
          </w:tcPr>
          <w:p w14:paraId="36D1BB7A" w14:textId="77777777" w:rsidR="00751A4A" w:rsidRPr="00C46903" w:rsidRDefault="00187494" w:rsidP="0010095E">
            <w:pPr>
              <w:pStyle w:val="EPLogo"/>
            </w:pPr>
            <w:r w:rsidRPr="00C46903">
              <w:rPr>
                <w:noProof/>
                <w:lang w:eastAsia="ja-JP"/>
              </w:rPr>
              <w:drawing>
                <wp:inline distT="0" distB="0" distL="0" distR="0" wp14:anchorId="77A72045" wp14:editId="618DF3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34FA11" w14:textId="77777777" w:rsidR="00D058B8" w:rsidRPr="00C46903" w:rsidRDefault="00D058B8" w:rsidP="004C5D52">
      <w:pPr>
        <w:pStyle w:val="LineTop"/>
      </w:pPr>
    </w:p>
    <w:p w14:paraId="006A5218" w14:textId="77777777" w:rsidR="00680577" w:rsidRPr="00C46903" w:rsidRDefault="00E53B90" w:rsidP="00680577">
      <w:pPr>
        <w:pStyle w:val="EPBodyTA1"/>
      </w:pPr>
      <w:r w:rsidRPr="00C46903">
        <w:t>PRIIMTI TEKSTAI</w:t>
      </w:r>
    </w:p>
    <w:p w14:paraId="09DC1633" w14:textId="77777777" w:rsidR="00D058B8" w:rsidRPr="00C46903" w:rsidRDefault="00D058B8" w:rsidP="00D058B8">
      <w:pPr>
        <w:pStyle w:val="LineBottom"/>
      </w:pPr>
    </w:p>
    <w:p w14:paraId="5B4C4DD6" w14:textId="59B36EEA" w:rsidR="00E53B90" w:rsidRPr="00C46903" w:rsidRDefault="00E53B90" w:rsidP="00E53B90">
      <w:pPr>
        <w:pStyle w:val="ATHeading1"/>
      </w:pPr>
      <w:bookmarkStart w:id="0" w:name="TANumber"/>
      <w:r w:rsidRPr="00C46903">
        <w:t>P10_TA(2025)0</w:t>
      </w:r>
      <w:r w:rsidR="00320869">
        <w:t>336</w:t>
      </w:r>
      <w:bookmarkEnd w:id="0"/>
    </w:p>
    <w:p w14:paraId="1952EFA3" w14:textId="77777777" w:rsidR="00E53B90" w:rsidRPr="00C46903" w:rsidRDefault="00E53B90" w:rsidP="00E53B90">
      <w:pPr>
        <w:pStyle w:val="ATHeading2"/>
      </w:pPr>
      <w:bookmarkStart w:id="1" w:name="title"/>
      <w:r w:rsidRPr="00C46903">
        <w:t>Europos gynybos parengtis 2030 m.: poreikių vertinimas</w:t>
      </w:r>
      <w:bookmarkEnd w:id="1"/>
    </w:p>
    <w:p w14:paraId="1DBFF6C4" w14:textId="77777777" w:rsidR="00E53B90" w:rsidRPr="00C46903" w:rsidRDefault="00E53B90" w:rsidP="00E53B90">
      <w:pPr>
        <w:rPr>
          <w:i/>
          <w:vanish/>
        </w:rPr>
      </w:pPr>
      <w:r w:rsidRPr="00C46903">
        <w:rPr>
          <w:i/>
        </w:rPr>
        <w:fldChar w:fldCharType="begin"/>
      </w:r>
      <w:r w:rsidRPr="00C46903">
        <w:rPr>
          <w:i/>
        </w:rPr>
        <w:instrText xml:space="preserve"> TC"(</w:instrText>
      </w:r>
      <w:bookmarkStart w:id="2" w:name="DocNumber"/>
      <w:r w:rsidRPr="00C46903">
        <w:rPr>
          <w:i/>
        </w:rPr>
        <w:instrText>A10-0243/2025</w:instrText>
      </w:r>
      <w:bookmarkEnd w:id="2"/>
      <w:r w:rsidRPr="00C46903">
        <w:rPr>
          <w:i/>
        </w:rPr>
        <w:instrText xml:space="preserve"> - Pranešėjas: </w:instrText>
      </w:r>
      <w:proofErr w:type="spellStart"/>
      <w:r w:rsidRPr="00C46903">
        <w:rPr>
          <w:i/>
        </w:rPr>
        <w:instrText>Christophe</w:instrText>
      </w:r>
      <w:proofErr w:type="spellEnd"/>
      <w:r w:rsidRPr="00C46903">
        <w:rPr>
          <w:i/>
        </w:rPr>
        <w:instrText xml:space="preserve"> </w:instrText>
      </w:r>
      <w:proofErr w:type="spellStart"/>
      <w:r w:rsidRPr="00C46903">
        <w:rPr>
          <w:i/>
        </w:rPr>
        <w:instrText>Gomart</w:instrText>
      </w:r>
      <w:proofErr w:type="spellEnd"/>
      <w:r w:rsidRPr="00C46903">
        <w:rPr>
          <w:i/>
        </w:rPr>
        <w:instrText xml:space="preserve">)"\l3 \n&gt; \* MERGEFORMAT </w:instrText>
      </w:r>
      <w:r w:rsidRPr="00C46903">
        <w:rPr>
          <w:i/>
        </w:rPr>
        <w:fldChar w:fldCharType="end"/>
      </w:r>
    </w:p>
    <w:p w14:paraId="686A79AB" w14:textId="77777777" w:rsidR="00E53B90" w:rsidRPr="00C46903" w:rsidRDefault="00E53B90" w:rsidP="00E53B90">
      <w:pPr>
        <w:rPr>
          <w:vanish/>
        </w:rPr>
      </w:pPr>
      <w:bookmarkStart w:id="3" w:name="Commission"/>
      <w:r w:rsidRPr="00C46903">
        <w:rPr>
          <w:vanish/>
        </w:rPr>
        <w:t>Saugumo ir gynybos komitetas</w:t>
      </w:r>
      <w:bookmarkEnd w:id="3"/>
    </w:p>
    <w:p w14:paraId="57CA855D" w14:textId="77777777" w:rsidR="00E53B90" w:rsidRPr="00C46903" w:rsidRDefault="00E53B90" w:rsidP="00E53B90">
      <w:pPr>
        <w:rPr>
          <w:vanish/>
        </w:rPr>
      </w:pPr>
      <w:bookmarkStart w:id="4" w:name="PE"/>
      <w:r w:rsidRPr="00C46903">
        <w:rPr>
          <w:vanish/>
        </w:rPr>
        <w:t>PE776.772</w:t>
      </w:r>
      <w:bookmarkEnd w:id="4"/>
    </w:p>
    <w:p w14:paraId="0F6B1E60" w14:textId="1032C643" w:rsidR="00E53B90" w:rsidRPr="00C46903" w:rsidRDefault="006610DC" w:rsidP="00E53B90">
      <w:pPr>
        <w:pStyle w:val="ATHeading3"/>
      </w:pPr>
      <w:bookmarkStart w:id="5" w:name="Sujet"/>
      <w:r>
        <w:t xml:space="preserve">2025 m. gruodžio 17 d. </w:t>
      </w:r>
      <w:r w:rsidR="00E53B90" w:rsidRPr="00C46903">
        <w:t xml:space="preserve">Europos Parlamento rezoliucija </w:t>
      </w:r>
      <w:r>
        <w:t>“</w:t>
      </w:r>
      <w:r w:rsidR="00E53B90" w:rsidRPr="00C46903">
        <w:t>Europos gynybos parengtis 2030 m.: poreikių įvertinimas</w:t>
      </w:r>
      <w:bookmarkEnd w:id="5"/>
      <w:r>
        <w:t>“</w:t>
      </w:r>
      <w:r w:rsidR="00E53B90" w:rsidRPr="00C46903">
        <w:t xml:space="preserve"> </w:t>
      </w:r>
      <w:bookmarkStart w:id="6" w:name="References"/>
      <w:r w:rsidR="00E53B90" w:rsidRPr="00C46903">
        <w:t>(2025/2142(INI))</w:t>
      </w:r>
      <w:bookmarkEnd w:id="6"/>
    </w:p>
    <w:p w14:paraId="5D7843FD" w14:textId="77777777" w:rsidR="009B42D8" w:rsidRPr="00C46903" w:rsidRDefault="009B42D8" w:rsidP="00FD0F70">
      <w:pPr>
        <w:pStyle w:val="Normal12"/>
        <w:spacing w:before="240"/>
      </w:pPr>
      <w:r w:rsidRPr="00C46903">
        <w:rPr>
          <w:i/>
        </w:rPr>
        <w:t>Europos Parlamentas</w:t>
      </w:r>
      <w:r w:rsidRPr="00C46903">
        <w:t>,</w:t>
      </w:r>
    </w:p>
    <w:p w14:paraId="69D51833" w14:textId="77777777" w:rsidR="009B42D8" w:rsidRPr="00C46903" w:rsidRDefault="009B42D8" w:rsidP="009B42D8">
      <w:pPr>
        <w:pStyle w:val="NormalHanging12a"/>
      </w:pPr>
      <w:r w:rsidRPr="00C46903">
        <w:t>–</w:t>
      </w:r>
      <w:r w:rsidRPr="00C46903">
        <w:tab/>
        <w:t>atsižvelgdamas į Sutartį dėl Europos Sąjungos veikimo (SESV),</w:t>
      </w:r>
    </w:p>
    <w:p w14:paraId="2F0E4DD2" w14:textId="77777777" w:rsidR="009B42D8" w:rsidRPr="00C46903" w:rsidRDefault="009B42D8" w:rsidP="009B42D8">
      <w:pPr>
        <w:pStyle w:val="NormalHanging12a"/>
      </w:pPr>
      <w:r w:rsidRPr="00C46903">
        <w:t>–</w:t>
      </w:r>
      <w:r w:rsidRPr="00C46903">
        <w:tab/>
        <w:t>atsižvelgdamas į Europos Sąjungos sutarties V antraštinę dalį, ypač į jos 2 skyriaus 2 skirsnį dėl bendros saugumo ir gynybos politikos,</w:t>
      </w:r>
    </w:p>
    <w:p w14:paraId="52CC3D57" w14:textId="77777777" w:rsidR="009B42D8" w:rsidRPr="00C46903" w:rsidRDefault="009B42D8" w:rsidP="009B42D8">
      <w:pPr>
        <w:pStyle w:val="NormalHanging12a"/>
      </w:pPr>
      <w:r w:rsidRPr="00C46903">
        <w:t>–</w:t>
      </w:r>
      <w:r w:rsidRPr="00C46903">
        <w:tab/>
        <w:t>atsižvelgdamas į baltąją knygą dėl Europos gynybos parengties 2030 m., kurią 2025 m. kovo 19 d. pristatė Europos Komisija ir Sąjungos vyriausioji įgaliotinė užsienio reikalams ir saugumo politikai, ir į jos penkių dalių finansavimo planą „</w:t>
      </w:r>
      <w:proofErr w:type="spellStart"/>
      <w:r w:rsidRPr="00C46903">
        <w:t>ReArm</w:t>
      </w:r>
      <w:proofErr w:type="spellEnd"/>
      <w:r w:rsidRPr="00C46903">
        <w:t xml:space="preserve"> </w:t>
      </w:r>
      <w:proofErr w:type="spellStart"/>
      <w:r w:rsidRPr="00C46903">
        <w:t>Europe</w:t>
      </w:r>
      <w:proofErr w:type="spellEnd"/>
      <w:r w:rsidRPr="00C46903">
        <w:t>“,</w:t>
      </w:r>
    </w:p>
    <w:p w14:paraId="005A1A76" w14:textId="77777777" w:rsidR="009B42D8" w:rsidRPr="00C46903" w:rsidRDefault="009B42D8" w:rsidP="009B42D8">
      <w:pPr>
        <w:pStyle w:val="NormalHanging12a"/>
      </w:pPr>
      <w:r w:rsidRPr="00C46903">
        <w:t>–</w:t>
      </w:r>
      <w:r w:rsidRPr="00C46903">
        <w:tab/>
        <w:t>atsižvelgdamas į 2022 m. gegužės 18 d. Komisijos ir Sąjungos vyriausiojo įgaliotinio užsienio reikalams ir saugumo politikai bendrą komunikatą dėl investicijų gynybos srityje spragų analizės ir tolesnių veiksmų (JOIN(2022)0024),</w:t>
      </w:r>
    </w:p>
    <w:p w14:paraId="1BB5CAE8" w14:textId="77777777" w:rsidR="009B42D8" w:rsidRPr="00C46903" w:rsidRDefault="009B42D8" w:rsidP="009B42D8">
      <w:pPr>
        <w:pStyle w:val="NormalHanging12a"/>
      </w:pPr>
      <w:r w:rsidRPr="00C46903">
        <w:t>–</w:t>
      </w:r>
      <w:r w:rsidRPr="00C46903">
        <w:tab/>
        <w:t>atsižvelgdamas į 2024 m. sausio 11 d. paskelbtą tyrimą „Europos gynybos srities MVĮ galimybės gauti nuosavo kapitalo finansavimą“</w:t>
      </w:r>
      <w:r w:rsidRPr="00C46903">
        <w:rPr>
          <w:rStyle w:val="FootnoteReference"/>
        </w:rPr>
        <w:footnoteReference w:id="1"/>
      </w:r>
      <w:r w:rsidRPr="00C46903">
        <w:t>,</w:t>
      </w:r>
    </w:p>
    <w:p w14:paraId="2835D5F0" w14:textId="77777777" w:rsidR="009B42D8" w:rsidRPr="00C46903" w:rsidRDefault="009B42D8" w:rsidP="009B42D8">
      <w:pPr>
        <w:pStyle w:val="NormalHanging12a"/>
      </w:pPr>
      <w:r w:rsidRPr="00C46903">
        <w:t>–</w:t>
      </w:r>
      <w:r w:rsidRPr="00C46903">
        <w:tab/>
        <w:t>atsižvelgdamas į 2024 m. kovo 5 d. Komisijos ir Sąjungos vyriausiojo įgaliotinio užsienio reikalams ir saugumo politikai bendrą komunikatą „Nauja Europos gynybos pramonės strategija. Užtikrinti ES parengtį, grindžiamą reaguojančia ir atsparia Europos gynybos pramone“ (JOIN(2024)0010),</w:t>
      </w:r>
    </w:p>
    <w:p w14:paraId="345D2E22" w14:textId="77777777" w:rsidR="009B42D8" w:rsidRPr="00C46903" w:rsidRDefault="009B42D8" w:rsidP="009B42D8">
      <w:pPr>
        <w:pStyle w:val="NormalHanging12a"/>
      </w:pPr>
      <w:r w:rsidRPr="00C46903">
        <w:t>–</w:t>
      </w:r>
      <w:r w:rsidRPr="00C46903">
        <w:tab/>
        <w:t xml:space="preserve">atsižvelgdamas į 2024 m. rugsėjo 9 d. Mario </w:t>
      </w:r>
      <w:proofErr w:type="spellStart"/>
      <w:r w:rsidRPr="00C46903">
        <w:t>Draghi</w:t>
      </w:r>
      <w:proofErr w:type="spellEnd"/>
      <w:r w:rsidRPr="00C46903">
        <w:t xml:space="preserve"> pranešimą dėl Europos konkurencingumo ateities (M. </w:t>
      </w:r>
      <w:proofErr w:type="spellStart"/>
      <w:r w:rsidRPr="00C46903">
        <w:t>Draghi</w:t>
      </w:r>
      <w:proofErr w:type="spellEnd"/>
      <w:r w:rsidRPr="00C46903">
        <w:t xml:space="preserve"> pranešimas),</w:t>
      </w:r>
    </w:p>
    <w:p w14:paraId="75BF8EF0" w14:textId="77777777" w:rsidR="009B42D8" w:rsidRPr="00C46903" w:rsidRDefault="009B42D8" w:rsidP="009B42D8">
      <w:pPr>
        <w:pStyle w:val="NormalHanging12a"/>
      </w:pPr>
      <w:r w:rsidRPr="00C46903">
        <w:t>–</w:t>
      </w:r>
      <w:r w:rsidRPr="00C46903">
        <w:tab/>
        <w:t>atsižvelgdamas į Europos investicijų banko (EIB) 2024 m. veiklos ataskaitą,</w:t>
      </w:r>
    </w:p>
    <w:p w14:paraId="50DB7D0E" w14:textId="77777777" w:rsidR="009B42D8" w:rsidRPr="00C46903" w:rsidRDefault="009B42D8" w:rsidP="009B42D8">
      <w:pPr>
        <w:pStyle w:val="NormalHanging12a"/>
      </w:pPr>
      <w:r w:rsidRPr="00C46903">
        <w:t>–</w:t>
      </w:r>
      <w:r w:rsidRPr="00C46903">
        <w:tab/>
        <w:t xml:space="preserve">atsižvelgdamas į 2025 m. lapkričio 25 d. per pirmąjį svarstymą priimtą poziciją dėl </w:t>
      </w:r>
      <w:r w:rsidRPr="00C46903">
        <w:lastRenderedPageBreak/>
        <w:t>pasiūlymo dėl Europos Parlamento ir Tarybos reglamento, kuriuo sukuriama Europos gynybos pramonės programa ir priemonių sistema savalaikiam gynybos produktų prieinamumui ir tiekimui užtikrinti</w:t>
      </w:r>
      <w:r w:rsidRPr="00C46903">
        <w:rPr>
          <w:rStyle w:val="FootnoteReference"/>
        </w:rPr>
        <w:footnoteReference w:id="2"/>
      </w:r>
      <w:r w:rsidRPr="00C46903">
        <w:t>,</w:t>
      </w:r>
    </w:p>
    <w:p w14:paraId="0F596345" w14:textId="77777777" w:rsidR="009B42D8" w:rsidRPr="00C46903" w:rsidRDefault="009B42D8" w:rsidP="009B42D8">
      <w:pPr>
        <w:pStyle w:val="NormalHanging12a"/>
      </w:pPr>
      <w:r w:rsidRPr="00C46903">
        <w:t>–</w:t>
      </w:r>
      <w:r w:rsidRPr="00C46903">
        <w:tab/>
        <w:t>atsižvelgdamas į 2025 m. birželio 6 d. Prancūzijos, Vokietijos, Ispanijos, Estijos, Liuksemburgo, Nyderlandų ir Portugalijos paskelbtą bendrą pranešimą dėl ženklo „</w:t>
      </w:r>
      <w:proofErr w:type="spellStart"/>
      <w:r w:rsidRPr="00C46903">
        <w:t>Finance</w:t>
      </w:r>
      <w:proofErr w:type="spellEnd"/>
      <w:r w:rsidRPr="00C46903">
        <w:t xml:space="preserve"> </w:t>
      </w:r>
      <w:proofErr w:type="spellStart"/>
      <w:r w:rsidRPr="00C46903">
        <w:t>Europe</w:t>
      </w:r>
      <w:proofErr w:type="spellEnd"/>
      <w:r w:rsidRPr="00C46903">
        <w:t>“ įvedimo,</w:t>
      </w:r>
    </w:p>
    <w:p w14:paraId="73421818" w14:textId="77777777" w:rsidR="009B42D8" w:rsidRPr="00C46903" w:rsidRDefault="009B42D8" w:rsidP="00937F9E">
      <w:pPr>
        <w:pStyle w:val="NormalHanging12a"/>
      </w:pPr>
      <w:r w:rsidRPr="00C46903">
        <w:t>–</w:t>
      </w:r>
      <w:r w:rsidRPr="00C46903">
        <w:tab/>
        <w:t>atsižvelgdamas į 2025 m. birželio 17 d. Europos Komisijos komunikatą dėl gynybos parengties bendrojo rinkinio (COM(2025)0820), kuriuo siekiama supaprastinti atitinkamas teisines ir administracines sistemas, kad būtų sustiprinta ES gynybos parengtis,</w:t>
      </w:r>
    </w:p>
    <w:p w14:paraId="49A33C3E" w14:textId="77777777" w:rsidR="009B42D8" w:rsidRPr="00C46903" w:rsidRDefault="009B42D8" w:rsidP="00937F9E">
      <w:pPr>
        <w:spacing w:after="240"/>
        <w:ind w:left="567" w:hanging="567"/>
      </w:pPr>
      <w:r w:rsidRPr="00C46903">
        <w:t>–</w:t>
      </w:r>
      <w:r w:rsidRPr="00C46903">
        <w:tab/>
        <w:t>atsižvelgdamas į 2025 m. birželio mėn. dešimtąją pažangos ataskaitą dėl 2016 m. gruodžio 6 d. ir 2017 m. gruodžio 5 d. ES Tarybos ir NATO Tarybos patvirtinto bendro pasiūlymų rinkinio įgyvendinimo,</w:t>
      </w:r>
    </w:p>
    <w:p w14:paraId="164AE32E" w14:textId="77777777" w:rsidR="009B42D8" w:rsidRPr="00C46903" w:rsidRDefault="009B42D8" w:rsidP="00937F9E">
      <w:pPr>
        <w:spacing w:after="240"/>
        <w:ind w:left="567" w:hanging="567"/>
      </w:pPr>
      <w:r w:rsidRPr="00C46903">
        <w:t>–</w:t>
      </w:r>
      <w:r w:rsidRPr="00C46903">
        <w:tab/>
        <w:t>atsižvelgdamas į 2025 m. gegužės 27 d. Tarybos reglamentą (ES) 2025/1106, kuriuo nustatoma Europos saugumo veiksmų (SAFE) stiprinant Europos gynybos pramonę priemonė</w:t>
      </w:r>
      <w:r w:rsidRPr="00C46903">
        <w:rPr>
          <w:rStyle w:val="FootnoteReference"/>
        </w:rPr>
        <w:footnoteReference w:id="3"/>
      </w:r>
      <w:r w:rsidRPr="00C46903">
        <w:t>,</w:t>
      </w:r>
    </w:p>
    <w:p w14:paraId="51FA0838" w14:textId="77777777" w:rsidR="009B42D8" w:rsidRPr="00C46903" w:rsidRDefault="009B42D8" w:rsidP="00937F9E">
      <w:pPr>
        <w:spacing w:after="240"/>
        <w:ind w:left="567" w:hanging="567"/>
      </w:pPr>
      <w:r w:rsidRPr="00C46903">
        <w:t>–</w:t>
      </w:r>
      <w:r w:rsidRPr="00C46903">
        <w:tab/>
        <w:t xml:space="preserve">atsižvelgdamas į 2024 m. balandžio 10 d. </w:t>
      </w:r>
      <w:proofErr w:type="spellStart"/>
      <w:r w:rsidRPr="00C46903">
        <w:t>Enrico</w:t>
      </w:r>
      <w:proofErr w:type="spellEnd"/>
      <w:r w:rsidRPr="00C46903">
        <w:t xml:space="preserve"> </w:t>
      </w:r>
      <w:proofErr w:type="spellStart"/>
      <w:r w:rsidRPr="00C46903">
        <w:t>Lettos</w:t>
      </w:r>
      <w:proofErr w:type="spellEnd"/>
      <w:r w:rsidRPr="00C46903">
        <w:t xml:space="preserve"> pranešimą dėl bendrosios rinkos ateities (E. </w:t>
      </w:r>
      <w:proofErr w:type="spellStart"/>
      <w:r w:rsidRPr="00C46903">
        <w:t>Lettos</w:t>
      </w:r>
      <w:proofErr w:type="spellEnd"/>
      <w:r w:rsidRPr="00C46903">
        <w:t xml:space="preserve"> pranešimas),</w:t>
      </w:r>
    </w:p>
    <w:p w14:paraId="001A2224" w14:textId="41497CAC" w:rsidR="009B42D8" w:rsidRPr="00C46903" w:rsidRDefault="009B42D8" w:rsidP="00937F9E">
      <w:pPr>
        <w:pStyle w:val="Normal6a"/>
        <w:spacing w:after="240"/>
        <w:ind w:left="567" w:hanging="567"/>
      </w:pPr>
      <w:r w:rsidRPr="00C46903">
        <w:t>–</w:t>
      </w:r>
      <w:r w:rsidRPr="00C46903">
        <w:tab/>
        <w:t>atsižvelgdamas į 20</w:t>
      </w:r>
      <w:r w:rsidR="00005DC9">
        <w:t>2</w:t>
      </w:r>
      <w:r w:rsidRPr="00C46903">
        <w:t xml:space="preserve">4 m. spalio 30 d. Sauli </w:t>
      </w:r>
      <w:proofErr w:type="spellStart"/>
      <w:r w:rsidRPr="00C46903">
        <w:t>Niinistö</w:t>
      </w:r>
      <w:proofErr w:type="spellEnd"/>
      <w:r w:rsidRPr="00C46903">
        <w:t xml:space="preserve"> pranešimą „Saugiau kartu. Europos civilinio ir karinio pasirengimo ir parengties stiprinimas“(S. </w:t>
      </w:r>
      <w:proofErr w:type="spellStart"/>
      <w:r w:rsidRPr="00C46903">
        <w:t>Niinistö</w:t>
      </w:r>
      <w:proofErr w:type="spellEnd"/>
      <w:r w:rsidRPr="00C46903">
        <w:t xml:space="preserve"> pranešimas), </w:t>
      </w:r>
    </w:p>
    <w:p w14:paraId="059C71BC" w14:textId="77777777" w:rsidR="009B42D8" w:rsidRPr="00C46903" w:rsidRDefault="009B42D8" w:rsidP="00937F9E">
      <w:pPr>
        <w:pStyle w:val="Normal6a"/>
        <w:spacing w:after="240"/>
        <w:ind w:left="567" w:hanging="567"/>
      </w:pPr>
      <w:r w:rsidRPr="00C46903">
        <w:t>–</w:t>
      </w:r>
      <w:r w:rsidRPr="00C46903">
        <w:tab/>
        <w:t>atsižvelgdamas į savo 2025 m. kovo 12 d. rezoliuciją dėl Baltosios knygos dėl Europos gynybos ateities</w:t>
      </w:r>
      <w:r w:rsidRPr="00C46903">
        <w:rPr>
          <w:rStyle w:val="FootnoteReference"/>
        </w:rPr>
        <w:footnoteReference w:id="4"/>
      </w:r>
      <w:r w:rsidRPr="00C46903">
        <w:t>,</w:t>
      </w:r>
    </w:p>
    <w:p w14:paraId="5DC3E4AE" w14:textId="77777777" w:rsidR="009B42D8" w:rsidRPr="00C46903" w:rsidRDefault="009B42D8" w:rsidP="00937F9E">
      <w:pPr>
        <w:pStyle w:val="Normal6a"/>
        <w:spacing w:after="240"/>
        <w:ind w:left="567" w:hanging="567"/>
      </w:pPr>
      <w:r w:rsidRPr="00C46903">
        <w:t>–</w:t>
      </w:r>
      <w:r w:rsidRPr="00C46903">
        <w:tab/>
        <w:t>atsižvelgdamas į savo 2025 m. liepos 8 d. rezoliuciją dėl 2024 m. metinio pranešimo dėl Europos investicijų banko finansinės veiklos</w:t>
      </w:r>
      <w:r w:rsidRPr="00C46903">
        <w:rPr>
          <w:rStyle w:val="FootnoteReference"/>
        </w:rPr>
        <w:footnoteReference w:id="5"/>
      </w:r>
      <w:r w:rsidRPr="00C46903">
        <w:t>,</w:t>
      </w:r>
    </w:p>
    <w:p w14:paraId="3F28D5F1" w14:textId="77777777" w:rsidR="009B42D8" w:rsidRPr="00C46903" w:rsidRDefault="009B42D8" w:rsidP="00937F9E">
      <w:pPr>
        <w:pStyle w:val="Normal6a"/>
        <w:spacing w:after="240"/>
        <w:ind w:left="567" w:hanging="567"/>
      </w:pPr>
      <w:r w:rsidRPr="00C46903">
        <w:t>–</w:t>
      </w:r>
      <w:r w:rsidRPr="00C46903">
        <w:tab/>
        <w:t>atsižvelgdamas į 2025 m. rugpjūčio 28 d. Komisijos pranešimą dėl tvaraus finansavimo sistemos ir Įmonių tvarumo išsamaus patikrinimo direktyvos taikymo gynybos sektoriui (C(2025)3800),</w:t>
      </w:r>
    </w:p>
    <w:p w14:paraId="1CA4535F" w14:textId="77777777" w:rsidR="009B42D8" w:rsidRPr="00C46903" w:rsidRDefault="009B42D8" w:rsidP="00937F9E">
      <w:pPr>
        <w:pStyle w:val="NormalHanging12a"/>
      </w:pPr>
      <w:r w:rsidRPr="00C46903">
        <w:t>–</w:t>
      </w:r>
      <w:r w:rsidRPr="00C46903">
        <w:tab/>
        <w:t>atsižvelgdamas į Ekonomikos ir pinigų politikos komiteto, Pramonės, mokslinių tyrimų ir energetikos komiteto ir Biudžeto komiteto nuomones,</w:t>
      </w:r>
    </w:p>
    <w:p w14:paraId="671F2EAA" w14:textId="77777777" w:rsidR="009B42D8" w:rsidRPr="00C46903" w:rsidRDefault="009B42D8" w:rsidP="009B42D8">
      <w:pPr>
        <w:pStyle w:val="NormalHanging12a"/>
      </w:pPr>
      <w:r w:rsidRPr="00C46903">
        <w:t>–</w:t>
      </w:r>
      <w:r w:rsidRPr="00C46903">
        <w:tab/>
        <w:t>atsižvelgdamas į Darbo tvarkos taisyklių 55 straipsnį,</w:t>
      </w:r>
    </w:p>
    <w:p w14:paraId="324E10B7" w14:textId="77777777" w:rsidR="009B42D8" w:rsidRPr="00C46903" w:rsidRDefault="009B42D8" w:rsidP="009B42D8">
      <w:pPr>
        <w:pStyle w:val="NormalHanging12a"/>
      </w:pPr>
      <w:r w:rsidRPr="00C46903">
        <w:t>–</w:t>
      </w:r>
      <w:r w:rsidRPr="00C46903">
        <w:tab/>
        <w:t>atsižvelgdamas į Saugumo ir gynybos komiteto pranešimą (A10-0243/2025),</w:t>
      </w:r>
    </w:p>
    <w:p w14:paraId="77E417F7" w14:textId="77777777" w:rsidR="009B42D8" w:rsidRPr="00C46903" w:rsidRDefault="009B42D8" w:rsidP="009B42D8">
      <w:pPr>
        <w:pStyle w:val="NormalHanging12a"/>
      </w:pPr>
      <w:r w:rsidRPr="00C46903">
        <w:t>A.</w:t>
      </w:r>
      <w:r w:rsidRPr="00C46903">
        <w:tab/>
        <w:t xml:space="preserve">kadangi, Europos gynybos agentūros (EGA) duomenimis, valstybių narių išlaidos gynybai po 2014 m. sumažėjimo 2024 m. pasiekė 343 mlrd. EUR ir sudarė 1,9 % BVP, t. y. 19 % daugiau nei 2023 m.; kadangi, EGA duomenimis, valstybių narių gynybos </w:t>
      </w:r>
      <w:r w:rsidRPr="00C46903">
        <w:lastRenderedPageBreak/>
        <w:t>išlaidos 2025 m. gali viršyti NATO gairėse nustatytą 2 % ribą;</w:t>
      </w:r>
    </w:p>
    <w:p w14:paraId="0478569F" w14:textId="77777777" w:rsidR="009B42D8" w:rsidRPr="00C46903" w:rsidRDefault="009B42D8" w:rsidP="009B42D8">
      <w:pPr>
        <w:pStyle w:val="NormalHanging12a"/>
        <w:rPr>
          <w:bCs/>
          <w:iCs/>
        </w:rPr>
      </w:pPr>
      <w:r w:rsidRPr="00C46903">
        <w:t>B.</w:t>
      </w:r>
      <w:r w:rsidRPr="00C46903">
        <w:tab/>
        <w:t>kadangi dabartinio investicijų į saugumą ir gynybą lygio ES nepakanka, kad būtų pasiekti kiekvienos valstybės narės pajėgumų tikslai; kadangi išlaidos imantis pavienių veiksmų yra daug didesnės nei imantis bendrų veiksmų; kadangi nepasirengimo ir bet kokio galimo karinio pralaimėjimo bei dėl to prarasto savarankiškumo kaina smarkiai pranoksta neatidėliotinų ryžtingų veiksmų išlaidas; kadangi nacionalinių gynybos išlaidų didinimas, nesprendžiant koordinavimo, perteklinių pastangų ir nesuderintų strategijų problemų, gali duoti priešingą rezultatą, nes dėl didėjančios tarpusavio konkurencijos gali paaštrėti pajėgų integracijos problemos ir padidėti valstybių narių viešųjų pirkimų išlaidos;</w:t>
      </w:r>
    </w:p>
    <w:p w14:paraId="179FB6DB" w14:textId="77777777" w:rsidR="009B42D8" w:rsidRPr="00C46903" w:rsidRDefault="009B42D8" w:rsidP="009B42D8">
      <w:pPr>
        <w:pStyle w:val="NormalHanging12a"/>
      </w:pPr>
      <w:r w:rsidRPr="00C46903">
        <w:t>C.</w:t>
      </w:r>
      <w:r w:rsidRPr="00C46903">
        <w:tab/>
        <w:t xml:space="preserve">kadangi S. </w:t>
      </w:r>
      <w:proofErr w:type="spellStart"/>
      <w:r w:rsidRPr="00C46903">
        <w:t>Niinistö</w:t>
      </w:r>
      <w:proofErr w:type="spellEnd"/>
      <w:r w:rsidRPr="00C46903">
        <w:t xml:space="preserve"> pranešime pabrėžiama, kad, siekiant įveikti endeminį susiskaidymą ir dešimtmečius trunkantį nepakankamą investavimą, labai svarbu padidinti turimą finansavimą bendradarbiavimui gynybos srityje; kadangi Komisija nustatė, kad valstybių narių gynybos pajėgumams reikia 800 mlrd. EUR investicijų, kurias iki 2030 m. numatyta skirti pagal planą „</w:t>
      </w:r>
      <w:proofErr w:type="spellStart"/>
      <w:r w:rsidRPr="00C46903">
        <w:t>ReArm</w:t>
      </w:r>
      <w:proofErr w:type="spellEnd"/>
      <w:r w:rsidRPr="00C46903">
        <w:t xml:space="preserve"> </w:t>
      </w:r>
      <w:proofErr w:type="spellStart"/>
      <w:r w:rsidRPr="00C46903">
        <w:t>Europe</w:t>
      </w:r>
      <w:proofErr w:type="spellEnd"/>
      <w:r w:rsidRPr="00C46903">
        <w:t>“, o tai reiškia, kad išlaidos kasmet turėtų būti didinamos 10 %, kad 2030 m. sudarytų maždaug 575 mlrd. EUR, arba 3,15 % bendro BVP; kadangi tai atitinka M. </w:t>
      </w:r>
      <w:proofErr w:type="spellStart"/>
      <w:r w:rsidRPr="00C46903">
        <w:t>Draghi</w:t>
      </w:r>
      <w:proofErr w:type="spellEnd"/>
      <w:r w:rsidRPr="00C46903">
        <w:t xml:space="preserve"> pranešimą dėl Europos konkurencingumo ateities;</w:t>
      </w:r>
    </w:p>
    <w:p w14:paraId="65369FA9" w14:textId="77777777" w:rsidR="009B42D8" w:rsidRPr="00C46903" w:rsidRDefault="009B42D8" w:rsidP="009B42D8">
      <w:pPr>
        <w:pStyle w:val="NormalHanging12a"/>
      </w:pPr>
      <w:r w:rsidRPr="00C46903">
        <w:t>D.</w:t>
      </w:r>
      <w:r w:rsidRPr="00C46903">
        <w:tab/>
        <w:t>kadangi savo pasiūlyme dėl 2028–2034 m. daugiametės finansinės programos (DFP) Komisija iš Europos konkurencingumo fondo gynybai ir kosmosui numato skirti 115,7 mlrd. EUR (2025 m. kainomis), t. y. penkis kartus daugiau nei ankstesniu DFP laikotarpiu, o kariniam mobilumui pagal Europos infrastruktūros tinklų priemonę – 15,7 mlrd. EUR (2025 m. kainomis), t. y. dešimt kartų daugiau, palyginti su ankstesniu laikotarpiu, siekiant remti transporto infrastruktūros, kuri gali būti naudojama tiek civiliniais, tiek kariniais tikslais, plėtrą;</w:t>
      </w:r>
    </w:p>
    <w:p w14:paraId="7B9807C2" w14:textId="77777777" w:rsidR="009B42D8" w:rsidRPr="00C46903" w:rsidRDefault="009B42D8" w:rsidP="009B42D8">
      <w:pPr>
        <w:pStyle w:val="NormalHanging12a"/>
      </w:pPr>
      <w:r w:rsidRPr="00C46903">
        <w:t>E.</w:t>
      </w:r>
      <w:r w:rsidRPr="00C46903">
        <w:tab/>
        <w:t>kadangi ES piliečiai iš Sąjungos ir jos biudžeto pagrįstai tikisi daugiau, įskaitant pajėgumus greitai ir veiksmingai reaguoti į kintančias grėsmes ir teikti reikiamą paramą siekiant stiprinti gynybos pajėgumus, ypač krizės metu; kadangi kitoje DFP turėtų būti remiamas visapusiškas požiūris į saugumą ir tinkamai finansuojamos priemonės, kuriomis stiprinama gynybos parengtis ir atsparumas;</w:t>
      </w:r>
    </w:p>
    <w:p w14:paraId="126E96DD" w14:textId="77777777" w:rsidR="009B42D8" w:rsidRPr="00C46903" w:rsidRDefault="009B42D8" w:rsidP="009B42D8">
      <w:pPr>
        <w:pStyle w:val="NormalHanging12a"/>
      </w:pPr>
      <w:r w:rsidRPr="00C46903">
        <w:t>F.</w:t>
      </w:r>
      <w:r w:rsidRPr="00C46903">
        <w:tab/>
        <w:t>kadangi, EGA duomenimis, 31 % valstybių narių gynybos išlaidų 2024 m. buvo skirta investicijoms, o iš jų 88,2 % skirta naujai įrangai įsigyti ir 11,8 % – moksliniams tyrimams ir plėtrai; kadangi 2024 m. išlaidos gynybos įrangos viešiesiems pirkimams siekė 88 mlrd. EUR ir, palyginti su 2023 m., išaugo 39 %; kadangi įgyvendinant planą „</w:t>
      </w:r>
      <w:proofErr w:type="spellStart"/>
      <w:r w:rsidRPr="00C46903">
        <w:t>ReArm</w:t>
      </w:r>
      <w:proofErr w:type="spellEnd"/>
      <w:r w:rsidRPr="00C46903">
        <w:t xml:space="preserve"> </w:t>
      </w:r>
      <w:proofErr w:type="spellStart"/>
      <w:r w:rsidRPr="00C46903">
        <w:t>Europe</w:t>
      </w:r>
      <w:proofErr w:type="spellEnd"/>
      <w:r w:rsidRPr="00C46903">
        <w:t>“ tikimasi, kad dėl šio padidinimo iki 2030 m. bus pritraukta bent 240 mlrd. EUR papildomų investicijų; kadangi 2024 m. išlaidos gynybos srities moksliniams tyrimams ir plėtrai valstybėse narėse taip pat padidėjo 20 % ir siekė 13 mlrd. EUR;</w:t>
      </w:r>
    </w:p>
    <w:p w14:paraId="379E59A7" w14:textId="77777777" w:rsidR="009B42D8" w:rsidRPr="00C46903" w:rsidRDefault="009B42D8" w:rsidP="009B42D8">
      <w:pPr>
        <w:pStyle w:val="NormalHanging12a"/>
      </w:pPr>
      <w:r w:rsidRPr="00C46903">
        <w:t>G.</w:t>
      </w:r>
      <w:r w:rsidRPr="00C46903">
        <w:tab/>
        <w:t>kadangi, Komisijos teigimu, nuo 2022 m. vasario mėn. iki 2023 m. birželio mėn. 78 % valstybių narių viešųjų pirkimų gynybos srityje buvo vykdomi iš ES nepriklausančių šalių, iš kurių du trečdaliai – iš Jungtinių Amerikos Valstijų, o Europos viešieji pirkimai sudaro 70 % Europos gynybos technologinės ir pramoninės bazės (EGTPB) apyvartos;</w:t>
      </w:r>
    </w:p>
    <w:p w14:paraId="50E22C71" w14:textId="77777777" w:rsidR="009B42D8" w:rsidRPr="00C46903" w:rsidRDefault="009B42D8" w:rsidP="009B42D8">
      <w:pPr>
        <w:pStyle w:val="NormalHanging12a"/>
      </w:pPr>
      <w:r w:rsidRPr="00C46903">
        <w:t>H.</w:t>
      </w:r>
      <w:r w:rsidRPr="00C46903">
        <w:tab/>
        <w:t xml:space="preserve">kadangi, Europos kosmoso, saugumo ir gynybos pramonės asociacijos duomenimis, EGTPB, kuri 2023 m. turėjo apie 580 000 tiesioginių darbo vietų bei 1,4 mln. netiesioginių darbo vietų ir kurios apyvarta siekė 160 mlrd. EUR (iš kurių trečdalį </w:t>
      </w:r>
      <w:r w:rsidRPr="00C46903">
        <w:lastRenderedPageBreak/>
        <w:t>sudarė eksportas), susiduria su trejopu iššūkiu, susijusiu su įdarbinimu, tiekimu ir finansavimu;</w:t>
      </w:r>
    </w:p>
    <w:p w14:paraId="0FCFBD8D" w14:textId="77777777" w:rsidR="009B42D8" w:rsidRPr="00C46903" w:rsidRDefault="009B42D8" w:rsidP="009B42D8">
      <w:pPr>
        <w:pStyle w:val="NormalHanging12a"/>
      </w:pPr>
      <w:r w:rsidRPr="00C46903">
        <w:t>I.</w:t>
      </w:r>
      <w:r w:rsidRPr="00C46903">
        <w:tab/>
        <w:t>kadangi mažosios ir vidutinės įmonės (MVĮ) yra itin svarbi EGTPB dalis, užtikrinanti inovacijas, lankstumą ir atsparumą visoje vertės grandinėje; kadangi, remiantis 2024 m. Komisijos tyrimu dėl galimybių gauti nuosavo kapitalo finansavimą, EGTPB priklausančios MVĮ susiduria su didesniais sunkumais gauti kreditų ir nuosavo kapitalo finansavimą nei kitų sektorių MVĮ dėl: i) viešųjų pirkimų ir mokėjimo terminų tarp subrangovų nereguliarumo, dėl kurio sumažėja pinigų srautų matomumas, ii) to, kad kai kurie investuotojai gynybos veiklą atmeta dėl su įvaizdžiu susijusių priežasčių, ir iii) ribotų galimybių pasitraukti Europos kapitalo rinkose investuojant į gynybos aktyvus; kadangi, siekiant su gynyba susijusioms MVĮ suteikti sąžiningą prieigą prie kapitalo rinkų ir privačių investicijų, taip didinant konkurencingumą ir ekonominį atsparumą, nepaprastai svarbu šalinti tokias finansavimo kliūtis;</w:t>
      </w:r>
    </w:p>
    <w:p w14:paraId="2FA77D2D" w14:textId="77777777" w:rsidR="009B42D8" w:rsidRPr="00C46903" w:rsidRDefault="009B42D8" w:rsidP="009B42D8">
      <w:pPr>
        <w:pStyle w:val="NormalHanging12a"/>
      </w:pPr>
      <w:r w:rsidRPr="00C46903">
        <w:t>J.</w:t>
      </w:r>
      <w:r w:rsidRPr="00C46903">
        <w:tab/>
        <w:t>kadangi apskaičiuota, kad papildomi EGTPB finansavimo poreikiai 2025–2030 m. laikotarpiu sudarys mažiausiai 30–40 mlrd. EUR, įskaitant 6–18 mlrd. EUR, kurie bus užtikrinti pasitelkiant nuosavą kapitalą; kadangi tai rodo ES santaupų ir investicijų sąjungos svarbą sutelkiant ilgalaikį privatųjį kapitalą ir pritraukiant institucinius investuotojus;</w:t>
      </w:r>
    </w:p>
    <w:p w14:paraId="4779EE9B" w14:textId="77777777" w:rsidR="009B42D8" w:rsidRPr="00C46903" w:rsidRDefault="009B42D8" w:rsidP="009B42D8">
      <w:pPr>
        <w:pStyle w:val="NormalHanging12a"/>
      </w:pPr>
      <w:r w:rsidRPr="00C46903">
        <w:t>K.</w:t>
      </w:r>
      <w:r w:rsidRPr="00C46903">
        <w:tab/>
        <w:t>kadangi gynybos sektorius tebėra labai susiskaidęs, susiformavęs aplink didelius užsakovus ir trapias subrangos grandines, ir visos Europos vertės grandinės yra nepakankamai išvystytos, o tai riboja mažųjų įmonių pinigų srautus, kurios dėl to neretai yra priverstos savo apyvartinio kapitalo poreikius finansuoti ilgalaikiais ištekliais;</w:t>
      </w:r>
      <w:r w:rsidRPr="00C46903">
        <w:rPr>
          <w:b/>
          <w:i/>
        </w:rPr>
        <w:t xml:space="preserve"> </w:t>
      </w:r>
      <w:r w:rsidRPr="00C46903">
        <w:t>kadangi tai trukdo stiprinti EGTPB, kuri yra labai svarbi kuriant gynybos pajėgumus;</w:t>
      </w:r>
    </w:p>
    <w:p w14:paraId="2BC3802F" w14:textId="77777777" w:rsidR="009B42D8" w:rsidRPr="00C46903" w:rsidRDefault="009B42D8" w:rsidP="009B42D8">
      <w:pPr>
        <w:pStyle w:val="NormalHanging12a"/>
      </w:pPr>
      <w:r w:rsidRPr="00C46903">
        <w:t>L.</w:t>
      </w:r>
      <w:r w:rsidRPr="00C46903">
        <w:tab/>
        <w:t>kadangi EIB pirmenybę teikė saugumo ir gynybos sektoriui, pritaikė savo skolinimo kriterijus, vidaus procesus ir sukūrė vieno langelio principu veikiančią finansinės paramos saugumo ir gynybos srityje sistemą – Saugumo ir gynybos biurą; kadangi 2024 m. EIB sutelkė beveik 1 mlrd. EUR, o 2025 m. siekė sutelkti 2 mlrd. EUR, tačiau faktiškai jau pasiekė 3 mlrd. EUR sumą; kadangi nuo 2017 m. gynybai jis jau skyrė 13 mlrd. EUR ir iki 2027 m. planuoja skirti dar 6 mlrd. EUR, į šią veiklą įtraukdamas dvejopo naudojimo projektus ir naujas finansines priemones; kadangi siekiant užtikrinti įtraukų ir novatorišką augimą visoje ES nepaprastai svarbu gerinti MVĮ ir vidutinės kapitalizacijos įmonių galimybes naudotis EIB priemonėmis gynybos ir saugumo ekosistemoje;</w:t>
      </w:r>
    </w:p>
    <w:p w14:paraId="061956AE" w14:textId="77777777" w:rsidR="009B42D8" w:rsidRPr="00C46903" w:rsidRDefault="009B42D8" w:rsidP="009B42D8">
      <w:pPr>
        <w:pStyle w:val="Normal6a"/>
        <w:spacing w:after="240"/>
        <w:ind w:left="567" w:hanging="567"/>
      </w:pPr>
      <w:bookmarkStart w:id="7" w:name="_Hlk215500216"/>
      <w:r w:rsidRPr="00C46903">
        <w:t>M.</w:t>
      </w:r>
      <w:r w:rsidRPr="00C46903">
        <w:tab/>
        <w:t>kadangi EIB atlieka svarbų vaidmenį skatinant ekonominę sanglaudą, darnų vystymąsi ir konkurencingumą ES; kadangi baltojoje knygoje dėl Europos gynybos ateities siūlyta įsteigti gynybos, saugumo ir atsparumo banką; kadangi oficialus EIB įgaliojimų išplėtimas įtraukiant paramą EGTPB būtų veiksmingesnis ir proporcingesnis sprendimas nei naujo gynybos, saugumo ir atsparumo banko sukūrimas;</w:t>
      </w:r>
    </w:p>
    <w:bookmarkEnd w:id="7"/>
    <w:p w14:paraId="151F0F41" w14:textId="77777777" w:rsidR="009B42D8" w:rsidRPr="00C46903" w:rsidRDefault="009B42D8" w:rsidP="009B42D8">
      <w:pPr>
        <w:pStyle w:val="Normal6a"/>
        <w:tabs>
          <w:tab w:val="left" w:pos="567"/>
        </w:tabs>
        <w:spacing w:after="240"/>
        <w:ind w:left="567" w:hanging="567"/>
      </w:pPr>
      <w:r w:rsidRPr="00C46903">
        <w:t>N.</w:t>
      </w:r>
      <w:r w:rsidRPr="00C46903">
        <w:tab/>
        <w:t>kadangi bet koks EIB skolinimo politikos ir tinkamumo kriterijų išplėtimas įtraukiant su gynyba susijusią įrangą turi būti vertinamas atsižvelgiant į poreikį išsaugoti EIB finansinį stabilumą ir jo AAA kredito reitingą, kurie tebėra labai svarbios jo pajėgumų įgyvendinti ES politikos prioritetus, įskaitant gynybos parengtį ir bendrą ES politinę nepriklausomybę, apsaugos priemonės;</w:t>
      </w:r>
    </w:p>
    <w:p w14:paraId="6398F35F" w14:textId="77777777" w:rsidR="009B42D8" w:rsidRPr="00C46903" w:rsidRDefault="009B42D8" w:rsidP="009B42D8">
      <w:pPr>
        <w:pStyle w:val="NormalHanging12a"/>
      </w:pPr>
      <w:r w:rsidRPr="00C46903">
        <w:t>O.</w:t>
      </w:r>
      <w:r w:rsidRPr="00C46903">
        <w:tab/>
        <w:t xml:space="preserve">kadangi pagal ES bendradarbiavimo mechanizmą tiesioginių užsienio investicijų (TUI) </w:t>
      </w:r>
      <w:r w:rsidRPr="00C46903">
        <w:lastRenderedPageBreak/>
        <w:t>tikrinimo srityje 2023 m. buvo išsamiai išnagrinėti maždaug 39 TUI atvejai, visų pirma susiję su gynybos ir aeronautikos sektoriais</w:t>
      </w:r>
      <w:r w:rsidRPr="00C46903">
        <w:rPr>
          <w:rStyle w:val="FootnoteReference"/>
        </w:rPr>
        <w:footnoteReference w:id="6"/>
      </w:r>
      <w:r w:rsidRPr="00C46903">
        <w:t>;</w:t>
      </w:r>
    </w:p>
    <w:p w14:paraId="7DBD7DA4" w14:textId="77777777" w:rsidR="009B42D8" w:rsidRPr="00C46903" w:rsidRDefault="009B42D8" w:rsidP="009B42D8">
      <w:pPr>
        <w:pStyle w:val="NormalHanging12a"/>
      </w:pPr>
      <w:r w:rsidRPr="00C46903">
        <w:t>P.</w:t>
      </w:r>
      <w:r w:rsidRPr="00C46903">
        <w:tab/>
        <w:t>kadangi, nepaisant to, kad Europoje steigiami specializuoti fondai, 2024 m. buvo tik apie 30 Europos gynybos srities fondų, iš kurių keturi turėjo daugiau kaip 500 mln. EUR aktyvų, palyginti su daugiau kaip 50 fondų Jungtinėse Amerikos Valstijose, iš kurių 30 buvo minėto dydžio, ir dėl šios padėties antrinė rinka tampa mažiau patraukli, sumažėja pasitraukimo operacijų vertė ir kyla rizika, kad fondus perims užsienio investuotojai;</w:t>
      </w:r>
    </w:p>
    <w:p w14:paraId="6989FFA0" w14:textId="77777777" w:rsidR="009B42D8" w:rsidRPr="00C46903" w:rsidRDefault="009B42D8" w:rsidP="009B42D8">
      <w:pPr>
        <w:pStyle w:val="Normal6a"/>
        <w:tabs>
          <w:tab w:val="left" w:pos="567"/>
        </w:tabs>
        <w:spacing w:after="240"/>
        <w:ind w:left="567" w:hanging="567"/>
        <w:rPr>
          <w:bCs/>
          <w:iCs/>
        </w:rPr>
      </w:pPr>
      <w:r w:rsidRPr="00C46903">
        <w:t>Q.</w:t>
      </w:r>
      <w:r w:rsidRPr="00C46903">
        <w:tab/>
        <w:t>kadangi blogėjanti saugumo aplinka ir didėjančios hibridinės bei įprastinės grėsmės visoje ES rodo, kad reikia tvarių investicijų į gynybos parengtį, atsparumą ir karinį mobilumą; kadangi rytinis flangas bendro Europos saugumo požiūriu yra strateginis regionas, kuriam reikia geresnės infrastruktūros, stebėjimo pajėgumų ir greito pastiprinimo mechanizmų; kadangi siekiant užtikrinti ES parengtį labai svarbu stiprinti sienų valdymą, gerinti kovos su bepiločiais orlaiviais ir oro gynybos sistemas ir plėtoti gynybos pramonės regioninius gamybos ir inovacijų pajėgumus; kadangi šios priemonės, įskaitant pagrindinių iniciatyvų, pvz., Europos gynybinė dronų iniciatyva, Rytinio flango stebėjimo iniciatyva, Europos oro skydo ir Europos kosmoso skydo iniciatyvos, įgyvendinimą, turėtų būti remiamos tinkamu ES finansavimu; kadangi tokios pastangos yra labai svarbios siekiant apsaugoti labiausiai pažeidžiamas valstybes nares, išsaugoti ES teritorinį vientisumą ir užtikrinti kolektyvinį atgrasymą bei stabilumą visame žemyne;</w:t>
      </w:r>
    </w:p>
    <w:p w14:paraId="6E20917C" w14:textId="77777777" w:rsidR="009B42D8" w:rsidRPr="00C46903" w:rsidRDefault="009B42D8" w:rsidP="009B42D8">
      <w:pPr>
        <w:pStyle w:val="Normal6a"/>
        <w:rPr>
          <w:i/>
          <w:iCs/>
        </w:rPr>
      </w:pPr>
      <w:r w:rsidRPr="00C46903">
        <w:rPr>
          <w:rStyle w:val="Bold"/>
          <w:i/>
        </w:rPr>
        <w:t>Stabilus privačių investicijų į gynybą pagrindas ir ilgalaikė vizija</w:t>
      </w:r>
    </w:p>
    <w:p w14:paraId="727A459E" w14:textId="77777777" w:rsidR="009B42D8" w:rsidRPr="00C46903" w:rsidRDefault="009B42D8" w:rsidP="009B42D8">
      <w:pPr>
        <w:pStyle w:val="Normal12a24b"/>
      </w:pPr>
      <w:r w:rsidRPr="00C46903">
        <w:rPr>
          <w:rStyle w:val="Italic"/>
        </w:rPr>
        <w:t>Valstybių narių viešųjų investicijų į gynybą rėmimas ir geresnis valdymas</w:t>
      </w:r>
    </w:p>
    <w:p w14:paraId="57CDBD1A" w14:textId="77777777" w:rsidR="009B42D8" w:rsidRPr="00C46903" w:rsidRDefault="009B42D8" w:rsidP="00937F9E">
      <w:pPr>
        <w:tabs>
          <w:tab w:val="left" w:pos="567"/>
        </w:tabs>
        <w:spacing w:after="240"/>
        <w:ind w:left="567" w:hanging="567"/>
        <w:rPr>
          <w:bCs/>
          <w:iCs/>
        </w:rPr>
      </w:pPr>
      <w:r w:rsidRPr="00C46903">
        <w:t>1.</w:t>
      </w:r>
      <w:r w:rsidRPr="00C46903">
        <w:tab/>
        <w:t xml:space="preserve">mano, kad atėjo laikas atnaujinti politinį įsipareigojimą užtikrinti, kad ES taptų patikima saugumo </w:t>
      </w:r>
      <w:proofErr w:type="spellStart"/>
      <w:r w:rsidRPr="00C46903">
        <w:t>užtikrintoja</w:t>
      </w:r>
      <w:proofErr w:type="spellEnd"/>
      <w:r w:rsidRPr="00C46903">
        <w:t>, skatinant glaudesnį valstybių narių, jų ginkluotųjų pajėgų ir pramonės bendradarbiavimą ir taip stiprinant ES gynybos parengtį; ragina valstybes nares sutelkti pastangas, kad būtų sukurta nuosekli, plataus užmojo ir integruota Europos gynybos sistema; šiuo atžvilgiu pabrėžia, kad Komisija ir valstybės narės turi parengti nepaprastosios padėties procedūras projektams, parengtiems reaguojant į dideles krizes ar karus, įskaitant spartesnį viešųjų lėšų ir privataus kapitalo paskirstymą, nes tai yra neatsiejamas parengties ir ES pajėgumų greitai ir veiksmingai reaguoti į kylančias grėsmes saugumui užtikrinimo elementas;</w:t>
      </w:r>
    </w:p>
    <w:p w14:paraId="0ADC6E48" w14:textId="77777777" w:rsidR="009B42D8" w:rsidRPr="00C46903" w:rsidRDefault="009B42D8" w:rsidP="009B42D8">
      <w:pPr>
        <w:pStyle w:val="NormalHanging12a"/>
      </w:pPr>
      <w:r w:rsidRPr="00C46903">
        <w:t>2.</w:t>
      </w:r>
      <w:r w:rsidRPr="00C46903">
        <w:tab/>
        <w:t>yra susirūpinęs dėl to, kad iki 2025 m. liepos mėn. pabaigos, nepaisant plano „</w:t>
      </w:r>
      <w:proofErr w:type="spellStart"/>
      <w:r w:rsidRPr="00C46903">
        <w:t>ReArm</w:t>
      </w:r>
      <w:proofErr w:type="spellEnd"/>
      <w:r w:rsidRPr="00C46903">
        <w:t xml:space="preserve"> </w:t>
      </w:r>
      <w:proofErr w:type="spellStart"/>
      <w:r w:rsidRPr="00C46903">
        <w:t>Europe</w:t>
      </w:r>
      <w:proofErr w:type="spellEnd"/>
      <w:r w:rsidRPr="00C46903">
        <w:t xml:space="preserve">“ tikslų, tik 10 iš 27 valstybių narių paskelbė aiškų tikslą iki 2030 m. išlaidas gynybai padidinti bent iki 3 % BVP; ragina visas valstybes nares parengti išsamią strateginę savo karinių išlaidų iki 2030 m. viziją, kurioje būtų aiškiai atskirti tik gynybai skirti pajėgumai ir dvejopo naudojimo infrastruktūra ir į kurią būtų įtraukti su pajėgumais susiję tarpiniai tikslai, atsargų rodikliai, duomenys apie MVĮ dalyvavimą ir su bendrų viešųjų pirkimų dalimi susijęs tikslas; pabrėžia, kad nacionaliniai gynybos biudžetai turi padėti pašalinti pajėgumų spragas, atkurti atgrasomąjį poveikį ir užtikrinti tinkamą paramą Ukrainai; atkreipia dėmesį į tai, kad būsimose investicijose pirmenybė turi būti teikiama bendradarbiavimui, sąveikumui ir bendriems viešiesiems pirkimams, kad ES lygmens bendradarbiavimas Europos gynybos pramonės sektoriuje taptų įprastu </w:t>
      </w:r>
      <w:r w:rsidRPr="00C46903">
        <w:lastRenderedPageBreak/>
        <w:t>dalyku; atsižvelgdamas į tai pabrėžia, kad Parengties užtikrinimo iki 2030 m. planą reikia suderinti su konkrečiais kiekybiniais tikslais, nustatytais Europos gynybos pramonės strategijoje (EGPS), visų pirma užtikrinant, kad iki 2030 m. bent 40 proc. gynybos įrangos būtų perkama bendrai, kad iki 2030 m. bent 35 proc. prekybos gynybos srityje būtų vykdoma ES viduje ir kad iki 2030 m. bent 50 proc., o iki 2035 m. – 60 proc. gynybos srities viešųjų pirkimų sudarytų ES pagaminti produktai; giria tas valstybes nares, kurios gynybai nuolat skiria daugiau kaip 3 proc. BVP; primena, kad valstybės narės turėtų reguliariai atnaujinti savo pajėgumų tikslus ir karines doktrinas, kad galėtų reaguoti į naujas ir kylančias grėsmes;</w:t>
      </w:r>
    </w:p>
    <w:p w14:paraId="457F7FD8" w14:textId="77777777" w:rsidR="009B42D8" w:rsidRPr="00C46903" w:rsidRDefault="009B42D8" w:rsidP="009B42D8">
      <w:pPr>
        <w:pStyle w:val="NormalHanging12a"/>
        <w:rPr>
          <w:bCs/>
        </w:rPr>
      </w:pPr>
      <w:r w:rsidRPr="00C46903">
        <w:t>3.</w:t>
      </w:r>
      <w:r w:rsidRPr="00C46903">
        <w:tab/>
        <w:t>pripažįsta, kad ES saugumo padėtis labai pablogėjo, todėl didėja grėsmės ES išorės sienoms; todėl ragina ES ir valstybes nares laikytis visapusiško požiūrio į gynybą, pripažįstant, kad saugumas neapsiriboja vien kariniais ištekliais ir apima gynybą nuo hibridinių grėsmių; pabrėžia, kad vidaus politinis stabilumas yra būtina patikimos karinės galios sąlyga ir kad be piliečių pasitikėjimo institucijomis ir demokratija bendras ES saugumas ir sanglauda išliktų pažeidžiami; ragina skubiai ir solidariai sutelkti ES finansinę paramą, visų pirma toms valstybėms narėms, kurios labiausiai susiduria su konvencinėmis karinėmis grėsmėmis;</w:t>
      </w:r>
    </w:p>
    <w:p w14:paraId="47586A71" w14:textId="77777777" w:rsidR="009B42D8" w:rsidRPr="00C46903" w:rsidRDefault="009B42D8" w:rsidP="009B42D8">
      <w:pPr>
        <w:pStyle w:val="NormalHanging12a"/>
      </w:pPr>
      <w:r w:rsidRPr="00C46903">
        <w:t>4.</w:t>
      </w:r>
      <w:r w:rsidRPr="00C46903">
        <w:tab/>
        <w:t>palankiai vertina plano „</w:t>
      </w:r>
      <w:proofErr w:type="spellStart"/>
      <w:r w:rsidRPr="00C46903">
        <w:t>ReArm</w:t>
      </w:r>
      <w:proofErr w:type="spellEnd"/>
      <w:r w:rsidRPr="00C46903">
        <w:t xml:space="preserve"> </w:t>
      </w:r>
      <w:proofErr w:type="spellStart"/>
      <w:r w:rsidRPr="00C46903">
        <w:t>Europe</w:t>
      </w:r>
      <w:proofErr w:type="spellEnd"/>
      <w:r w:rsidRPr="00C46903">
        <w:t>“ pasiūlymus suteikti valstybėms narėms daugiau biudžetinio lankstumo ir skatinti didesnes išlaidas gynybai siekiant stiprinti EGTPB; ypač atkreipia dėmesį į paskolų priemonę pagal 150 mlrd. EUR vertės priemonę SAFE ir į tai, kad SAFE paskolomis pasinaudos 19 valstybių narių; vis dėlto apgailestauja dėl to, kad Komisija šią priemonę pagrindė SESV 122 straipsniu, pagal kurį su Parlamentu nesikonsultuojama, o tai neleidžia stebėti ir kontroliuoti lėšų ir kyla rizika, kad padidės skirtumai tarp valstybių narių; pabrėžia, kad, vadovaujantis SESV 314 straipsniu, Europos Parlamentas atlieka biudžeto kontrolės funkciją, todėl primygtinai ragina Komisiją ateityje netaikyti 122 straipsnio kitoms su gynybos pramone susijusioms iniciatyvoms arba kitiems gynybos finansavimo klausimams; atsižvelgdamas į tai, mano, kad labai svarbu, jog pagal SAFE įgyvendinami projektai atspindėtų ES pajėgumų prioritetus, nustatytus Baltojoje knygoje dėl Europos gynybos, pajėgumų plėtojimo plane ir Gynybos parengties užtikrinimo iki 2030 m. veiksmų gairėse; vis dėlto apgailestauja dėl to, kad vienos valstybės narės vykdomi viešieji pirkimai atitinka reikalavimus gauti paramą pagal SAFE, jei pirkimo sutartis pasirašoma ne vėliau kaip 2026 m. gegužės 30 d., nes tai neskatina bendrų viešųjų pirkimų ir nemažina rinkos susiskaidymo, ir galiausiai kyla rizika, kad padidės skirtumai tarp valstybių narių; atsižvelgdamas į tai pabrėžia, kad finansavimas taip pat turėtų būti grindžiamas geresnėmis galimybėmis naudotis privačiu kapitalu, nacionaliniais įnašais, esamomis biudžeto maržomis arba alternatyviais mechanizmais, kuriais užtikrinama fiskalinė atsakomybė; šiuo tikslu ragina Komisiją skatinti daugiamečius grupinius pirkimus, kad būtų sumažintos vieneto sąnaudos ir šiuo metu ES naudojamų ginklų sistemų susiskaidymą;</w:t>
      </w:r>
    </w:p>
    <w:p w14:paraId="25F85D40" w14:textId="77777777" w:rsidR="009B42D8" w:rsidRPr="00C46903" w:rsidRDefault="009B42D8" w:rsidP="009B42D8">
      <w:pPr>
        <w:pStyle w:val="NormalHanging12a"/>
      </w:pPr>
      <w:r w:rsidRPr="00C46903">
        <w:t>5.</w:t>
      </w:r>
      <w:r w:rsidRPr="00C46903">
        <w:tab/>
      </w:r>
      <w:bookmarkStart w:id="8" w:name="_Hlk210563278"/>
      <w:r w:rsidRPr="00C46903">
        <w:t>pažymi, kad Europos gynybos ekosistema išlieka susiskaidžiusi pramonės, finansų ir valdymo aspektais; pabrėžia, kad ES biudžetas ir toliau yra veiksminga priemonė siekiant pagerinti integruotą planavimą, stabilų ilgalaikį finansavimą ir veiksmingą įgyvendinimą gynybos srityje, taip įveikiant minėtą susiskaidymą; pakartoja, kad didinant nacionalinius gynybos biudžetus kartu turėtų būti stiprinamas koordinavimas ir bendri veiksmai Europos lygmeniu; primena, kad svarbu užtikrinti plačią paramą viešosioms investicijoms į gynybą, todėl reikia teisingai paskirstyti išlaidas; apgailestauja dėl to, kad plane „</w:t>
      </w:r>
      <w:proofErr w:type="spellStart"/>
      <w:r w:rsidRPr="00C46903">
        <w:t>ReArm</w:t>
      </w:r>
      <w:proofErr w:type="spellEnd"/>
      <w:r w:rsidRPr="00C46903">
        <w:t xml:space="preserve"> </w:t>
      </w:r>
      <w:proofErr w:type="spellStart"/>
      <w:r w:rsidRPr="00C46903">
        <w:t>Europe</w:t>
      </w:r>
      <w:proofErr w:type="spellEnd"/>
      <w:r w:rsidRPr="00C46903">
        <w:t xml:space="preserve">“ nėra griežtos ES pirmumo nuostatos, visų pirma susijusios su SAFE priemone, kuri sustiprintų EGTPB, padėtų sukurti naujų </w:t>
      </w:r>
      <w:r w:rsidRPr="00C46903">
        <w:lastRenderedPageBreak/>
        <w:t>darbo vietų ES, padidintų gynybos produktų sąveiką bei pakeičiamumą ES, sumažintų priklausomybę nuo ES nepriklausančių šalių ir taip sustiprintų Europos atgrasymo pajėgumus ir padidintų jos tiekimo saugumą; pabrėžia, jog tam, kad priemonė SAFE būtų finansiškai veiksminga, ji visų pirma turėtų būti strateginių įgalinančių priemonių, ypač tų, kuriomis užtikrinama žvalgyba, stebėjimas ir išžvalgymas, bendro pirkimo, priežiūros ir naudojimo priemonė; ragina Komisiją visapusiškai pasinaudoti savo vaidmeniu, visų pirma pasitelkiant SAFE darbo grupę, ir užtikrinti, kad valstybių narių nacionaliniai gynybos planai atitiktų SAFE tikslą skatinti bendrus viešuosius pirkimus, kad būtų veiksmingai sprendžiama pajėgumų trūkumo problema ir būtų naudojamos visos turimos priemonės, įskaitant Europos gynybos srities bendrų interesų projektus ir Europos ginkluotės programos struktūrą;</w:t>
      </w:r>
      <w:bookmarkEnd w:id="8"/>
    </w:p>
    <w:p w14:paraId="441E1ED1" w14:textId="77777777" w:rsidR="009B42D8" w:rsidRPr="00C46903" w:rsidRDefault="009B42D8" w:rsidP="009B42D8">
      <w:pPr>
        <w:pStyle w:val="NormalHanging12a"/>
        <w:rPr>
          <w:bCs/>
          <w:iCs/>
        </w:rPr>
      </w:pPr>
      <w:r w:rsidRPr="00C46903">
        <w:t>6.</w:t>
      </w:r>
      <w:r w:rsidRPr="00C46903">
        <w:tab/>
        <w:t>atkreipia dėmesį į ribotą ir nevienodą nacionalinės nukrypti leidžiančios išlygos taikymą ir pažymi, kad, nepaisant tokio lankstumo, kelios valstybės narės ir toliau susiduria su fiskalinio pajėgumo apribojimais, siekdamos patenkinti poreikius ir veiksmingai reaguoti į bendrus prioritetus, o kitos valstybės narės, susirūpinusios dėl finansų rinkų reakcijos, nesikreipė dėl nacionalinės nukrypti leidžiančios išlygos; pripažįsta, kad nacionalinė nukrypti leidžianti išlyga yra laikina priemonė, skirta konkrečioms valstybėms būdingoms ekstremaliosioms situacijoms, o tvariam investicijų planavimui reikia ilgalaikio nuspėjamumo; pabrėžia, kad nuspėjamos fiskalinės ir reguliavimo sąlygos yra labai svarbios siekiant pritraukti privačias investicijas ir užtikrinti veiksmingą viešųjų išteklių naudojimą visoje ES; mano, kad ši sistema turėtų būti remiama ES lygmens investicinėmis priemonėmis, siekiant kuo labiau sumažinti ES mokesčių mokėtojų išlaidas ir kuo veiksmingiau teikti ES viešąsias gėrybes;</w:t>
      </w:r>
    </w:p>
    <w:p w14:paraId="5291051A" w14:textId="77777777" w:rsidR="009B42D8" w:rsidRPr="00C46903" w:rsidRDefault="009B42D8" w:rsidP="009B42D8">
      <w:pPr>
        <w:pStyle w:val="NormalHanging12a"/>
      </w:pPr>
      <w:r w:rsidRPr="00C46903">
        <w:t>7.</w:t>
      </w:r>
      <w:r w:rsidRPr="00C46903">
        <w:tab/>
      </w:r>
      <w:bookmarkStart w:id="9" w:name="_Hlk213505486"/>
      <w:r w:rsidRPr="00C46903">
        <w:t>palankiai vertina Komisijos pasiūlymus supaprastinti, palengvinti ir paspartinti viešuosius pirkimus gynybos srityje; ragina stiprinti pirmenybės teikimo ES principą, užtikrinant, kad paramos gavėjai galėtų spręsti dėl konstrukcijos ir sistemų apibrėžties, pritaikymo ir raidos per visą jų gyvavimo ciklą ir kad jokia sudedamoji dalis nebūtų tiekiama iš ES nepriklausančių šalių ar subjektų, kurių interesai pažeidžia ES ir jos valstybių narių saugumo ir gynybos interesus;</w:t>
      </w:r>
      <w:bookmarkEnd w:id="9"/>
      <w:r w:rsidRPr="00C46903">
        <w:t xml:space="preserve"> be to, ragina visapusiškai suderinti plano „</w:t>
      </w:r>
      <w:proofErr w:type="spellStart"/>
      <w:r w:rsidRPr="00C46903">
        <w:t>ReArm</w:t>
      </w:r>
      <w:proofErr w:type="spellEnd"/>
      <w:r w:rsidRPr="00C46903">
        <w:t xml:space="preserve"> </w:t>
      </w:r>
      <w:proofErr w:type="spellStart"/>
      <w:r w:rsidRPr="00C46903">
        <w:t>Europe</w:t>
      </w:r>
      <w:proofErr w:type="spellEnd"/>
      <w:r w:rsidRPr="00C46903">
        <w:t xml:space="preserve">“ tinkamumo kriterijus su Europos gynybos pramonės programoje (EGPP) nustatytais kriterijais, kad būtų sumažintas susiskaidymas, taupomos išlaidos, didinamas veiksmingumas, skatinamas sąveikumas ir pakeičiamumas ir didinamas EGTPB konkurencingumas; pabrėžia, kad viešųjų pirkimų ir dalyvavimo taisyklės turėtų būti proporcingos ir palankios MVĮ ir ragina nustatyti mažiausią privalomą projekto vertės dalį, kuri būtų skiriama MVĮ dalyvavimui tiekimo grandinėje, taip užtikrinant vienodas galimybes tiek </w:t>
      </w:r>
      <w:proofErr w:type="spellStart"/>
      <w:r w:rsidRPr="00C46903">
        <w:t>startuoliams</w:t>
      </w:r>
      <w:proofErr w:type="spellEnd"/>
      <w:r w:rsidRPr="00C46903">
        <w:t xml:space="preserve"> ir mažesniems tiekėjams, tiek pagrindiniams rangovams, ir išvengiant administracinės naštos, kuri MVĮ atgraso nuo dalyvavimo; be to, ragina didinti ES tiekimo grandinių atsparumą propaguojant bendrus standartus ir mišrias gamybos grandines, kuriomis mažinama kritinė priklausomybė; pripažįsta, jog reikia tvirto transatlantinio bendradarbiavimo, nes tai yra Europos gynybos pagrindas, tačiau reiškia susirūpinimą dėl pranešimo gerokai padidinti gynybos produktų viešųjų pirkimų iš Jungtinių Amerikos Valstijų mastą, nes tai prieštarautų Europos gynybos pramonės strategijoje apibrėžtiems užmojams ir sukeltų netikrumą dėl investicijų į EGTPB; ragina užtikrinti vienodomis sąlygomis grindžiamą transatlantinį bendradarbiavimą gynybos pramonės srityje, kuris būtų naudingos abiem pusėms; pabrėžia, kad dalyvavimas ES gynybos programose turi visiškai atitikti ES pagrindines vertybes ir saugumo interesus bei bendros užsienio ir saugumo politikos (BUSP) ir bendros saugumo ir gynybos politikos (BSGP) tikslus;</w:t>
      </w:r>
    </w:p>
    <w:p w14:paraId="207D93BC" w14:textId="77777777" w:rsidR="009B42D8" w:rsidRPr="00C46903" w:rsidRDefault="009B42D8" w:rsidP="009B42D8">
      <w:pPr>
        <w:pStyle w:val="Normal12a24b"/>
        <w:ind w:left="567" w:hanging="567"/>
      </w:pPr>
      <w:r w:rsidRPr="00C46903">
        <w:lastRenderedPageBreak/>
        <w:t>8.</w:t>
      </w:r>
      <w:r w:rsidRPr="00C46903">
        <w:tab/>
        <w:t>pabrėžia, kad ES gynybos pramonei reikia nuspėjamos, daugiametės paklausos ir bendrų reikalavimų, kad ji galėtų veikti greitai ir plačiu mastu ir kurti vertę; pabrėžia, kad sąveikumas ir standartizavimas turi būti nuo pat pradžių integruoti į viešuosius pirkimus ir investicijas gynybos srityje ES, vykdant bendrus bandymus ir sertifikavimą, taip pat užtikrinant tarpvalstybinį pripažinimą, kad būtų apribotas variantų plitimas ir rinkos susiskaidymas, kaip nurodyta M. </w:t>
      </w:r>
      <w:proofErr w:type="spellStart"/>
      <w:r w:rsidRPr="00C46903">
        <w:t>Draghi</w:t>
      </w:r>
      <w:proofErr w:type="spellEnd"/>
      <w:r w:rsidRPr="00C46903">
        <w:t>, E. </w:t>
      </w:r>
      <w:proofErr w:type="spellStart"/>
      <w:r w:rsidRPr="00C46903">
        <w:t>Lettos</w:t>
      </w:r>
      <w:proofErr w:type="spellEnd"/>
      <w:r w:rsidRPr="00C46903">
        <w:t xml:space="preserve"> ir N. </w:t>
      </w:r>
      <w:proofErr w:type="spellStart"/>
      <w:r w:rsidRPr="00C46903">
        <w:t>Niinistö</w:t>
      </w:r>
      <w:proofErr w:type="spellEnd"/>
      <w:r w:rsidRPr="00C46903">
        <w:t xml:space="preserve"> pranešimuose; ragina valstybes nares savo biudžetinius įsipareigojimus papildyti skaidriomis vidutinės trukmės investicijų į gynybą perspektyvomis, apimančiomis pajėgumų tikslus, viešųjų pirkimų tvarkaraščius ir bendradarbiavimo programoms numatomą išlaidų dalį; ragina EGA šias nacionalines perspektyvas apibendrinti metinėje lyginamojoje apžvalgoje siekiant palengvinti veiksmų koordinavimą ir nustatyti bendrų projektų galimybes;</w:t>
      </w:r>
    </w:p>
    <w:p w14:paraId="0C994C3F" w14:textId="77777777" w:rsidR="009B42D8" w:rsidRPr="00C46903" w:rsidRDefault="009B42D8" w:rsidP="009B42D8">
      <w:pPr>
        <w:pStyle w:val="Normal6a"/>
        <w:ind w:left="567" w:hanging="567"/>
      </w:pPr>
      <w:r w:rsidRPr="00C46903">
        <w:t>9.</w:t>
      </w:r>
      <w:r w:rsidRPr="00C46903">
        <w:tab/>
        <w:t xml:space="preserve">pabrėžia, kad reikia stiprinti EGTPB sutelkiant paklausą, supaprastinant ir suderinant taisykles ir skatinant atvirą ir sąžiningą Europos pramonės konkurenciją, kad Europos gynybos pramonė taptų ekonomiškai efektyvesnė ir konkurencingesnė, o gynybos įranga – </w:t>
      </w:r>
      <w:proofErr w:type="spellStart"/>
      <w:r w:rsidRPr="00C46903">
        <w:t>prieinamesnė</w:t>
      </w:r>
      <w:proofErr w:type="spellEnd"/>
      <w:r w:rsidRPr="00C46903">
        <w:t xml:space="preserve"> visoje ES; apgailestauja dėl to, kad trūksta išsamių duomenų apie ES bendradarbiaujamuosius gynybos įrangos viešuosius pirkimus, todėl neįmanoma pateikti išsamios ES bendradarbiaujamųjų gynybos įrangos viešųjų pirkimų analizės ir tinkamai įvertinti ES gynybos padėties šioje srityje; primygtinai ragina Komisiją ir Tarybą šalinti nuolatines ES vidaus prekybos gynybos produktais kliūtis, įskaitant licencijavimo ir sertifikavimo kliūtis, ir ragina teisėkūros institucijas teikti pirmenybę tam, kad būtų priimtas ir veiksmingai įgyvendintas Komisijos pasiūlymas dėl gynybos bendrojo rinkinio, kuriuo siekiama supaprastinti siuntimą ir viešuosius pirkimus visoje ES ir taip remti atsparesnę ir konkurencingesnę EGTPB;</w:t>
      </w:r>
    </w:p>
    <w:p w14:paraId="700EC228" w14:textId="77777777" w:rsidR="009B42D8" w:rsidRPr="00C46903" w:rsidRDefault="009B42D8" w:rsidP="009B42D8">
      <w:pPr>
        <w:pStyle w:val="Normal12a24b"/>
        <w:tabs>
          <w:tab w:val="left" w:pos="567"/>
        </w:tabs>
        <w:ind w:left="567" w:hanging="567"/>
      </w:pPr>
      <w:r w:rsidRPr="00C46903">
        <w:t>10.</w:t>
      </w:r>
      <w:r w:rsidRPr="00C46903">
        <w:tab/>
        <w:t>atkreipia dėmesį į tai, kad reikėtų stiprinti civilinių inovacijų programų, pvz., programos „Europos horizontas“, ir Europos inovacijų tarybos sąveiką siekiant kuo labiau padidinti poveikį ir išvengti pastangų dubliavimo; kartu pabrėžia, kad technologinė pažanga turi būti derinama su būtinais žmogiškaisiais pajėgumais; reiškia susirūpinimą dėl to, kad 2024 m. dirbančių darbuotojų skaičius padidėjo labai nedaug, ir įspėja, kad didinant investicijas, tačiau nesiimant įdarbinimo ir išlaikymo pastangų gali atsirasti pajėgumų spragų eksploatuojant ir prižiūrint naują įrangą; ragina valstybes nares pirmenybę teikti įdarbinimo ir darbuotojų išlaikymo politikai, įskaitant ES remiamas mainų ir mokymo programas, kad padidėjus išlaidoms būtų užtikrinta reali operatyvinė parengtis;</w:t>
      </w:r>
    </w:p>
    <w:p w14:paraId="013B7E5B" w14:textId="77777777" w:rsidR="009B42D8" w:rsidRPr="00C46903" w:rsidRDefault="009B42D8" w:rsidP="009B42D8">
      <w:pPr>
        <w:pStyle w:val="Normal12a24b"/>
      </w:pPr>
      <w:r w:rsidRPr="00C46903">
        <w:rPr>
          <w:rStyle w:val="Italic"/>
        </w:rPr>
        <w:t>Sąjungos biudžeto ir finansavimo priemonių pritaikymas atsižvelgiant į saugumo iššūkius ir įmonių poreikius</w:t>
      </w:r>
    </w:p>
    <w:p w14:paraId="626B2C6B" w14:textId="77777777" w:rsidR="009B42D8" w:rsidRPr="00C46903" w:rsidRDefault="009B42D8" w:rsidP="009B42D8">
      <w:pPr>
        <w:pStyle w:val="NormalHanging12a"/>
      </w:pPr>
      <w:r w:rsidRPr="00C46903">
        <w:t>11.</w:t>
      </w:r>
      <w:r w:rsidRPr="00C46903">
        <w:tab/>
        <w:t xml:space="preserve">pakartotinai ragina Komisiją išnagrinėti visas galimybes remti valstybių narių investicijas į gynybą ir kuo labiau padidinti esamų mechanizmų sinergiją, kad būtų remiama ES gynybos parengtis; primena savo raginimą užtikrinti, kad kitoje DFP tinkamomis ir koordinuotomis investicijomis būtų remiamas visapusiškas požiūris į saugumą; palankiai vertina 2028–2034 m. DFP pasiūlytą gynybai skirto finansavimo paketo konsolidavimą; vis dėlto apgailestauja, kad Komisija savo pasiūlyme dėl 2028–2034 m. DFP nepateikė pakankamai išsamaus šio paketo paskirstymo; primena, kad išsamus biudžeto paskirstymas yra būtinas, kad biudžeto valdymo institucija galėtų priimti prasmingus ir informacija pagrįstus sprendimus; pabrėžia, kad kitoje DFP numatant pakankamas ES lygmens investicijas į gynybą ir pagrindžiant jas skaidriu valdymu galėtų būti sumažintas dubliavimasis, užtikrinta masto ekonomija ir padidintas sąveikumas; primena specifinį gynybos sektoriaus pobūdį ir mano, kad kitoje DFP turi būti išlaikyti visi Europos gynybos pramonės finansavimo priemonių kriterijai ir </w:t>
      </w:r>
      <w:r w:rsidRPr="00C46903">
        <w:lastRenderedPageBreak/>
        <w:t>procedūros, visų pirma kriterijai, susiję su Europos gynybos fondu ir Europos gynybos pramonės programa;</w:t>
      </w:r>
    </w:p>
    <w:p w14:paraId="4493EA07" w14:textId="77777777" w:rsidR="009B42D8" w:rsidRPr="00C46903" w:rsidRDefault="009B42D8" w:rsidP="009B42D8">
      <w:pPr>
        <w:pStyle w:val="Normal6a"/>
        <w:tabs>
          <w:tab w:val="left" w:pos="567"/>
        </w:tabs>
        <w:spacing w:after="240"/>
        <w:ind w:left="567" w:hanging="567"/>
      </w:pPr>
      <w:r w:rsidRPr="00C46903">
        <w:t>12.</w:t>
      </w:r>
      <w:r w:rsidRPr="00C46903">
        <w:tab/>
        <w:t>atsižvelgdamas į tai, mano, kad reikėtų išnagrinėti visas galimybes remti valstybių narių investicijas į gynybą, visų pirma pasitelkiant esamus mechanizmus ir nedidinant nacionalinių įnašų ar bendros mokesčių naštos piliečiams; pabrėžia, kad tokios priemonės neturėtų būti grindžiamos vien tik ES remiamų paskolų teikimu, pvz., pagal priemonę SAFE;</w:t>
      </w:r>
    </w:p>
    <w:p w14:paraId="7985D5B9" w14:textId="77777777" w:rsidR="009B42D8" w:rsidRPr="00C46903" w:rsidRDefault="009B42D8" w:rsidP="00937F9E">
      <w:pPr>
        <w:tabs>
          <w:tab w:val="left" w:pos="567"/>
        </w:tabs>
        <w:spacing w:after="240"/>
        <w:ind w:left="567" w:hanging="567"/>
      </w:pPr>
      <w:r w:rsidRPr="00C46903">
        <w:t>13.</w:t>
      </w:r>
      <w:r w:rsidRPr="00C46903">
        <w:tab/>
        <w:t>pabrėžia, kad ES finansavimas turėtų papildyti, o ne pakeisti valstybių narių pastangas didinti nacionalines išlaidas gynybai; pabrėžia, kad ES priemonės turėtų suteikti pridėtinės vertės, nes jomis skatinamas bendradarbiavimas, sąveikumas ir veiksmingumas, o pajėgumų planavimas ir reikalavimai turi likti atitinkamose institucinėse sistemose; pakartoja, kad, siekiant patenkinti neatidėliotinus BSGP poreikius, gynybos prioritetams reikia užtikrinti papildomus išteklius; todėl pakartoja savo raginimą Komisijai ir Tarybai užtikrinti, kad ES būtų pasirengusi patenkinti savo bendrus didesnius išlaidų poreikius, be kita ko, patvirtinant naujus nuosavus išteklius;</w:t>
      </w:r>
    </w:p>
    <w:p w14:paraId="1E65097A" w14:textId="77777777" w:rsidR="009B42D8" w:rsidRPr="00C46903" w:rsidRDefault="009B42D8" w:rsidP="009B42D8">
      <w:pPr>
        <w:pStyle w:val="NormalHanging12a"/>
      </w:pPr>
      <w:r w:rsidRPr="00C46903">
        <w:t>14.</w:t>
      </w:r>
      <w:r w:rsidRPr="00C46903">
        <w:tab/>
        <w:t xml:space="preserve">primena, kad EIB tikslas – puoselėti Europos integraciją, skatinti ES vystymąsi ir remti ES politiką vadovaujantis SESV 309 straipsniu; palankiai vertina </w:t>
      </w:r>
      <w:proofErr w:type="spellStart"/>
      <w:r w:rsidRPr="00C46903">
        <w:t>proaktyvų</w:t>
      </w:r>
      <w:proofErr w:type="spellEnd"/>
      <w:r w:rsidRPr="00C46903">
        <w:t xml:space="preserve"> EIB požiūrį didinant finansavimą Europos saugumo ir gynybos srityje; vis dėlto pažymi, kad jo investicijų politika vis dar neapima ginklų ir šaudmenų ir kad iki šiol jo intervencinių priemonių sparta, noras rizikuoti ir mastas buvo nepakankami, kad būtų patenkinti neatidėliotini pasirengimo gynybai poreikiai; atkreipia dėmesį į pažangą, pasiektą jo kriterijų atvėrimo atžvilgiu, tačiau mano, kad jų vis dar nepakanka Gynybos parengties 2030 m. tikslams pasiekti, kaip tyrimuose ir viešose konsultacijose nurodė pramonės suinteresuotieji subjektai; ragina valstybes nares, kaip EIB valdantįjį organą, siekiant suderinamumo su planu „</w:t>
      </w:r>
      <w:proofErr w:type="spellStart"/>
      <w:r w:rsidRPr="00C46903">
        <w:t>ReArm</w:t>
      </w:r>
      <w:proofErr w:type="spellEnd"/>
      <w:r w:rsidRPr="00C46903">
        <w:t xml:space="preserve"> </w:t>
      </w:r>
      <w:proofErr w:type="spellStart"/>
      <w:r w:rsidRPr="00C46903">
        <w:t>Europe</w:t>
      </w:r>
      <w:proofErr w:type="spellEnd"/>
      <w:r w:rsidRPr="00C46903">
        <w:t>“ pritaikyti EIB įgaliojimus, kad būtų sustiprinti jo pajėgumai remti Europos gynybos pramonę, ir peržiūrėti jo investavimo gaires, kad būtų galima finansuoti teisėtus ginklų ir šaudmenų projektus, atitinkančius tarptautinę teisę ir Sąjungos saugumo interesus; ragina EIB grupę didinti prisiimamą riziką ir užmojus siekiant pritraukti investicijas; vis dėlto įspėja, kad joks EIB grupės tinkamumo kriterijų ar finansavimo koregavimas siekiant juos suderinti su naujais prioritetais negali keisti šios grupės finansinės būklės ir turi užtikrinti veiksmingą kitų strateginių ES prioritetų finansavimą; ragina EIB atlikti ir pateikti Parlamentui išsamų kiekybinį jo investuotojų politikos investicijų į gynybą atžvilgiu vertinimą, kai taikytina, nepažeidžiant su investuotojais sudarytų konfidencialumo susitarimų;</w:t>
      </w:r>
    </w:p>
    <w:p w14:paraId="25295D1F" w14:textId="77777777" w:rsidR="009B42D8" w:rsidRPr="00C46903" w:rsidRDefault="009B42D8" w:rsidP="009B42D8">
      <w:pPr>
        <w:pStyle w:val="NormalHanging12a"/>
        <w:rPr>
          <w:bCs/>
          <w:iCs/>
        </w:rPr>
      </w:pPr>
      <w:r w:rsidRPr="00C46903">
        <w:t>15.</w:t>
      </w:r>
      <w:r w:rsidRPr="00C46903">
        <w:tab/>
        <w:t>siūlo EIB nuolat svarstyti ir vertinti savo vaidmenį, taip pat tinkamų finansuoti investicijų aprėptį, atsižvelgiant į neatidėliotiną poreikį plėsti Europos gynybos sektorių ir užtikrinti ilgalaikį saugumą bei strateginį savarankiškumą; siūlo oficialiai išplėsti EIB įgaliojimus, kad parama EGTPB būtų integruota į specializuotą filialą, kuriam būtų teikiamos Komisijos garantijos ir kuriam talkintų ekspertų tinklas; mano, kad tokia struktūra būtų veiksmingesnis sprendimas nei naujo gynybos, saugumo ir atsparumo banko sukūrimas;</w:t>
      </w:r>
    </w:p>
    <w:p w14:paraId="3EE632E5" w14:textId="77777777" w:rsidR="009B42D8" w:rsidRPr="00C46903" w:rsidRDefault="009B42D8" w:rsidP="009B42D8">
      <w:pPr>
        <w:pStyle w:val="NormalHanging12a"/>
      </w:pPr>
      <w:r w:rsidRPr="00C46903">
        <w:t>16.</w:t>
      </w:r>
      <w:r w:rsidRPr="00C46903">
        <w:tab/>
        <w:t xml:space="preserve">pabrėžia, kad svarbu gerinti ES investicijų paramos fondų prieinamumą ir nuoseklumą EGTPB dalyvaujančioms įmonėms, visų pirma </w:t>
      </w:r>
      <w:proofErr w:type="spellStart"/>
      <w:r w:rsidRPr="00C46903">
        <w:t>startuoliams</w:t>
      </w:r>
      <w:proofErr w:type="spellEnd"/>
      <w:r w:rsidRPr="00C46903">
        <w:t xml:space="preserve"> ir MVĮ, laipsniškai patikslinant ir pritaikant tinkamumo kriterijus, atsižvelgiant į Europos gynybos pramonės strategijoje ir Europos gynybos pramonės programoje nustatytus siekius, supaprastinant paraiškų teikimo procedūras ir suderinant darbo programų tikslus; pabrėžia, kad svarbu tokių fondų terminus ir reikalavimus pritaikyti prie skirtingų </w:t>
      </w:r>
      <w:r w:rsidRPr="00C46903">
        <w:lastRenderedPageBreak/>
        <w:t>inovacijų ciklų ir spartos įvairiose pajėgumų srityse; ragina valstybes nares ir regionus stiprinti savo prekybos ir pramonės rūmų vaidmenį remiant EGTPB dalyvaujančių MVĮ mokslinius tyrimus ir galimybes gauti Sąjungos finansavimą;</w:t>
      </w:r>
    </w:p>
    <w:p w14:paraId="203B63B8" w14:textId="77777777" w:rsidR="009B42D8" w:rsidRPr="00C46903" w:rsidRDefault="009B42D8" w:rsidP="009B42D8">
      <w:pPr>
        <w:pStyle w:val="Normal12a24b"/>
        <w:tabs>
          <w:tab w:val="left" w:pos="567"/>
        </w:tabs>
        <w:ind w:left="567" w:hanging="567"/>
        <w:rPr>
          <w:bCs/>
          <w:iCs/>
        </w:rPr>
      </w:pPr>
      <w:r w:rsidRPr="00C46903">
        <w:t>17.</w:t>
      </w:r>
      <w:r w:rsidRPr="00C46903">
        <w:tab/>
        <w:t>ragina Komisiją pateikti aiškias gaires ir šablonus, susijusius su naujų tipų susitarimais, konkurentų veiklos gynybos sektoriuje koordinavimu ir bendru diegimu, kad EGTPB dalyvaujančioms įmonėms būtų sudarytos sąlygos daugiau investuoti į mokslinius tyrimus ir plėtrą;</w:t>
      </w:r>
    </w:p>
    <w:p w14:paraId="216D4C3B" w14:textId="77777777" w:rsidR="009B42D8" w:rsidRPr="00C46903" w:rsidRDefault="009B42D8" w:rsidP="009B42D8">
      <w:pPr>
        <w:widowControl/>
        <w:spacing w:after="240"/>
        <w:ind w:left="567" w:hanging="567"/>
      </w:pPr>
      <w:r w:rsidRPr="00C46903">
        <w:t>18.</w:t>
      </w:r>
      <w:r w:rsidRPr="00C46903">
        <w:tab/>
        <w:t>ragina sukurti viešųjų ir privačiųjų investicijų į gynybą rėmimo priemonę, grindžiamą garantijomis iš ES biudžeto, remiantis „</w:t>
      </w:r>
      <w:proofErr w:type="spellStart"/>
      <w:r w:rsidRPr="00C46903">
        <w:t>InvestEU</w:t>
      </w:r>
      <w:proofErr w:type="spellEnd"/>
      <w:r w:rsidRPr="00C46903">
        <w:t>“ pavyzdžiu; trumpuoju laikotarpiu palankiai vertina Komisijos pasiūlymą dėl deleguotojo akto dėl „</w:t>
      </w:r>
      <w:proofErr w:type="spellStart"/>
      <w:r w:rsidRPr="00C46903">
        <w:t>InvestEU</w:t>
      </w:r>
      <w:proofErr w:type="spellEnd"/>
      <w:r w:rsidRPr="00C46903">
        <w:t>“ fondo investicijų gairių, skirtų strateginėms investicijoms gynybos srityje</w:t>
      </w:r>
      <w:r w:rsidRPr="00C46903">
        <w:rPr>
          <w:rStyle w:val="FootnoteReference"/>
          <w:bCs/>
          <w:iCs/>
        </w:rPr>
        <w:footnoteReference w:id="7"/>
      </w:r>
      <w:r w:rsidRPr="00C46903">
        <w:t>, kuriame raginama panaikinti nereikalingą administracinę naštą, susijusią su biudžeto garantijų ir finansinių priemonių naudojimu investicijoms į gynybą remti, taip užtikrinant papildomą supaprastinimą, kartu atsižvelgiant į poreikį apsaugoti ES ir valstybių narių saugumą; mano, kad šiomis priemonėmis būtų galima greitai sutelkti finansavimą ir sukurti stabilią bei kintamo masto investicijų į Europos gynybos pramonę sistemą;</w:t>
      </w:r>
    </w:p>
    <w:p w14:paraId="79124AB9" w14:textId="77777777" w:rsidR="009B42D8" w:rsidRPr="00C46903" w:rsidRDefault="009B42D8" w:rsidP="009B42D8">
      <w:pPr>
        <w:pStyle w:val="Normal12a24b"/>
        <w:tabs>
          <w:tab w:val="left" w:pos="567"/>
        </w:tabs>
        <w:ind w:left="567" w:hanging="567"/>
      </w:pPr>
      <w:r w:rsidRPr="00C46903">
        <w:t>19.</w:t>
      </w:r>
      <w:r w:rsidRPr="00C46903">
        <w:tab/>
        <w:t>laikosi nuomonės, kad siekiant užtikrinti ilgalaikį gynybos išlaidų finansinių priemonių terminą, kuriuo būtų užtikrintas nuspėjamumas ir stabilumas, nepaprastai svarbu bankų lėšas skirti paskoloms, garantijoms ir aukštos kokybės likvidumo portfeliams; pakartoja, kad sparčiau užbaigus kurti santaupų ir investicijų sąjungą būtų padedama sutelkti privatųjį kapitalą ir pagerinti galimybes gauti finansavimą;</w:t>
      </w:r>
    </w:p>
    <w:p w14:paraId="4DC98C80" w14:textId="77777777" w:rsidR="009B42D8" w:rsidRPr="00C46903" w:rsidRDefault="009B42D8" w:rsidP="009B42D8">
      <w:pPr>
        <w:pStyle w:val="Normal12a24b"/>
        <w:rPr>
          <w:i/>
          <w:iCs/>
        </w:rPr>
      </w:pPr>
      <w:r w:rsidRPr="00C46903">
        <w:rPr>
          <w:rStyle w:val="Bold"/>
          <w:i/>
        </w:rPr>
        <w:t>Kliūčių privačiosioms investicijoms į gynybą šalinimas</w:t>
      </w:r>
    </w:p>
    <w:p w14:paraId="481FD68D" w14:textId="77777777" w:rsidR="009B42D8" w:rsidRPr="00C46903" w:rsidRDefault="009B42D8" w:rsidP="009B42D8">
      <w:pPr>
        <w:pStyle w:val="Normal12a24b"/>
      </w:pPr>
      <w:r w:rsidRPr="00C46903">
        <w:rPr>
          <w:rStyle w:val="Italic"/>
        </w:rPr>
        <w:t>Palankesnės galimybės EGTPB dalyvaujančioms įmonėms gauti trumpalaikį finansavimą</w:t>
      </w:r>
    </w:p>
    <w:p w14:paraId="0876C714" w14:textId="77777777" w:rsidR="009B42D8" w:rsidRPr="00C46903" w:rsidRDefault="009B42D8" w:rsidP="009B42D8">
      <w:pPr>
        <w:pStyle w:val="NormalHanging12a"/>
      </w:pPr>
      <w:r w:rsidRPr="00C46903">
        <w:t>20.</w:t>
      </w:r>
      <w:r w:rsidRPr="00C46903">
        <w:tab/>
        <w:t>ragina Europos mokėjimų stebėjimo centrą atlikti tyrimą, kaip laikomasi EGTPB sandorių mokėjimo terminų, palyginti su kitais pramonės sektoriais, taip pat sudaryti šiuo atžvilgiu pareigingiausių įmonių reitingą;</w:t>
      </w:r>
    </w:p>
    <w:p w14:paraId="4FBFF44D" w14:textId="77777777" w:rsidR="009B42D8" w:rsidRPr="00C46903" w:rsidRDefault="009B42D8" w:rsidP="009B42D8">
      <w:pPr>
        <w:pStyle w:val="NormalHanging12a"/>
      </w:pPr>
      <w:r w:rsidRPr="00C46903">
        <w:t>21.</w:t>
      </w:r>
      <w:r w:rsidRPr="00C46903">
        <w:tab/>
        <w:t>ragina EIB, remiant valstybėms narėms, pasiekti 4 mlrd. EUR sumą trumpalaikėms paskoloms, kurių rizikos garantijos siekia iki 50 proc., taip pat ragina sušvelninti ir supaprastinti EIB įsipareigojimų gynybos srityje kriterijus ir išplėsti tinkamumo reikalavimus įtraukiant netiesioginius subrangovus;</w:t>
      </w:r>
    </w:p>
    <w:p w14:paraId="120C03FE" w14:textId="77777777" w:rsidR="009B42D8" w:rsidRPr="00C46903" w:rsidRDefault="009B42D8" w:rsidP="009B42D8">
      <w:pPr>
        <w:pStyle w:val="Normal12a24b"/>
      </w:pPr>
      <w:r w:rsidRPr="00C46903">
        <w:rPr>
          <w:rStyle w:val="Italic"/>
        </w:rPr>
        <w:t>Privačiųjų investuotojų pajėgumų finansuoti gynybą didinimas, užtikrinant suderinamumą su tvaraus finansavimo principais</w:t>
      </w:r>
    </w:p>
    <w:p w14:paraId="7201EED4" w14:textId="77777777" w:rsidR="009B42D8" w:rsidRPr="00C46903" w:rsidRDefault="009B42D8" w:rsidP="009B42D8">
      <w:pPr>
        <w:pStyle w:val="NormalHanging12a"/>
      </w:pPr>
      <w:r w:rsidRPr="00C46903">
        <w:t>22.</w:t>
      </w:r>
      <w:r w:rsidRPr="00C46903">
        <w:tab/>
        <w:t xml:space="preserve">pažymi, kad nepaisant pastangų, įdėtų nuo karo Ukrainoje pradžios, daugelis investuotojų vis dar nenori finansuoti gynybos, be kita ko, dėl aplinkosauginių, socialinių ir valdymo standartų taikymo neaiškumo ir EGTPB lieka diskriminuojama finansų rinkose dėl klaidingai suvokiamos rizikos įvaizdžiui; primena, kad daugelis </w:t>
      </w:r>
      <w:r w:rsidRPr="00C46903">
        <w:lastRenderedPageBreak/>
        <w:t>gynybos technologijų yra dvejopo naudojimo, todėl duoda didelės papildomos naudos civilinėms inovacijoms ir ES ekonomikai apskritai; pabrėžia, kad reikia spręsti nuolatinio neigiamo požiūrio į gynybos finansavimą, ypač bankų sektoriuje, problemą; primygtinai ragina Komisiją ir valstybes nares didinti savo informavimo ir informuotumo didinimo pastangas, susijusias su EGTPB finansavimu, siekiant padėti finansų sektoriaus subjektams gerinti savo kompetenciją gynybos finansavimo analizės ir tvarkymo srityje; ragina Komisiją dėti daugiau informavimo ir informuotumo apie EDTIB finansavimą didinimo pastangų;</w:t>
      </w:r>
    </w:p>
    <w:p w14:paraId="4F3426C3" w14:textId="712A58F9" w:rsidR="009B42D8" w:rsidRPr="00C46903" w:rsidRDefault="009B42D8" w:rsidP="009B42D8">
      <w:pPr>
        <w:pStyle w:val="NormalHanging12a"/>
      </w:pPr>
      <w:r w:rsidRPr="00C46903">
        <w:t>23.</w:t>
      </w:r>
      <w:r w:rsidRPr="00C46903">
        <w:tab/>
        <w:t xml:space="preserve">pripažįsta 2025 m. </w:t>
      </w:r>
      <w:r w:rsidR="00005DC9">
        <w:t>rugpjūčio 28</w:t>
      </w:r>
      <w:r w:rsidRPr="00C46903">
        <w:t> d. Komisijos deleguotąjį reglamentą</w:t>
      </w:r>
      <w:r w:rsidR="00005DC9">
        <w:t xml:space="preserve"> (ES) 2025/1775</w:t>
      </w:r>
      <w:r w:rsidRPr="00C46903">
        <w:t>, kuriuo dėl draudžiamų ginklų apibrėžties iš dalies keičiamas Deleguotasis reglamentas (ES) 2020/1818 ir sąvoka „prieštaringai vertinami ginklai“</w:t>
      </w:r>
      <w:r w:rsidRPr="00C46903">
        <w:rPr>
          <w:rStyle w:val="FootnoteReference"/>
        </w:rPr>
        <w:footnoteReference w:id="8"/>
      </w:r>
      <w:r w:rsidRPr="00C46903">
        <w:t xml:space="preserve"> pakeičiama sąvoka „draudžiami ginklai“, priimtą kaip Gynybos parengties bendrojo rinkinio dalį; akcentuoja, kad į šią apibrėžtį patenka tik ginklai, aiškiai draudžiami saistančiomis tarptautinėmis konvencijomis; palankiai vertina gynybos parengties bendrajame rinkinyje pateiktus paaiškinimus ir pabrėžia jų svarbą siekiant Sąjungos tikslų gynybos finansavimo srityje; ragina privačiuosius finansų sektoriaus subjektus savo išimtis taikyti tik šiam konsoliduotajam sąrašui ir paskelbti savo investavimo politiką; siūlo kiekvienu konkrečiu atveju iš naujo svarstyti galimybę skirti ES finansavimą subjektams, kurių investavimo politikoje ši išimtis netaikoma;</w:t>
      </w:r>
    </w:p>
    <w:p w14:paraId="1EBFE879" w14:textId="77777777" w:rsidR="009B42D8" w:rsidRPr="00C46903" w:rsidRDefault="009B42D8" w:rsidP="009B42D8">
      <w:pPr>
        <w:pStyle w:val="NormalHanging12a"/>
      </w:pPr>
      <w:r w:rsidRPr="00C46903">
        <w:t>24.</w:t>
      </w:r>
      <w:r w:rsidRPr="00C46903">
        <w:tab/>
        <w:t>primena, kad ES tvaraus finansavimo sistema sukurta taip, kad kapitalo srautai būtų nukreipti į tvarią veiklą, neribojant gynybos sektoriaus finansavimo, kaip Komisija dar kartą patvirtino savo 2025 m. rugpjūčio 18 d. pranešime, kuriame patvirtinama, kad su gynyba susijusios veiklos neįtraukimas į ES taksonomiją neužkerta kelio privatiesiems ar viešiesiems investuotojams investuoti į gynybos sektorių; ragina Komisiją viešai ir nedviprasmiškai dar kartą patvirtinti, kad Sąjungos žalioji taksonomija nedraudžia investuoti į gynybą, šių investicijų neriboja ar nuo jų neatgraso; pabrėžia, kad gynyba ir saugumas yra būtinos darnaus vystymosi sąlygos;</w:t>
      </w:r>
    </w:p>
    <w:p w14:paraId="4346376F" w14:textId="77777777" w:rsidR="009B42D8" w:rsidRPr="00C46903" w:rsidRDefault="009B42D8" w:rsidP="009B42D8">
      <w:pPr>
        <w:pStyle w:val="Normal12a24b"/>
      </w:pPr>
      <w:r w:rsidRPr="00C46903">
        <w:rPr>
          <w:rStyle w:val="Italic"/>
        </w:rPr>
        <w:t>Gynybos sektoriaus pasitraukimo iš finansų rinkų galimybių atvėrimas sutelkiant privatųjį kapitalą</w:t>
      </w:r>
    </w:p>
    <w:p w14:paraId="77C9701E" w14:textId="77777777" w:rsidR="009B42D8" w:rsidRPr="00C46903" w:rsidRDefault="009B42D8" w:rsidP="009B42D8">
      <w:pPr>
        <w:pStyle w:val="NormalHanging12a"/>
      </w:pPr>
      <w:r w:rsidRPr="00C46903">
        <w:t>25.</w:t>
      </w:r>
      <w:r w:rsidRPr="00C46903">
        <w:tab/>
      </w:r>
      <w:bookmarkStart w:id="10" w:name="_Hlk215501491"/>
      <w:r w:rsidRPr="00C46903">
        <w:t xml:space="preserve">mano, kad labai svarbu remti Europos specializuotų investuotojų rinką, užtikrinančią finansavimo (kreditų, privačiųjų skolų ir nuosavo kapitalo) tęstinumą EDTIB ir Ukrainos GTPB dalyvaujančioms įmonėms, visų pirma </w:t>
      </w:r>
      <w:proofErr w:type="spellStart"/>
      <w:r w:rsidRPr="00C46903">
        <w:t>startuoliams</w:t>
      </w:r>
      <w:proofErr w:type="spellEnd"/>
      <w:r w:rsidRPr="00C46903">
        <w:t>, MVĮ ir vidutinės kapitalizacijos įmonėms</w:t>
      </w:r>
      <w:bookmarkEnd w:id="10"/>
      <w:r w:rsidRPr="00C46903">
        <w:t>; palankiai vertina Komisijos ir EIB iniciatyvą sukurti gynybai skirto nuosavo kapitalo priemonę, kuriai 2024–2027 m. skiriama 175 mln. EUR; vis dėlto laikosi nuomonės, kad šio fondo visiškai nepakanka atsižvelgiant į finansavimo poreikius, ir ragina EIB atsižvelgti į valstybių narių pageidavimus, kurie pakartoti Tarybos išvadose, ir padidinti šį biudžetą iki 1 mlrd. EUR, kad būtų geriau patenkinti EGTPB ir jos vertės grandinės nuosavo kapitalo poreikiai, ypatingą dėmesį skiriant mažesniems subjektams, kuriems labiausiai trūksta finansavimo; ragina EIB išplėsti šios priemonės taikymą Ukrainos GTPB, taip pat parengti ją taip, kad ji skatintų EDTIB ir Ukrainos GTPB įmonių partnerystę ir bendrąsias įmones;</w:t>
      </w:r>
    </w:p>
    <w:p w14:paraId="05DF2417" w14:textId="77777777" w:rsidR="009B42D8" w:rsidRPr="00C46903" w:rsidRDefault="009B42D8" w:rsidP="009B42D8">
      <w:pPr>
        <w:pStyle w:val="NormalHanging12a"/>
        <w:rPr>
          <w:bCs/>
          <w:iCs/>
        </w:rPr>
      </w:pPr>
      <w:r w:rsidRPr="00C46903">
        <w:t>26.</w:t>
      </w:r>
      <w:r w:rsidRPr="00C46903">
        <w:tab/>
        <w:t xml:space="preserve">ragina Komisiją ir EIB grupę įgyvendinti paramą dvejopo naudojimo projektams gerinant ankstyvojo etapo įmonių ir MVĮ galimybes ja naudotis, supaprastinant procedūras, teikiant aiškias gaires investuotojams ir reguliariai teikiant ataskaitas dėl panaudojimo bei geografinio pasiskirstymo; ragina užtikrinti veiksmingą įgyvendinimą </w:t>
      </w:r>
      <w:r w:rsidRPr="00C46903">
        <w:lastRenderedPageBreak/>
        <w:t>skelbiant tikslinius kvietimus teikti pasiūlymus ir aiškias gaires vadovaujančiosioms institucijoms, kad regionai, kurių gynybos ekosistemos yra mažiau išvystytos, galėtų pasinaudoti šiomis galimybėmis; ragina valstybes nares atspindėti šias galimybes programų projektuose ir koordinuoti veiksmus su Komisija bei EIB siekiant sukurti regionines investavimo platformas, užtikrinant papildomumą ir vengiant dvigubo finansavimo;</w:t>
      </w:r>
    </w:p>
    <w:p w14:paraId="5C783D20" w14:textId="77777777" w:rsidR="009B42D8" w:rsidRPr="00C46903" w:rsidRDefault="009B42D8" w:rsidP="009B42D8">
      <w:pPr>
        <w:pStyle w:val="NormalHanging12a"/>
      </w:pPr>
      <w:r w:rsidRPr="00C46903">
        <w:t>27.</w:t>
      </w:r>
      <w:r w:rsidRPr="00C46903">
        <w:tab/>
        <w:t>ragina Komisiją savo konkurencijos politikoje apsvarstyti gynybos parengtį, tiekimo saugumą, inovacijų skatinimo potencialą ir priklausomybės nuo ES nepriklausančių šalių mažinimą; kartu ragina valstybes nares užtikrinti, kad jų gynybos produktų viešieji pirkimai būtų atviri ir konkurencingi visos EGTPB atžvilgiu; ragina valstybes nares sustiprinti trečiųjų šalių subjektų tiesioginių investicijų kontrolę;</w:t>
      </w:r>
    </w:p>
    <w:p w14:paraId="0BCDEC5D" w14:textId="77777777" w:rsidR="009B42D8" w:rsidRPr="00C46903" w:rsidRDefault="009B42D8" w:rsidP="009B42D8">
      <w:pPr>
        <w:pStyle w:val="NormalHanging12a"/>
      </w:pPr>
      <w:r w:rsidRPr="00C46903">
        <w:t>28.</w:t>
      </w:r>
      <w:r w:rsidRPr="00C46903">
        <w:tab/>
        <w:t>ragina Komisiją stiprinti pramonės bendradarbiavimo programas ir tarptautines partnerystes, įskaitant tiekimo grandinės platformas ir bendros plėtros projektus, siekiant integruoti gamybos grandines, pasinaudoti nacionaline patirtimi, skatinti masto ekonomiją ir didinti EGTPB konkurencingumą pasaulyje;</w:t>
      </w:r>
    </w:p>
    <w:p w14:paraId="75F1694C" w14:textId="77777777" w:rsidR="009B42D8" w:rsidRPr="00C46903" w:rsidRDefault="009B42D8" w:rsidP="009B42D8">
      <w:pPr>
        <w:pStyle w:val="NormalHanging12a"/>
      </w:pPr>
      <w:r w:rsidRPr="00C46903">
        <w:t>29.</w:t>
      </w:r>
      <w:r w:rsidRPr="00C46903">
        <w:tab/>
        <w:t>pabrėžia gerai veikiančių kapitalo rinkų svarbą siekiant finansuoti gynybą; ragina Komisiją ir valstybes nares paspartinti pažangą kuriant kapitalo rinkų sąjungą / santaupų ir investicijų sąjungą, visų pirma gerinant gynybos sektoriaus MVĮ galimybes gauti nuosavo kapitalo, rizikos kapitalo ir finansavimą; pabrėžia kapitalo rinkų sąjungos ir santaupų ir investicijų sąjungos svarbą siekiant didinti gynybos finansavimo mastą;</w:t>
      </w:r>
    </w:p>
    <w:p w14:paraId="49618DAF" w14:textId="77777777" w:rsidR="009B42D8" w:rsidRPr="00C46903" w:rsidRDefault="009B42D8" w:rsidP="009B42D8">
      <w:pPr>
        <w:pStyle w:val="NormalHanging12a"/>
      </w:pPr>
      <w:r w:rsidRPr="00C46903">
        <w:t>30.</w:t>
      </w:r>
      <w:r w:rsidRPr="00C46903">
        <w:tab/>
        <w:t>pabrėžia, kad svarbu paspartinti pažangą baigiant kurti santaupų ir investicijų sąjungą, kuria siekiama remti išsamesnę, likvidesnę ir labiau integruotą ES finansų sistemą, kuri santaupas veiksmingiau nukreiptų į produktyvias investicijas, pavyzdžiui, į ES gynybos pramonę; akcentuoja, kad ES gynybos pramonė turi iš esmės padidinti savo pajėgumą, kad patenkintų didžiulį karinių produktų paklausos padidėjimą;</w:t>
      </w:r>
    </w:p>
    <w:p w14:paraId="3E853CD4" w14:textId="77777777" w:rsidR="009B42D8" w:rsidRPr="00C46903" w:rsidRDefault="009B42D8" w:rsidP="009B42D8">
      <w:pPr>
        <w:pStyle w:val="NormalHanging12a"/>
      </w:pPr>
      <w:r w:rsidRPr="00C46903">
        <w:t>31.</w:t>
      </w:r>
      <w:r w:rsidRPr="00C46903">
        <w:tab/>
        <w:t>palankiai vertina tai, kad numatoma pradėti naudoti ženklą „</w:t>
      </w:r>
      <w:proofErr w:type="spellStart"/>
      <w:r w:rsidRPr="00C46903">
        <w:t>Finance</w:t>
      </w:r>
      <w:proofErr w:type="spellEnd"/>
      <w:r w:rsidRPr="00C46903">
        <w:t xml:space="preserve"> </w:t>
      </w:r>
      <w:proofErr w:type="spellStart"/>
      <w:r w:rsidRPr="00C46903">
        <w:t>Europe</w:t>
      </w:r>
      <w:proofErr w:type="spellEnd"/>
      <w:r w:rsidRPr="00C46903">
        <w:t>“; pažymi, kad šis ženklas, kuriuo siekiama nukreipti asmenų santaupas investicijoms į Europos realiąją ekonomiką, skatina įmonių nuosavo kapitalo finansavimą; ragina Komisiją paremti šią iniciatyvą ir pateikti pasiūlymą dėl Europos ženklo, kuris būtų santaupų ir investicijų sąjungos dalis, sykiu užtikrinant, kad jis nesukurtų papildomos administracinės naštos;</w:t>
      </w:r>
    </w:p>
    <w:p w14:paraId="187B6B15" w14:textId="77777777" w:rsidR="009B42D8" w:rsidRPr="00C46903" w:rsidRDefault="009B42D8" w:rsidP="009B42D8">
      <w:pPr>
        <w:pStyle w:val="NormalCenter12a"/>
        <w:ind w:left="567" w:hanging="567"/>
        <w:jc w:val="left"/>
      </w:pPr>
      <w:r w:rsidRPr="00C46903">
        <w:t>32.</w:t>
      </w:r>
      <w:r w:rsidRPr="00C46903">
        <w:tab/>
        <w:t>palankiai vertina Komisijos rekomendaciją dėl taupomųjų ir investicinių sąskaitų (TIS)</w:t>
      </w:r>
      <w:r w:rsidRPr="00C46903">
        <w:rPr>
          <w:rStyle w:val="FootnoteReference"/>
        </w:rPr>
        <w:footnoteReference w:id="9"/>
      </w:r>
      <w:r w:rsidRPr="00C46903">
        <w:t>; pabrėžia, kad TIS siekiama skatinti neprofesionaliųjų investuotojų dalyvavimą ES kapitalo rinkose, taip prisidedant prie jų stiprinimo ir sudarant sąlygas didinti ES investuotojų bazę, kuri padėtų finansuoti ES strateginius prioritetus, įskaitant gynybą; ragina Komisiją toliau remti šią iniciatyvą; ragina valstybes nares vadovautis Komisijos rekomendacija dėl taupomųjų ir investicinių sąskaitų prieinamumo didinimo;</w:t>
      </w:r>
    </w:p>
    <w:p w14:paraId="51C7C4D7" w14:textId="77777777" w:rsidR="009B42D8" w:rsidRPr="00C46903" w:rsidRDefault="009B42D8" w:rsidP="009B42D8">
      <w:pPr>
        <w:pStyle w:val="NormalHanging12a"/>
      </w:pPr>
      <w:r w:rsidRPr="00C46903">
        <w:t>33.</w:t>
      </w:r>
      <w:r w:rsidRPr="00C46903">
        <w:tab/>
        <w:t>teigiamai vertina darbą, vykdomą siekiant panaudoti įšaldytą Rusijos turtą Ukrainos gynybos pastangoms finansuoti, sykiu atsižvelgiant į susirūpinimą dėl finansinio stabilumo ir bylinėjimosi;</w:t>
      </w:r>
    </w:p>
    <w:p w14:paraId="77D75F7E" w14:textId="77777777" w:rsidR="009B42D8" w:rsidRPr="00C46903" w:rsidRDefault="009B42D8" w:rsidP="009B42D8">
      <w:pPr>
        <w:pStyle w:val="NormalCenter12a"/>
        <w:tabs>
          <w:tab w:val="left" w:pos="567"/>
        </w:tabs>
        <w:ind w:left="567" w:hanging="567"/>
        <w:jc w:val="left"/>
        <w:rPr>
          <w:bCs/>
          <w:iCs/>
        </w:rPr>
      </w:pPr>
      <w:r w:rsidRPr="00C46903">
        <w:lastRenderedPageBreak/>
        <w:t>34.</w:t>
      </w:r>
      <w:r w:rsidRPr="00C46903">
        <w:tab/>
        <w:t>ragina valstybes nares vieningai įsipareigoti didinti gynybos išlaidas, atsižvelgiant į 2025 m. NATO aukščiausiojo lygio susitikimo Hagoje, kuriame NATO sąjungininkės įsipareigojo į pagrindinius gynybos reikalavimus ir su gynyba bei saugumu susijusias išlaidas iki 2035 m. kasmet investuoti 5 proc. BVP, rezultatus; primygtinai ragina valstybes nares skatinti Europos gynybos iniciatyvas, didinti sąveikumą ir investuoti į bendrus viešuosius pirkimus, suderintus su bendrais strateginiais prioritetais, įskaitant šaudmenų gamybą;</w:t>
      </w:r>
    </w:p>
    <w:p w14:paraId="1C775A7D" w14:textId="77777777" w:rsidR="009B42D8" w:rsidRPr="00C46903" w:rsidRDefault="009B42D8" w:rsidP="009B42D8">
      <w:pPr>
        <w:pStyle w:val="NormalCenter12a"/>
      </w:pPr>
      <w:r w:rsidRPr="00C46903">
        <w:t>°</w:t>
      </w:r>
    </w:p>
    <w:p w14:paraId="29D72EAD" w14:textId="77777777" w:rsidR="009B42D8" w:rsidRPr="00C46903" w:rsidRDefault="009B42D8" w:rsidP="009B42D8">
      <w:pPr>
        <w:pStyle w:val="NormalCenter12a"/>
      </w:pPr>
      <w:r w:rsidRPr="00C46903">
        <w:t>°</w:t>
      </w:r>
      <w:r w:rsidRPr="00C46903">
        <w:tab/>
        <w:t>°</w:t>
      </w:r>
    </w:p>
    <w:p w14:paraId="66D96ADD" w14:textId="1A32FEEF" w:rsidR="00E365E1" w:rsidRPr="00C46903" w:rsidRDefault="009B42D8" w:rsidP="00937F9E">
      <w:pPr>
        <w:pStyle w:val="NormalHanging12a"/>
      </w:pPr>
      <w:r w:rsidRPr="00C46903">
        <w:t>35.</w:t>
      </w:r>
      <w:r w:rsidRPr="00C46903">
        <w:tab/>
        <w:t>paveda Pirmininkei perduoti šią rezoliuciją Tarybai ir Komisijai.</w:t>
      </w:r>
    </w:p>
    <w:sectPr w:rsidR="00E365E1" w:rsidRPr="00C46903" w:rsidSect="00C4690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CF9C9" w14:textId="77777777" w:rsidR="00E53B90" w:rsidRPr="00C46903" w:rsidRDefault="00E53B90">
      <w:r w:rsidRPr="00C46903">
        <w:separator/>
      </w:r>
    </w:p>
  </w:endnote>
  <w:endnote w:type="continuationSeparator" w:id="0">
    <w:p w14:paraId="4D50E10B" w14:textId="77777777" w:rsidR="00E53B90" w:rsidRPr="00C46903" w:rsidRDefault="00E53B90">
      <w:r w:rsidRPr="00C469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07BF3" w14:textId="77777777" w:rsidR="00E53B90" w:rsidRPr="00C46903" w:rsidRDefault="00E53B90">
      <w:r w:rsidRPr="00C46903">
        <w:separator/>
      </w:r>
    </w:p>
  </w:footnote>
  <w:footnote w:type="continuationSeparator" w:id="0">
    <w:p w14:paraId="393D8E42" w14:textId="77777777" w:rsidR="00E53B90" w:rsidRPr="00C46903" w:rsidRDefault="00E53B90">
      <w:r w:rsidRPr="00C46903">
        <w:continuationSeparator/>
      </w:r>
    </w:p>
  </w:footnote>
  <w:footnote w:id="1">
    <w:p w14:paraId="5704DD57" w14:textId="276F556F" w:rsidR="009B42D8" w:rsidRPr="00C46903" w:rsidRDefault="009B42D8" w:rsidP="00C46903">
      <w:pPr>
        <w:pStyle w:val="FootnoteText"/>
        <w:ind w:left="567" w:hanging="567"/>
        <w:rPr>
          <w:sz w:val="24"/>
          <w:lang w:val="lt-LT"/>
        </w:rPr>
      </w:pPr>
      <w:r w:rsidRPr="00C46903">
        <w:rPr>
          <w:rStyle w:val="FootnoteReference"/>
          <w:sz w:val="24"/>
          <w:lang w:val="lt-LT"/>
        </w:rPr>
        <w:footnoteRef/>
      </w:r>
      <w:r w:rsidR="00C46903" w:rsidRPr="00C46903">
        <w:rPr>
          <w:sz w:val="24"/>
          <w:lang w:val="lt-LT"/>
        </w:rPr>
        <w:t xml:space="preserve"> </w:t>
      </w:r>
      <w:r w:rsidR="00C46903" w:rsidRPr="00C46903">
        <w:rPr>
          <w:sz w:val="24"/>
          <w:lang w:val="lt-LT"/>
        </w:rPr>
        <w:tab/>
      </w:r>
      <w:r w:rsidRPr="00C46903">
        <w:rPr>
          <w:sz w:val="24"/>
          <w:lang w:val="lt-LT"/>
        </w:rPr>
        <w:t xml:space="preserve">Europos Komisija, Gynybos pramonės ir kosmoso generalinis direktoratas, </w:t>
      </w:r>
      <w:r w:rsidRPr="00C46903">
        <w:rPr>
          <w:i/>
          <w:sz w:val="24"/>
          <w:lang w:val="lt-LT"/>
        </w:rPr>
        <w:t xml:space="preserve">Access to </w:t>
      </w:r>
      <w:proofErr w:type="spellStart"/>
      <w:r w:rsidRPr="00C46903">
        <w:rPr>
          <w:i/>
          <w:sz w:val="24"/>
          <w:lang w:val="lt-LT"/>
        </w:rPr>
        <w:t>equity</w:t>
      </w:r>
      <w:proofErr w:type="spellEnd"/>
      <w:r w:rsidRPr="00C46903">
        <w:rPr>
          <w:i/>
          <w:sz w:val="24"/>
          <w:lang w:val="lt-LT"/>
        </w:rPr>
        <w:t xml:space="preserve"> financing for European defence SMEs</w:t>
      </w:r>
      <w:r w:rsidRPr="00C46903">
        <w:rPr>
          <w:sz w:val="24"/>
          <w:lang w:val="lt-LT"/>
        </w:rPr>
        <w:t xml:space="preserve">, Europos Sąjungos leidinių biuras, 2024 m., </w:t>
      </w:r>
      <w:hyperlink r:id="rId1" w:history="1">
        <w:r w:rsidRPr="00C46903">
          <w:rPr>
            <w:rStyle w:val="Hyperlink"/>
            <w:sz w:val="24"/>
            <w:lang w:val="lt-LT"/>
          </w:rPr>
          <w:t>https://data.europa.eu/doi/10.2889/698738</w:t>
        </w:r>
      </w:hyperlink>
      <w:r w:rsidRPr="00C46903">
        <w:rPr>
          <w:sz w:val="24"/>
          <w:lang w:val="lt-LT"/>
        </w:rPr>
        <w:t>.</w:t>
      </w:r>
    </w:p>
  </w:footnote>
  <w:footnote w:id="2">
    <w:p w14:paraId="70AC48EA" w14:textId="6692DA7E" w:rsidR="009B42D8" w:rsidRPr="00C46903" w:rsidRDefault="009B42D8" w:rsidP="00C46903">
      <w:pPr>
        <w:pStyle w:val="FootnoteText"/>
        <w:ind w:left="567" w:hanging="567"/>
        <w:rPr>
          <w:sz w:val="24"/>
          <w:lang w:val="lt-LT"/>
        </w:rPr>
      </w:pPr>
      <w:r w:rsidRPr="00C46903">
        <w:rPr>
          <w:rStyle w:val="FootnoteReference"/>
          <w:sz w:val="24"/>
          <w:lang w:val="lt-LT"/>
        </w:rPr>
        <w:footnoteRef/>
      </w:r>
      <w:r w:rsidR="00C46903" w:rsidRPr="00C46903">
        <w:rPr>
          <w:sz w:val="24"/>
          <w:lang w:val="lt-LT"/>
        </w:rPr>
        <w:t xml:space="preserve"> </w:t>
      </w:r>
      <w:r w:rsidR="00C46903" w:rsidRPr="00C46903">
        <w:rPr>
          <w:sz w:val="24"/>
          <w:lang w:val="lt-LT"/>
        </w:rPr>
        <w:tab/>
      </w:r>
      <w:r w:rsidRPr="00C46903">
        <w:rPr>
          <w:sz w:val="24"/>
          <w:lang w:val="lt-LT"/>
        </w:rPr>
        <w:t>Priimti tekstai, P10_TA(2025)0281.</w:t>
      </w:r>
    </w:p>
  </w:footnote>
  <w:footnote w:id="3">
    <w:p w14:paraId="1C7631F2" w14:textId="1DEE6352" w:rsidR="009B42D8" w:rsidRPr="00C46903" w:rsidRDefault="009B42D8" w:rsidP="00C46903">
      <w:pPr>
        <w:pStyle w:val="FootnoteText"/>
        <w:ind w:left="567" w:hanging="567"/>
        <w:rPr>
          <w:sz w:val="24"/>
          <w:lang w:val="lt-LT"/>
        </w:rPr>
      </w:pPr>
      <w:r w:rsidRPr="00C46903">
        <w:rPr>
          <w:rStyle w:val="FootnoteReference"/>
          <w:sz w:val="24"/>
          <w:lang w:val="lt-LT"/>
        </w:rPr>
        <w:footnoteRef/>
      </w:r>
      <w:r w:rsidR="00C46903" w:rsidRPr="00C46903">
        <w:rPr>
          <w:sz w:val="24"/>
          <w:lang w:val="lt-LT"/>
        </w:rPr>
        <w:t xml:space="preserve"> </w:t>
      </w:r>
      <w:r w:rsidR="00C46903" w:rsidRPr="00C46903">
        <w:rPr>
          <w:sz w:val="24"/>
          <w:lang w:val="lt-LT"/>
        </w:rPr>
        <w:tab/>
      </w:r>
      <w:r w:rsidRPr="00C46903">
        <w:rPr>
          <w:sz w:val="24"/>
          <w:lang w:val="lt-LT"/>
        </w:rPr>
        <w:t xml:space="preserve">OL L, 2025/1106, 2025 5 28, ELI: </w:t>
      </w:r>
      <w:hyperlink r:id="rId2" w:history="1">
        <w:r w:rsidRPr="006610DC">
          <w:rPr>
            <w:rStyle w:val="Hyperlink"/>
            <w:sz w:val="24"/>
            <w:lang w:val="lt-LT"/>
          </w:rPr>
          <w:t>http://data.europa.eu/eli/reg/2025/1106/oj</w:t>
        </w:r>
      </w:hyperlink>
      <w:r w:rsidRPr="00C46903">
        <w:rPr>
          <w:sz w:val="24"/>
          <w:lang w:val="lt-LT"/>
        </w:rPr>
        <w:t>.</w:t>
      </w:r>
    </w:p>
  </w:footnote>
  <w:footnote w:id="4">
    <w:p w14:paraId="7D66CAFB" w14:textId="311ACEF8" w:rsidR="009B42D8" w:rsidRPr="00C46903" w:rsidRDefault="009B42D8" w:rsidP="00C46903">
      <w:pPr>
        <w:pStyle w:val="FootnoteText"/>
        <w:ind w:left="567" w:hanging="567"/>
        <w:rPr>
          <w:sz w:val="24"/>
          <w:lang w:val="lt-LT"/>
        </w:rPr>
      </w:pPr>
      <w:r w:rsidRPr="00C46903">
        <w:rPr>
          <w:rStyle w:val="FootnoteReference"/>
          <w:sz w:val="24"/>
          <w:lang w:val="lt-LT"/>
        </w:rPr>
        <w:footnoteRef/>
      </w:r>
      <w:r w:rsidR="00C46903" w:rsidRPr="00C46903">
        <w:rPr>
          <w:sz w:val="24"/>
          <w:lang w:val="lt-LT"/>
        </w:rPr>
        <w:t xml:space="preserve"> </w:t>
      </w:r>
      <w:r w:rsidR="00C46903" w:rsidRPr="00C46903">
        <w:rPr>
          <w:sz w:val="24"/>
          <w:lang w:val="lt-LT"/>
        </w:rPr>
        <w:tab/>
      </w:r>
      <w:r w:rsidRPr="00C46903">
        <w:rPr>
          <w:sz w:val="24"/>
          <w:lang w:val="lt-LT"/>
        </w:rPr>
        <w:t>Priimti tekstai, P10_TA(2025)0034.</w:t>
      </w:r>
    </w:p>
  </w:footnote>
  <w:footnote w:id="5">
    <w:p w14:paraId="6B85F69E" w14:textId="6F12A3FB" w:rsidR="009B42D8" w:rsidRPr="00C46903" w:rsidRDefault="009B42D8" w:rsidP="00C46903">
      <w:pPr>
        <w:pStyle w:val="FootnoteText"/>
        <w:ind w:left="567" w:hanging="567"/>
        <w:rPr>
          <w:sz w:val="24"/>
          <w:lang w:val="lt-LT"/>
        </w:rPr>
      </w:pPr>
      <w:r w:rsidRPr="00C46903">
        <w:rPr>
          <w:rStyle w:val="FootnoteReference"/>
          <w:sz w:val="24"/>
          <w:lang w:val="lt-LT"/>
        </w:rPr>
        <w:footnoteRef/>
      </w:r>
      <w:r w:rsidR="00C46903" w:rsidRPr="00C46903">
        <w:rPr>
          <w:sz w:val="24"/>
          <w:lang w:val="lt-LT"/>
        </w:rPr>
        <w:t xml:space="preserve"> </w:t>
      </w:r>
      <w:r w:rsidR="00C46903" w:rsidRPr="00C46903">
        <w:rPr>
          <w:sz w:val="24"/>
          <w:lang w:val="lt-LT"/>
        </w:rPr>
        <w:tab/>
      </w:r>
      <w:r w:rsidRPr="00C46903">
        <w:rPr>
          <w:sz w:val="24"/>
          <w:lang w:val="lt-LT"/>
        </w:rPr>
        <w:t>Priimti tekstai, P10_TA(2025)0145.</w:t>
      </w:r>
    </w:p>
  </w:footnote>
  <w:footnote w:id="6">
    <w:p w14:paraId="0D52F9EC" w14:textId="14752F56" w:rsidR="009B42D8" w:rsidRPr="00937F9E" w:rsidRDefault="009B42D8" w:rsidP="00C46903">
      <w:pPr>
        <w:pStyle w:val="FootnoteText"/>
        <w:ind w:left="567" w:hanging="567"/>
        <w:rPr>
          <w:color w:val="000000" w:themeColor="text1"/>
          <w:sz w:val="24"/>
          <w:lang w:val="lt-LT"/>
        </w:rPr>
      </w:pPr>
      <w:r w:rsidRPr="00C46903">
        <w:rPr>
          <w:rStyle w:val="FootnoteReference"/>
          <w:sz w:val="24"/>
          <w:lang w:val="lt-LT"/>
        </w:rPr>
        <w:footnoteRef/>
      </w:r>
      <w:r w:rsidR="00C46903" w:rsidRPr="00C46903">
        <w:rPr>
          <w:color w:val="0000FF"/>
          <w:sz w:val="24"/>
          <w:u w:val="single" w:color="0000FF"/>
          <w:lang w:val="lt-LT"/>
        </w:rPr>
        <w:t xml:space="preserve"> </w:t>
      </w:r>
      <w:r w:rsidR="00C46903" w:rsidRPr="00C46903">
        <w:rPr>
          <w:color w:val="0000FF"/>
          <w:sz w:val="24"/>
          <w:u w:val="single" w:color="0000FF"/>
          <w:lang w:val="lt-LT"/>
        </w:rPr>
        <w:tab/>
      </w:r>
      <w:r w:rsidRPr="00937F9E">
        <w:rPr>
          <w:color w:val="000000" w:themeColor="text1"/>
          <w:sz w:val="24"/>
          <w:lang w:val="lt-LT"/>
        </w:rPr>
        <w:t xml:space="preserve">2024 m. spalio 17 d. Komisijos ketvirtoji metinė tiesioginių užsienio investicijų į Sąjungą tikrinimo ataskaita (COM(2024)0464). </w:t>
      </w:r>
    </w:p>
  </w:footnote>
  <w:footnote w:id="7">
    <w:p w14:paraId="434A8337" w14:textId="2A783E04" w:rsidR="009B42D8" w:rsidRPr="00C46903" w:rsidRDefault="009B42D8" w:rsidP="00C46903">
      <w:pPr>
        <w:pStyle w:val="FootnoteText"/>
        <w:ind w:left="567" w:hanging="567"/>
        <w:rPr>
          <w:sz w:val="24"/>
          <w:lang w:val="lt-LT"/>
        </w:rPr>
      </w:pPr>
      <w:r w:rsidRPr="00C46903">
        <w:rPr>
          <w:rStyle w:val="FootnoteReference"/>
          <w:sz w:val="24"/>
          <w:lang w:val="lt-LT"/>
        </w:rPr>
        <w:footnoteRef/>
      </w:r>
      <w:r w:rsidR="00C46903" w:rsidRPr="00C46903">
        <w:rPr>
          <w:sz w:val="24"/>
          <w:lang w:val="lt-LT"/>
        </w:rPr>
        <w:t xml:space="preserve"> </w:t>
      </w:r>
      <w:r w:rsidR="00C46903" w:rsidRPr="00C46903">
        <w:rPr>
          <w:sz w:val="24"/>
          <w:lang w:val="lt-LT"/>
        </w:rPr>
        <w:tab/>
      </w:r>
      <w:r w:rsidRPr="00C46903">
        <w:rPr>
          <w:sz w:val="24"/>
          <w:lang w:val="lt-LT"/>
        </w:rPr>
        <w:t xml:space="preserve">2025 m. rugpjūčio 28 d. </w:t>
      </w:r>
      <w:r w:rsidRPr="00C46903">
        <w:rPr>
          <w:sz w:val="24"/>
          <w:lang w:val="lt-LT"/>
        </w:rPr>
        <w:t xml:space="preserve">Komisijos deleguotasis reglamentas (ES) </w:t>
      </w:r>
      <w:r w:rsidR="00005DC9">
        <w:rPr>
          <w:sz w:val="24"/>
          <w:lang w:val="lt-LT"/>
        </w:rPr>
        <w:t>2025</w:t>
      </w:r>
      <w:r w:rsidRPr="00C46903">
        <w:rPr>
          <w:sz w:val="24"/>
          <w:lang w:val="lt-LT"/>
        </w:rPr>
        <w:t>/</w:t>
      </w:r>
      <w:r w:rsidR="00005DC9">
        <w:rPr>
          <w:sz w:val="24"/>
          <w:lang w:val="lt-LT"/>
        </w:rPr>
        <w:t>177</w:t>
      </w:r>
      <w:r w:rsidR="00000FDE">
        <w:rPr>
          <w:sz w:val="24"/>
          <w:lang w:val="lt-LT"/>
        </w:rPr>
        <w:t>4</w:t>
      </w:r>
      <w:r w:rsidRPr="00C46903">
        <w:rPr>
          <w:sz w:val="24"/>
          <w:lang w:val="lt-LT"/>
        </w:rPr>
        <w:t xml:space="preserve">, kuriuo dėl strateginių investicijų gynybos srityje, nustatytų „InvestEU“ fondo investavimo gairėse, iš dalies keičiamas Deleguotasis reglamentas (ES) 2021/1078 </w:t>
      </w:r>
      <w:r w:rsidR="00005DC9" w:rsidRPr="00005DC9">
        <w:rPr>
          <w:sz w:val="24"/>
          <w:lang w:val="lt-LT"/>
        </w:rPr>
        <w:t>(O</w:t>
      </w:r>
      <w:r w:rsidR="00005DC9">
        <w:rPr>
          <w:sz w:val="24"/>
          <w:lang w:val="lt-LT"/>
        </w:rPr>
        <w:t>L</w:t>
      </w:r>
      <w:r w:rsidR="00005DC9" w:rsidRPr="00005DC9">
        <w:rPr>
          <w:sz w:val="24"/>
          <w:lang w:val="lt-LT"/>
        </w:rPr>
        <w:t xml:space="preserve"> L, 2025/1774, 2025</w:t>
      </w:r>
      <w:r w:rsidR="00005DC9">
        <w:rPr>
          <w:sz w:val="24"/>
          <w:lang w:val="lt-LT"/>
        </w:rPr>
        <w:t> 12 18</w:t>
      </w:r>
      <w:r w:rsidR="00005DC9" w:rsidRPr="00005DC9">
        <w:rPr>
          <w:sz w:val="24"/>
          <w:lang w:val="lt-LT"/>
        </w:rPr>
        <w:t>, ELI: http://data.europa.eu/eli/reg_del/2025/1774/oj)</w:t>
      </w:r>
      <w:r w:rsidRPr="00C46903">
        <w:rPr>
          <w:sz w:val="24"/>
          <w:lang w:val="lt-LT"/>
        </w:rPr>
        <w:t xml:space="preserve">. </w:t>
      </w:r>
    </w:p>
  </w:footnote>
  <w:footnote w:id="8">
    <w:p w14:paraId="1C989C77" w14:textId="26D2E237" w:rsidR="009B42D8" w:rsidRPr="00C46903" w:rsidRDefault="009B42D8" w:rsidP="00C46903">
      <w:pPr>
        <w:pStyle w:val="FootnoteText"/>
        <w:ind w:left="567" w:hanging="567"/>
        <w:rPr>
          <w:sz w:val="24"/>
          <w:lang w:val="lt-LT"/>
        </w:rPr>
      </w:pPr>
      <w:r w:rsidRPr="00C46903">
        <w:rPr>
          <w:rStyle w:val="FootnoteReference"/>
          <w:sz w:val="24"/>
          <w:lang w:val="lt-LT"/>
        </w:rPr>
        <w:footnoteRef/>
      </w:r>
      <w:r w:rsidR="00C46903" w:rsidRPr="00C46903">
        <w:rPr>
          <w:sz w:val="24"/>
          <w:lang w:val="lt-LT"/>
        </w:rPr>
        <w:t xml:space="preserve"> </w:t>
      </w:r>
      <w:r w:rsidR="00C46903" w:rsidRPr="00C46903">
        <w:rPr>
          <w:sz w:val="24"/>
          <w:lang w:val="lt-LT"/>
        </w:rPr>
        <w:tab/>
      </w:r>
      <w:r w:rsidR="00000FDE" w:rsidRPr="00000FDE">
        <w:rPr>
          <w:sz w:val="24"/>
          <w:lang w:val="lt-LT"/>
        </w:rPr>
        <w:t>OL L, 2025/1775, 2025 12 30, ELI: http://data.europa.eu/eli/reg_del/2025/1775/oj</w:t>
      </w:r>
      <w:r w:rsidRPr="00C46903">
        <w:rPr>
          <w:sz w:val="24"/>
          <w:lang w:val="lt-LT"/>
        </w:rPr>
        <w:t xml:space="preserve">. </w:t>
      </w:r>
    </w:p>
  </w:footnote>
  <w:footnote w:id="9">
    <w:p w14:paraId="25B73FA6" w14:textId="1725C9ED" w:rsidR="009B42D8" w:rsidRPr="00C46903" w:rsidRDefault="009B42D8" w:rsidP="00C46903">
      <w:pPr>
        <w:pStyle w:val="FootnoteText"/>
        <w:ind w:left="567" w:hanging="567"/>
        <w:rPr>
          <w:sz w:val="24"/>
          <w:lang w:val="lt-LT"/>
        </w:rPr>
      </w:pPr>
      <w:r w:rsidRPr="00C46903">
        <w:rPr>
          <w:rStyle w:val="FootnoteReference"/>
          <w:sz w:val="24"/>
          <w:lang w:val="lt-LT"/>
        </w:rPr>
        <w:footnoteRef/>
      </w:r>
      <w:r w:rsidR="00C46903" w:rsidRPr="00C46903">
        <w:rPr>
          <w:sz w:val="24"/>
          <w:lang w:val="lt-LT"/>
        </w:rPr>
        <w:t xml:space="preserve"> </w:t>
      </w:r>
      <w:r w:rsidR="00C46903" w:rsidRPr="00C46903">
        <w:rPr>
          <w:sz w:val="24"/>
          <w:lang w:val="lt-LT"/>
        </w:rPr>
        <w:tab/>
      </w:r>
      <w:r w:rsidRPr="00C46903">
        <w:rPr>
          <w:sz w:val="24"/>
          <w:lang w:val="lt-LT"/>
        </w:rPr>
        <w:t xml:space="preserve">2025 m. rugsėjo 30 d. Komisijos rekomendacija </w:t>
      </w:r>
      <w:r w:rsidR="00005DC9">
        <w:rPr>
          <w:sz w:val="24"/>
          <w:lang w:val="lt-LT"/>
        </w:rPr>
        <w:t xml:space="preserve">(ES) 2025/2029 </w:t>
      </w:r>
      <w:r w:rsidRPr="00C46903">
        <w:rPr>
          <w:sz w:val="24"/>
          <w:lang w:val="lt-LT"/>
        </w:rPr>
        <w:t xml:space="preserve">dėl taupomųjų ir investicinių sąskaitų, kurioms taikoma supaprastinta ir palanki apmokestinimo tvarka, prieinamumo didinimo </w:t>
      </w:r>
      <w:r w:rsidR="00005DC9" w:rsidRPr="00005DC9">
        <w:rPr>
          <w:sz w:val="24"/>
          <w:lang w:val="lt-LT"/>
        </w:rPr>
        <w:t>(O</w:t>
      </w:r>
      <w:r w:rsidR="00005DC9">
        <w:rPr>
          <w:sz w:val="24"/>
          <w:lang w:val="lt-LT"/>
        </w:rPr>
        <w:t>L</w:t>
      </w:r>
      <w:r w:rsidR="00005DC9" w:rsidRPr="00005DC9">
        <w:rPr>
          <w:sz w:val="24"/>
          <w:lang w:val="lt-LT"/>
        </w:rPr>
        <w:t xml:space="preserve"> L, 2025/2029, 2025</w:t>
      </w:r>
      <w:r w:rsidR="00005DC9">
        <w:rPr>
          <w:sz w:val="24"/>
          <w:lang w:val="lt-LT"/>
        </w:rPr>
        <w:t> 10 8</w:t>
      </w:r>
      <w:r w:rsidR="00005DC9" w:rsidRPr="00005DC9">
        <w:rPr>
          <w:sz w:val="24"/>
          <w:lang w:val="lt-LT"/>
        </w:rPr>
        <w:t>, ELI: http://data.europa.eu/eli/reco/2025/2029/oj).</w:t>
      </w:r>
      <w:r w:rsidRPr="00C46903">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0010668">
    <w:abstractNumId w:val="9"/>
  </w:num>
  <w:num w:numId="2" w16cid:durableId="350955301">
    <w:abstractNumId w:val="9"/>
  </w:num>
  <w:num w:numId="3" w16cid:durableId="1731346899">
    <w:abstractNumId w:val="7"/>
  </w:num>
  <w:num w:numId="4" w16cid:durableId="420487219">
    <w:abstractNumId w:val="7"/>
  </w:num>
  <w:num w:numId="5" w16cid:durableId="1444307881">
    <w:abstractNumId w:val="6"/>
  </w:num>
  <w:num w:numId="6" w16cid:durableId="796609417">
    <w:abstractNumId w:val="6"/>
  </w:num>
  <w:num w:numId="7" w16cid:durableId="1778521585">
    <w:abstractNumId w:val="5"/>
  </w:num>
  <w:num w:numId="8" w16cid:durableId="22445346">
    <w:abstractNumId w:val="5"/>
  </w:num>
  <w:num w:numId="9" w16cid:durableId="305014090">
    <w:abstractNumId w:val="4"/>
  </w:num>
  <w:num w:numId="10" w16cid:durableId="98108330">
    <w:abstractNumId w:val="4"/>
  </w:num>
  <w:num w:numId="11" w16cid:durableId="1030187762">
    <w:abstractNumId w:val="8"/>
  </w:num>
  <w:num w:numId="12" w16cid:durableId="85003791">
    <w:abstractNumId w:val="8"/>
  </w:num>
  <w:num w:numId="13" w16cid:durableId="1948733733">
    <w:abstractNumId w:val="3"/>
  </w:num>
  <w:num w:numId="14" w16cid:durableId="246501060">
    <w:abstractNumId w:val="3"/>
  </w:num>
  <w:num w:numId="15" w16cid:durableId="376393569">
    <w:abstractNumId w:val="2"/>
  </w:num>
  <w:num w:numId="16" w16cid:durableId="628050587">
    <w:abstractNumId w:val="2"/>
  </w:num>
  <w:num w:numId="17" w16cid:durableId="58984788">
    <w:abstractNumId w:val="1"/>
  </w:num>
  <w:num w:numId="18" w16cid:durableId="566887782">
    <w:abstractNumId w:val="1"/>
  </w:num>
  <w:num w:numId="19" w16cid:durableId="684140218">
    <w:abstractNumId w:val="0"/>
  </w:num>
  <w:num w:numId="20" w16cid:durableId="1329478472">
    <w:abstractNumId w:val="0"/>
  </w:num>
  <w:num w:numId="21" w16cid:durableId="1520506536">
    <w:abstractNumId w:val="9"/>
  </w:num>
  <w:num w:numId="22" w16cid:durableId="1575430768">
    <w:abstractNumId w:val="7"/>
  </w:num>
  <w:num w:numId="23" w16cid:durableId="22824594">
    <w:abstractNumId w:val="6"/>
  </w:num>
  <w:num w:numId="24" w16cid:durableId="2101289651">
    <w:abstractNumId w:val="5"/>
  </w:num>
  <w:num w:numId="25" w16cid:durableId="257568015">
    <w:abstractNumId w:val="4"/>
  </w:num>
  <w:num w:numId="26" w16cid:durableId="1696269868">
    <w:abstractNumId w:val="8"/>
  </w:num>
  <w:num w:numId="27" w16cid:durableId="1951815942">
    <w:abstractNumId w:val="3"/>
  </w:num>
  <w:num w:numId="28" w16cid:durableId="1456558322">
    <w:abstractNumId w:val="2"/>
  </w:num>
  <w:num w:numId="29" w16cid:durableId="2088768065">
    <w:abstractNumId w:val="1"/>
  </w:num>
  <w:num w:numId="30" w16cid:durableId="1798797425">
    <w:abstractNumId w:val="0"/>
  </w:num>
  <w:num w:numId="31" w16cid:durableId="298733215">
    <w:abstractNumId w:val="9"/>
  </w:num>
  <w:num w:numId="32" w16cid:durableId="834686152">
    <w:abstractNumId w:val="7"/>
  </w:num>
  <w:num w:numId="33" w16cid:durableId="239171266">
    <w:abstractNumId w:val="6"/>
  </w:num>
  <w:num w:numId="34" w16cid:durableId="169877340">
    <w:abstractNumId w:val="5"/>
  </w:num>
  <w:num w:numId="35" w16cid:durableId="1250584492">
    <w:abstractNumId w:val="4"/>
  </w:num>
  <w:num w:numId="36" w16cid:durableId="562057716">
    <w:abstractNumId w:val="8"/>
  </w:num>
  <w:num w:numId="37" w16cid:durableId="1188907968">
    <w:abstractNumId w:val="3"/>
  </w:num>
  <w:num w:numId="38" w16cid:durableId="1213955426">
    <w:abstractNumId w:val="2"/>
  </w:num>
  <w:num w:numId="39" w16cid:durableId="139737673">
    <w:abstractNumId w:val="1"/>
  </w:num>
  <w:num w:numId="40" w16cid:durableId="331690114">
    <w:abstractNumId w:val="0"/>
  </w:num>
  <w:num w:numId="41" w16cid:durableId="839006492">
    <w:abstractNumId w:val="10"/>
  </w:num>
  <w:num w:numId="42" w16cid:durableId="20056182">
    <w:abstractNumId w:val="10"/>
  </w:num>
  <w:num w:numId="43" w16cid:durableId="131483238">
    <w:abstractNumId w:val="10"/>
  </w:num>
  <w:num w:numId="44" w16cid:durableId="19695817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LT"/>
    <w:docVar w:name="dvnumam" w:val="73"/>
    <w:docVar w:name="dvpe" w:val="776.772"/>
    <w:docVar w:name="dvrapporteur" w:val="Pranešėjas: "/>
    <w:docVar w:name="dvtitre" w:val="Europos Parlamento rezoliucija Europos gynybos parengtis 2030 m.: poreikių įvertinimas(2025/2142(INI))"/>
  </w:docVars>
  <w:rsids>
    <w:rsidRoot w:val="00E53B90"/>
    <w:rsid w:val="00000FDE"/>
    <w:rsid w:val="00002272"/>
    <w:rsid w:val="00005DC9"/>
    <w:rsid w:val="00064002"/>
    <w:rsid w:val="000677B9"/>
    <w:rsid w:val="000831BA"/>
    <w:rsid w:val="000A42CC"/>
    <w:rsid w:val="000E7DD9"/>
    <w:rsid w:val="0010095E"/>
    <w:rsid w:val="00125B37"/>
    <w:rsid w:val="00187494"/>
    <w:rsid w:val="001F32AE"/>
    <w:rsid w:val="002767FF"/>
    <w:rsid w:val="002B18FE"/>
    <w:rsid w:val="002B5493"/>
    <w:rsid w:val="002C2884"/>
    <w:rsid w:val="0032086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97D"/>
    <w:rsid w:val="005C2568"/>
    <w:rsid w:val="005F1B17"/>
    <w:rsid w:val="006037C0"/>
    <w:rsid w:val="006610D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F9E"/>
    <w:rsid w:val="009509D8"/>
    <w:rsid w:val="00950B64"/>
    <w:rsid w:val="00981893"/>
    <w:rsid w:val="009B42D8"/>
    <w:rsid w:val="00A1687D"/>
    <w:rsid w:val="00A43E52"/>
    <w:rsid w:val="00A4678D"/>
    <w:rsid w:val="00A778C7"/>
    <w:rsid w:val="00AB441E"/>
    <w:rsid w:val="00AB6293"/>
    <w:rsid w:val="00AE0928"/>
    <w:rsid w:val="00AF3B82"/>
    <w:rsid w:val="00B12E95"/>
    <w:rsid w:val="00B22876"/>
    <w:rsid w:val="00B558F0"/>
    <w:rsid w:val="00BA7BE7"/>
    <w:rsid w:val="00BD48FE"/>
    <w:rsid w:val="00BD7BD8"/>
    <w:rsid w:val="00BE6ADC"/>
    <w:rsid w:val="00C05BFE"/>
    <w:rsid w:val="00C23CD4"/>
    <w:rsid w:val="00C46903"/>
    <w:rsid w:val="00C61C0C"/>
    <w:rsid w:val="00C6415F"/>
    <w:rsid w:val="00C941CB"/>
    <w:rsid w:val="00CC2357"/>
    <w:rsid w:val="00CF071A"/>
    <w:rsid w:val="00D058B8"/>
    <w:rsid w:val="00D56C11"/>
    <w:rsid w:val="00D67656"/>
    <w:rsid w:val="00D834A0"/>
    <w:rsid w:val="00D872DF"/>
    <w:rsid w:val="00D91E21"/>
    <w:rsid w:val="00DA7FCD"/>
    <w:rsid w:val="00E365E1"/>
    <w:rsid w:val="00E53B90"/>
    <w:rsid w:val="00E820A4"/>
    <w:rsid w:val="00EB006A"/>
    <w:rsid w:val="00EB4772"/>
    <w:rsid w:val="00ED169E"/>
    <w:rsid w:val="00ED4235"/>
    <w:rsid w:val="00F04346"/>
    <w:rsid w:val="00F075DC"/>
    <w:rsid w:val="00F149E9"/>
    <w:rsid w:val="00F5134D"/>
    <w:rsid w:val="00F74202"/>
    <w:rsid w:val="00F87713"/>
    <w:rsid w:val="00FB4360"/>
    <w:rsid w:val="00FD0C70"/>
    <w:rsid w:val="00FD0F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862A0"/>
  <w15:chartTrackingRefBased/>
  <w15:docId w15:val="{1128C4B1-7B99-4847-BC87-15FF8DE1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B42D8"/>
    <w:pPr>
      <w:spacing w:after="240"/>
      <w:ind w:left="566" w:hanging="566"/>
    </w:pPr>
    <w:rPr>
      <w:szCs w:val="24"/>
      <w:lang w:eastAsia="en-US"/>
    </w:rPr>
  </w:style>
  <w:style w:type="paragraph" w:customStyle="1" w:styleId="Normal12">
    <w:name w:val="Normal12"/>
    <w:basedOn w:val="Normal"/>
    <w:link w:val="Normal12Char"/>
    <w:rsid w:val="009B42D8"/>
    <w:pPr>
      <w:spacing w:after="240"/>
    </w:pPr>
    <w:rPr>
      <w:szCs w:val="24"/>
      <w:lang w:eastAsia="en-US"/>
    </w:rPr>
  </w:style>
  <w:style w:type="paragraph" w:customStyle="1" w:styleId="NormalCenter12a">
    <w:name w:val="NormalCenter12a"/>
    <w:basedOn w:val="Normal"/>
    <w:rsid w:val="009B42D8"/>
    <w:pPr>
      <w:spacing w:after="240"/>
      <w:jc w:val="center"/>
    </w:pPr>
    <w:rPr>
      <w:szCs w:val="24"/>
      <w:lang w:eastAsia="en-US"/>
    </w:rPr>
  </w:style>
  <w:style w:type="character" w:styleId="Hyperlink">
    <w:name w:val="Hyperlink"/>
    <w:basedOn w:val="DefaultParagraphFont"/>
    <w:rsid w:val="009B42D8"/>
    <w:rPr>
      <w:color w:val="0000FF"/>
      <w:u w:val="single"/>
    </w:rPr>
  </w:style>
  <w:style w:type="paragraph" w:customStyle="1" w:styleId="Normal6a">
    <w:name w:val="Normal6a"/>
    <w:basedOn w:val="Normal"/>
    <w:rsid w:val="009B42D8"/>
    <w:pPr>
      <w:spacing w:after="120"/>
    </w:pPr>
  </w:style>
  <w:style w:type="character" w:customStyle="1" w:styleId="Bold">
    <w:name w:val="Bold"/>
    <w:uiPriority w:val="1"/>
    <w:rsid w:val="009B42D8"/>
    <w:rPr>
      <w:b/>
    </w:rPr>
  </w:style>
  <w:style w:type="character" w:customStyle="1" w:styleId="Italic">
    <w:name w:val="Italic"/>
    <w:uiPriority w:val="1"/>
    <w:rsid w:val="009B42D8"/>
    <w:rPr>
      <w:i/>
    </w:rPr>
  </w:style>
  <w:style w:type="paragraph" w:customStyle="1" w:styleId="Normal12a24b">
    <w:name w:val="Normal12a24b"/>
    <w:basedOn w:val="Normal"/>
    <w:rsid w:val="009B42D8"/>
    <w:pPr>
      <w:spacing w:before="360" w:after="240"/>
    </w:pPr>
    <w:rPr>
      <w:snapToGrid w:val="0"/>
      <w:lang w:eastAsia="en-US"/>
    </w:rPr>
  </w:style>
  <w:style w:type="character" w:customStyle="1" w:styleId="Normal12Char">
    <w:name w:val="Normal12 Char"/>
    <w:basedOn w:val="DefaultParagraphFont"/>
    <w:link w:val="Normal12"/>
    <w:locked/>
    <w:rsid w:val="009B42D8"/>
    <w:rPr>
      <w:sz w:val="24"/>
      <w:szCs w:val="24"/>
      <w:lang w:val="lt-LT" w:eastAsia="en-US"/>
    </w:rPr>
  </w:style>
  <w:style w:type="paragraph" w:styleId="Revision">
    <w:name w:val="Revision"/>
    <w:hidden/>
    <w:uiPriority w:val="99"/>
    <w:semiHidden/>
    <w:rsid w:val="006610DC"/>
    <w:rPr>
      <w:sz w:val="24"/>
      <w:lang w:val="lt-LT"/>
    </w:rPr>
  </w:style>
  <w:style w:type="character" w:styleId="UnresolvedMention">
    <w:name w:val="Unresolved Mention"/>
    <w:basedOn w:val="DefaultParagraphFont"/>
    <w:uiPriority w:val="99"/>
    <w:semiHidden/>
    <w:unhideWhenUsed/>
    <w:rsid w:val="00661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5142</Words>
  <Characters>34894</Characters>
  <Application>Microsoft Office Word</Application>
  <DocSecurity>4</DocSecurity>
  <Lines>290</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GIRGINOV Kiril</cp:lastModifiedBy>
  <cp:revision>2</cp:revision>
  <cp:lastPrinted>2004-11-19T15:42:00Z</cp:lastPrinted>
  <dcterms:created xsi:type="dcterms:W3CDTF">2026-03-23T16:31:00Z</dcterms:created>
  <dcterms:modified xsi:type="dcterms:W3CDTF">2026-03-23T16:31:00Z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A10-0243/2025</vt:lpwstr>
  </property>
  <property fmtid="{D5CDD505-2E9C-101B-9397-08002B2CF9AE}" pid="4" name="&lt;Type&gt;">
    <vt:lpwstr>RR</vt:lpwstr>
  </property>
</Properties>
</file>