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478F" w14:paraId="3A3788FF" w14:textId="77777777" w:rsidTr="0010095E">
        <w:trPr>
          <w:trHeight w:hRule="exact" w:val="1418"/>
        </w:trPr>
        <w:tc>
          <w:tcPr>
            <w:tcW w:w="6804" w:type="dxa"/>
            <w:shd w:val="clear" w:color="auto" w:fill="auto"/>
            <w:vAlign w:val="center"/>
          </w:tcPr>
          <w:p w14:paraId="2B1E999C" w14:textId="77777777" w:rsidR="00751A4A" w:rsidRPr="0017478F" w:rsidRDefault="00BB1256" w:rsidP="0010095E">
            <w:pPr>
              <w:pStyle w:val="EPName"/>
            </w:pPr>
            <w:r w:rsidRPr="0017478F">
              <w:t>Eiropas Parlaments</w:t>
            </w:r>
          </w:p>
          <w:p w14:paraId="4FF7D162" w14:textId="77777777" w:rsidR="00751A4A" w:rsidRPr="0017478F" w:rsidRDefault="005F1B17" w:rsidP="005F1B17">
            <w:pPr>
              <w:pStyle w:val="EPTerm"/>
              <w:rPr>
                <w:rStyle w:val="HideTWBExt"/>
                <w:noProof w:val="0"/>
                <w:vanish w:val="0"/>
                <w:color w:val="auto"/>
              </w:rPr>
            </w:pPr>
            <w:r w:rsidRPr="0017478F">
              <w:t>2024</w:t>
            </w:r>
            <w:r w:rsidR="00817416" w:rsidRPr="0017478F">
              <w:t>-202</w:t>
            </w:r>
            <w:r w:rsidRPr="0017478F">
              <w:t>9</w:t>
            </w:r>
          </w:p>
        </w:tc>
        <w:tc>
          <w:tcPr>
            <w:tcW w:w="2268" w:type="dxa"/>
            <w:shd w:val="clear" w:color="auto" w:fill="auto"/>
          </w:tcPr>
          <w:p w14:paraId="71288307" w14:textId="77777777" w:rsidR="00751A4A" w:rsidRPr="0017478F" w:rsidRDefault="00187494" w:rsidP="0010095E">
            <w:pPr>
              <w:pStyle w:val="EPLogo"/>
            </w:pPr>
            <w:r w:rsidRPr="0017478F">
              <w:rPr>
                <w:noProof/>
                <w:lang w:eastAsia="ja-JP"/>
              </w:rPr>
              <w:drawing>
                <wp:inline distT="0" distB="0" distL="0" distR="0" wp14:anchorId="3894C98A" wp14:editId="3F0492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F7660" w14:textId="77777777" w:rsidR="00D058B8" w:rsidRPr="0017478F" w:rsidRDefault="00D058B8" w:rsidP="004C5D52">
      <w:pPr>
        <w:pStyle w:val="LineTop"/>
      </w:pPr>
    </w:p>
    <w:p w14:paraId="3DBD359D" w14:textId="77777777" w:rsidR="00680577" w:rsidRPr="0017478F" w:rsidRDefault="00BB1256" w:rsidP="00680577">
      <w:pPr>
        <w:pStyle w:val="EPBodyTA1"/>
      </w:pPr>
      <w:r w:rsidRPr="0017478F">
        <w:t>PIEŅEMTIE TEKSTI</w:t>
      </w:r>
    </w:p>
    <w:p w14:paraId="1EBEA1E0" w14:textId="77777777" w:rsidR="00D058B8" w:rsidRPr="0017478F" w:rsidRDefault="00D058B8" w:rsidP="00D058B8">
      <w:pPr>
        <w:pStyle w:val="LineBottom"/>
      </w:pPr>
    </w:p>
    <w:p w14:paraId="1254E00D" w14:textId="02040897" w:rsidR="00BB1256" w:rsidRPr="0017478F" w:rsidRDefault="00BB1256" w:rsidP="00BB1256">
      <w:pPr>
        <w:pStyle w:val="ATHeading1"/>
      </w:pPr>
      <w:bookmarkStart w:id="0" w:name="TANumber"/>
      <w:r w:rsidRPr="0017478F">
        <w:t>P10_TA(2025)0</w:t>
      </w:r>
      <w:bookmarkEnd w:id="0"/>
      <w:r w:rsidR="00082401">
        <w:t>336</w:t>
      </w:r>
    </w:p>
    <w:p w14:paraId="5D2405BF" w14:textId="77777777" w:rsidR="00BB1256" w:rsidRPr="0017478F" w:rsidRDefault="00BB1256" w:rsidP="00BB1256">
      <w:pPr>
        <w:pStyle w:val="ATHeading2"/>
      </w:pPr>
      <w:bookmarkStart w:id="1" w:name="title"/>
      <w:r w:rsidRPr="0017478F">
        <w:t>Eiropas aizsardzības gatavība 2030: vajadzību novērtējums</w:t>
      </w:r>
      <w:bookmarkEnd w:id="1"/>
    </w:p>
    <w:p w14:paraId="49FD64FA" w14:textId="77777777" w:rsidR="00BB1256" w:rsidRPr="0017478F" w:rsidRDefault="00BB1256" w:rsidP="00BB1256">
      <w:pPr>
        <w:rPr>
          <w:i/>
          <w:vanish/>
        </w:rPr>
      </w:pPr>
      <w:r w:rsidRPr="0017478F">
        <w:rPr>
          <w:i/>
        </w:rPr>
        <w:fldChar w:fldCharType="begin"/>
      </w:r>
      <w:r w:rsidRPr="0017478F">
        <w:rPr>
          <w:i/>
        </w:rPr>
        <w:instrText xml:space="preserve"> TC"(</w:instrText>
      </w:r>
      <w:bookmarkStart w:id="2" w:name="DocNumber"/>
      <w:r w:rsidRPr="0017478F">
        <w:rPr>
          <w:i/>
        </w:rPr>
        <w:instrText>A10-0243/2025</w:instrText>
      </w:r>
      <w:bookmarkEnd w:id="2"/>
      <w:r w:rsidRPr="0017478F">
        <w:rPr>
          <w:i/>
        </w:rPr>
        <w:instrText xml:space="preserve"> - Referents: Christophe Gomart)"\l3 \n&gt; \* MERGEFORMAT </w:instrText>
      </w:r>
      <w:r w:rsidRPr="0017478F">
        <w:rPr>
          <w:i/>
        </w:rPr>
        <w:fldChar w:fldCharType="end"/>
      </w:r>
    </w:p>
    <w:p w14:paraId="19179693" w14:textId="77777777" w:rsidR="00BB1256" w:rsidRPr="0017478F" w:rsidRDefault="00BB1256" w:rsidP="00BB1256">
      <w:pPr>
        <w:rPr>
          <w:vanish/>
        </w:rPr>
      </w:pPr>
      <w:bookmarkStart w:id="3" w:name="Commission"/>
      <w:r w:rsidRPr="0017478F">
        <w:rPr>
          <w:vanish/>
        </w:rPr>
        <w:t>Drošības un aizsardzības komiteja</w:t>
      </w:r>
      <w:bookmarkEnd w:id="3"/>
    </w:p>
    <w:p w14:paraId="38F85161" w14:textId="77777777" w:rsidR="00BB1256" w:rsidRPr="0017478F" w:rsidRDefault="00BB1256" w:rsidP="00BB1256">
      <w:pPr>
        <w:rPr>
          <w:vanish/>
        </w:rPr>
      </w:pPr>
      <w:bookmarkStart w:id="4" w:name="PE"/>
      <w:r w:rsidRPr="0017478F">
        <w:rPr>
          <w:vanish/>
        </w:rPr>
        <w:t>PE776.772</w:t>
      </w:r>
      <w:bookmarkEnd w:id="4"/>
    </w:p>
    <w:p w14:paraId="2956D71F" w14:textId="6F4E7F3B" w:rsidR="00BB1256" w:rsidRPr="0017478F" w:rsidRDefault="00BB1256" w:rsidP="00BB1256">
      <w:pPr>
        <w:pStyle w:val="ATHeading3"/>
      </w:pPr>
      <w:bookmarkStart w:id="5" w:name="Sujet"/>
      <w:r w:rsidRPr="0017478F">
        <w:t xml:space="preserve">Eiropas Parlamenta 2025. gada </w:t>
      </w:r>
      <w:r w:rsidR="001D5B9B" w:rsidRPr="0017478F">
        <w:t>17</w:t>
      </w:r>
      <w:r w:rsidRPr="0017478F">
        <w:t xml:space="preserve">. </w:t>
      </w:r>
      <w:r w:rsidR="001D5B9B" w:rsidRPr="0017478F">
        <w:t>decembra</w:t>
      </w:r>
      <w:r w:rsidRPr="0017478F">
        <w:t xml:space="preserve"> rezolūcija Eiropas aizsardzības gatavība 2030: vajadzību novērtējums</w:t>
      </w:r>
      <w:bookmarkEnd w:id="5"/>
      <w:r w:rsidRPr="0017478F">
        <w:t xml:space="preserve"> </w:t>
      </w:r>
      <w:bookmarkStart w:id="6" w:name="References"/>
      <w:r w:rsidRPr="0017478F">
        <w:t>(2025/2142(INI))</w:t>
      </w:r>
      <w:bookmarkEnd w:id="6"/>
    </w:p>
    <w:p w14:paraId="22322A64" w14:textId="77777777" w:rsidR="00243F5A" w:rsidRPr="0017478F" w:rsidRDefault="00243F5A" w:rsidP="00243F5A">
      <w:pPr>
        <w:pStyle w:val="NormalBold12a"/>
      </w:pPr>
    </w:p>
    <w:p w14:paraId="79910954" w14:textId="77777777" w:rsidR="00243F5A" w:rsidRPr="0017478F" w:rsidRDefault="00243F5A" w:rsidP="00243F5A">
      <w:pPr>
        <w:pStyle w:val="Normal12"/>
      </w:pPr>
      <w:r w:rsidRPr="0017478F">
        <w:rPr>
          <w:i/>
        </w:rPr>
        <w:t>Eiropas Parlaments</w:t>
      </w:r>
      <w:r w:rsidRPr="0017478F">
        <w:t>,</w:t>
      </w:r>
    </w:p>
    <w:p w14:paraId="4C1FD4E6" w14:textId="77777777" w:rsidR="00243F5A" w:rsidRPr="0017478F" w:rsidRDefault="00243F5A" w:rsidP="00243F5A">
      <w:pPr>
        <w:pStyle w:val="NormalHanging12a"/>
      </w:pPr>
      <w:r w:rsidRPr="0017478F">
        <w:t>–</w:t>
      </w:r>
      <w:r w:rsidRPr="0017478F">
        <w:tab/>
        <w:t>ņemot vērā Līgumu par Eiropas Savienības darbību (LESD),</w:t>
      </w:r>
    </w:p>
    <w:p w14:paraId="7C375F48" w14:textId="77777777" w:rsidR="00243F5A" w:rsidRPr="0017478F" w:rsidRDefault="00243F5A" w:rsidP="00243F5A">
      <w:pPr>
        <w:pStyle w:val="NormalHanging12a"/>
      </w:pPr>
      <w:r w:rsidRPr="0017478F">
        <w:t>–</w:t>
      </w:r>
      <w:r w:rsidRPr="0017478F">
        <w:tab/>
        <w:t>ņemot vērā Līguma par Eiropas Savienību V sadaļu, jo īpaši 2. nodaļas 2. iedaļu par kopējo drošības un aizsardzības politiku,</w:t>
      </w:r>
    </w:p>
    <w:p w14:paraId="734F444A" w14:textId="77777777" w:rsidR="00243F5A" w:rsidRPr="0017478F" w:rsidRDefault="00243F5A" w:rsidP="00243F5A">
      <w:pPr>
        <w:pStyle w:val="NormalHanging12a"/>
      </w:pPr>
      <w:r w:rsidRPr="0017478F">
        <w:t>–</w:t>
      </w:r>
      <w:r w:rsidRPr="0017478F">
        <w:tab/>
        <w:t xml:space="preserve">ņemot vērā balto grāmatu “Baltā grāmata par Eiropas aizsardzības gatavību 2030”, ar ko Komisija un Savienības Augstā pārstāve ārlietās un drošības politikas jautājumos nāca klajā 2025. gada 19. martā, un tās piecu pīlāru finansēšanas plānu </w:t>
      </w:r>
      <w:r w:rsidRPr="0017478F">
        <w:rPr>
          <w:i/>
          <w:iCs/>
        </w:rPr>
        <w:t>ReArm Europe</w:t>
      </w:r>
      <w:r w:rsidRPr="0017478F">
        <w:t>,</w:t>
      </w:r>
    </w:p>
    <w:p w14:paraId="42FBC3E4" w14:textId="77777777" w:rsidR="00243F5A" w:rsidRPr="0017478F" w:rsidRDefault="00243F5A" w:rsidP="00243F5A">
      <w:pPr>
        <w:pStyle w:val="NormalHanging12a"/>
      </w:pPr>
      <w:r w:rsidRPr="0017478F">
        <w:t>–</w:t>
      </w:r>
      <w:r w:rsidRPr="0017478F">
        <w:tab/>
        <w:t>ņemot vērā Komisijas un Savienības Augstā pārstāvja ārlietās un drošības politikas jautājumos 2022. gada 18. maija kopīgo paziņojumu par aizsardzības investīciju nepietiekamības analīzi un turpmāko virzību (JOIN(2022)0024),</w:t>
      </w:r>
    </w:p>
    <w:p w14:paraId="4F96E927" w14:textId="77777777" w:rsidR="00243F5A" w:rsidRPr="0017478F" w:rsidRDefault="00243F5A" w:rsidP="00243F5A">
      <w:pPr>
        <w:pStyle w:val="NormalHanging12a"/>
      </w:pPr>
      <w:r w:rsidRPr="0017478F">
        <w:t>–</w:t>
      </w:r>
      <w:r w:rsidRPr="0017478F">
        <w:tab/>
        <w:t>ņemot vērā 2024. gada 11. janvārī publicēto pētījumu “Eiropas aizsardzības industrijā strādājošo MVU piekļuve pašu kapitāla finansējumam”</w:t>
      </w:r>
      <w:r w:rsidRPr="0017478F">
        <w:rPr>
          <w:rStyle w:val="FootnoteReference"/>
        </w:rPr>
        <w:footnoteReference w:id="1"/>
      </w:r>
      <w:r w:rsidRPr="0017478F">
        <w:t>,</w:t>
      </w:r>
    </w:p>
    <w:p w14:paraId="6B7B6983" w14:textId="77777777" w:rsidR="00243F5A" w:rsidRPr="0017478F" w:rsidRDefault="00243F5A" w:rsidP="00243F5A">
      <w:pPr>
        <w:pStyle w:val="NormalHanging12a"/>
      </w:pPr>
      <w:r w:rsidRPr="0017478F">
        <w:t>–</w:t>
      </w:r>
      <w:r w:rsidRPr="0017478F">
        <w:tab/>
        <w:t>ņemot vērā Komisijas un Savienības Augstās pārstāves ārlietās un drošības politikas jautājumos 2024. gada 5. marta kopīgo paziņojumu “Jauna Eiropas Aizsardzības industriālā stratēģija: reaģētspējīga un noturīga Eiropas aizsardzības industrija kā ES gatavības ķīla” (JOIN(2024)0010),</w:t>
      </w:r>
    </w:p>
    <w:p w14:paraId="788BB974" w14:textId="77777777" w:rsidR="00243F5A" w:rsidRPr="0017478F" w:rsidRDefault="00243F5A" w:rsidP="00243F5A">
      <w:pPr>
        <w:pStyle w:val="NormalHanging12a"/>
      </w:pPr>
      <w:r w:rsidRPr="0017478F">
        <w:t>–</w:t>
      </w:r>
      <w:r w:rsidRPr="0017478F">
        <w:tab/>
        <w:t>ņemot vērā Mario Dragi 2024. gada 9. septembra ziņojumu par Eiropas konkurētspējas nākotni (Dragi ziņojums),</w:t>
      </w:r>
    </w:p>
    <w:p w14:paraId="23568284" w14:textId="77777777" w:rsidR="00243F5A" w:rsidRPr="0017478F" w:rsidRDefault="00243F5A" w:rsidP="00243F5A">
      <w:pPr>
        <w:pStyle w:val="NormalHanging12a"/>
      </w:pPr>
      <w:r w:rsidRPr="0017478F">
        <w:t>–</w:t>
      </w:r>
      <w:r w:rsidRPr="0017478F">
        <w:tab/>
        <w:t>ņemot vērā Eiropas Investīciju bankas (EIB) 2024. gada darbības pārskatu,</w:t>
      </w:r>
    </w:p>
    <w:p w14:paraId="48D9C0AB" w14:textId="77777777" w:rsidR="00243F5A" w:rsidRPr="0017478F" w:rsidRDefault="00243F5A" w:rsidP="00243F5A">
      <w:pPr>
        <w:pStyle w:val="NormalHanging12a"/>
      </w:pPr>
      <w:r w:rsidRPr="0017478F">
        <w:lastRenderedPageBreak/>
        <w:t>–</w:t>
      </w:r>
      <w:r w:rsidRPr="0017478F">
        <w:tab/>
        <w:t>ņemot vērā 2025. gada 25. novembra nostāju pirmajā lasījumā par priekšlikumu Eiropas Parlamenta un Padomes regulai, ar ko izveido Eiropas Aizsardzības industrijas programmu un pasākumu satvaru aizsardzības ražojumu savlaicīgas pieejamības un piegādes nodrošināšanai</w:t>
      </w:r>
      <w:r w:rsidRPr="0017478F">
        <w:rPr>
          <w:rStyle w:val="FootnoteReference"/>
        </w:rPr>
        <w:footnoteReference w:id="2"/>
      </w:r>
      <w:r w:rsidRPr="0017478F">
        <w:t>,</w:t>
      </w:r>
    </w:p>
    <w:p w14:paraId="64C13B3B" w14:textId="77777777" w:rsidR="00243F5A" w:rsidRPr="0017478F" w:rsidRDefault="00243F5A" w:rsidP="00243F5A">
      <w:pPr>
        <w:pStyle w:val="NormalHanging12a"/>
      </w:pPr>
      <w:r w:rsidRPr="0017478F">
        <w:t>–</w:t>
      </w:r>
      <w:r w:rsidRPr="0017478F">
        <w:tab/>
        <w:t xml:space="preserve">ņemot vērā Francijas, Vācijas, Spānijas, Igaunijas, Luksemburgas, Nīderlandes un Portugāles 2025. gada 6. jūnija kopīgo paziņojumu par marķējuma </w:t>
      </w:r>
      <w:r w:rsidRPr="0017478F">
        <w:rPr>
          <w:i/>
          <w:iCs/>
        </w:rPr>
        <w:t>Finance Europe</w:t>
      </w:r>
      <w:r w:rsidRPr="0017478F">
        <w:t xml:space="preserve"> ieviešanu,</w:t>
      </w:r>
    </w:p>
    <w:p w14:paraId="640A41D7" w14:textId="77777777" w:rsidR="00243F5A" w:rsidRPr="0017478F" w:rsidRDefault="00243F5A" w:rsidP="00243F5A">
      <w:pPr>
        <w:pStyle w:val="NormalHanging12a"/>
      </w:pPr>
      <w:r w:rsidRPr="0017478F">
        <w:t>–</w:t>
      </w:r>
      <w:r w:rsidRPr="0017478F">
        <w:tab/>
        <w:t>ņemot vērā Komisijas 2025. gada 17. jūnija paziņojumu par aizsardzības gatavības Omnibusa paketi (COM(2025)0820), kuras mērķis ir vienkāršot attiecīgos tiesiskos un administratīvos regulējumus, lai stiprinātu ES aizsardzības gatavību,</w:t>
      </w:r>
    </w:p>
    <w:p w14:paraId="788CB529" w14:textId="77777777" w:rsidR="00243F5A" w:rsidRPr="0017478F" w:rsidRDefault="00243F5A" w:rsidP="00243F5A">
      <w:pPr>
        <w:spacing w:after="240"/>
        <w:ind w:left="567" w:hanging="567"/>
        <w:jc w:val="both"/>
      </w:pPr>
      <w:r w:rsidRPr="0017478F">
        <w:t>–</w:t>
      </w:r>
      <w:r w:rsidRPr="0017478F">
        <w:tab/>
        <w:t>ņemot vērā 2025. gada jūnija desmito progresa ziņojumu par to, kā tiek īstenots vienotais priekšlikumu kopums, kuru ES Padome un NATO Padome apstiprināja 2016. gada 6. decembra un 2017. gada 5. decembra sanāksmēs,</w:t>
      </w:r>
    </w:p>
    <w:p w14:paraId="490EE0DA" w14:textId="77777777" w:rsidR="00243F5A" w:rsidRPr="0017478F" w:rsidRDefault="00243F5A" w:rsidP="00243F5A">
      <w:pPr>
        <w:spacing w:after="240"/>
        <w:ind w:left="567" w:hanging="567"/>
        <w:jc w:val="both"/>
      </w:pPr>
      <w:r w:rsidRPr="0017478F">
        <w:t>–</w:t>
      </w:r>
      <w:r w:rsidRPr="0017478F">
        <w:tab/>
        <w:t>ņemot vērā Padomes Regulu (ES) 2025/1106 (2025. gada 27. maijs), ar ko izveido instrumentu “Rīcība Eiropas drošības labā (</w:t>
      </w:r>
      <w:r w:rsidRPr="0017478F">
        <w:rPr>
          <w:i/>
          <w:iCs/>
        </w:rPr>
        <w:t>SAFE</w:t>
      </w:r>
      <w:r w:rsidRPr="0017478F">
        <w:t>), stiprinot Eiropas aizsardzības industriju”</w:t>
      </w:r>
      <w:r w:rsidRPr="0017478F">
        <w:rPr>
          <w:rStyle w:val="FootnoteReference"/>
        </w:rPr>
        <w:footnoteReference w:id="3"/>
      </w:r>
      <w:r w:rsidRPr="0017478F">
        <w:t>;</w:t>
      </w:r>
    </w:p>
    <w:p w14:paraId="5AD4E7E1" w14:textId="77777777" w:rsidR="00243F5A" w:rsidRPr="0017478F" w:rsidRDefault="00243F5A" w:rsidP="00243F5A">
      <w:pPr>
        <w:spacing w:after="240"/>
        <w:ind w:left="567" w:hanging="567"/>
        <w:jc w:val="both"/>
      </w:pPr>
      <w:r w:rsidRPr="0017478F">
        <w:t>–</w:t>
      </w:r>
      <w:r w:rsidRPr="0017478F">
        <w:tab/>
        <w:t>ņemot vērā Enriko Letas 2024. gada 10. aprīļa ziņojumu par Eiropas vienotā tirgus nākotni (Letas ziņojums),</w:t>
      </w:r>
    </w:p>
    <w:p w14:paraId="34D09707" w14:textId="77777777" w:rsidR="00243F5A" w:rsidRPr="0017478F" w:rsidRDefault="00243F5A" w:rsidP="00243F5A">
      <w:pPr>
        <w:pStyle w:val="Normal6a"/>
        <w:spacing w:after="240"/>
        <w:ind w:left="567" w:hanging="567"/>
      </w:pPr>
      <w:r w:rsidRPr="0017478F">
        <w:t>–</w:t>
      </w:r>
      <w:r w:rsidRPr="0017478F">
        <w:tab/>
        <w:t xml:space="preserve">ņemot vērā Sauli Nīnistes 2024. gada 30. oktobra ziņojumu “Drošāk kopā — Eiropas civilās un militārās sagatavotības un gatavības stiprināšana” (Nīnistes ziņojums), </w:t>
      </w:r>
    </w:p>
    <w:p w14:paraId="413EBDC9" w14:textId="77777777" w:rsidR="00243F5A" w:rsidRPr="0017478F" w:rsidRDefault="00243F5A" w:rsidP="00243F5A">
      <w:pPr>
        <w:pStyle w:val="Normal6a"/>
        <w:spacing w:after="240"/>
        <w:ind w:left="567" w:hanging="567"/>
      </w:pPr>
      <w:r w:rsidRPr="0017478F">
        <w:t>–</w:t>
      </w:r>
      <w:r w:rsidRPr="0017478F">
        <w:tab/>
        <w:t>ņemot vērā 2025. gada 12. marta rezolūciju par Balto grāmatu par Eiropas aizsardzības nākotni</w:t>
      </w:r>
      <w:r w:rsidRPr="0017478F">
        <w:rPr>
          <w:rStyle w:val="FootnoteReference"/>
        </w:rPr>
        <w:footnoteReference w:id="4"/>
      </w:r>
      <w:r w:rsidRPr="0017478F">
        <w:t>,</w:t>
      </w:r>
    </w:p>
    <w:p w14:paraId="1F03A47C" w14:textId="77777777" w:rsidR="00243F5A" w:rsidRPr="0017478F" w:rsidRDefault="00243F5A" w:rsidP="00243F5A">
      <w:pPr>
        <w:pStyle w:val="Normal6a"/>
        <w:spacing w:after="240"/>
        <w:ind w:left="567" w:hanging="567"/>
      </w:pPr>
      <w:r w:rsidRPr="0017478F">
        <w:t>–</w:t>
      </w:r>
      <w:r w:rsidRPr="0017478F">
        <w:tab/>
        <w:t>ņemot vērā 2025. gada 8. jūlija rezolūciju par 2024. gada ziņojumu par Eiropas Investīciju bankas finansiālajām darbībām</w:t>
      </w:r>
      <w:r w:rsidRPr="0017478F">
        <w:rPr>
          <w:rStyle w:val="FootnoteReference"/>
        </w:rPr>
        <w:footnoteReference w:id="5"/>
      </w:r>
      <w:r w:rsidRPr="0017478F">
        <w:t>,</w:t>
      </w:r>
    </w:p>
    <w:p w14:paraId="69C9E211" w14:textId="77777777" w:rsidR="00243F5A" w:rsidRPr="0017478F" w:rsidRDefault="00243F5A" w:rsidP="00243F5A">
      <w:pPr>
        <w:pStyle w:val="Normal6a"/>
        <w:spacing w:after="240"/>
        <w:ind w:left="567" w:hanging="567"/>
      </w:pPr>
      <w:r w:rsidRPr="0017478F">
        <w:t>–</w:t>
      </w:r>
      <w:r w:rsidRPr="0017478F">
        <w:tab/>
        <w:t>ņemot vērā Komisijas 2025. gada 28. augusta paziņojumu par ilgtspējīga finanšu regulējuma un Direktīvas par uzņēmumu pienācīgu rūpību attiecībā uz ilgtspēju piemērošanu aizsardzības industrijai (C(2025)3800),</w:t>
      </w:r>
    </w:p>
    <w:p w14:paraId="00F288C9" w14:textId="77777777" w:rsidR="00243F5A" w:rsidRPr="0017478F" w:rsidRDefault="00243F5A" w:rsidP="00243F5A">
      <w:pPr>
        <w:pStyle w:val="NormalHanging12a"/>
      </w:pPr>
      <w:r w:rsidRPr="0017478F">
        <w:t>–</w:t>
      </w:r>
      <w:r w:rsidRPr="0017478F">
        <w:tab/>
        <w:t>ņemot vērā Ekonomikas un monetārās komitejas, Rūpniecības, pētniecības un enerģētikas komitejas un Budžeta komitejas atzinumus,</w:t>
      </w:r>
    </w:p>
    <w:p w14:paraId="73763BFE" w14:textId="77777777" w:rsidR="00243F5A" w:rsidRPr="0017478F" w:rsidRDefault="00243F5A" w:rsidP="00243F5A">
      <w:pPr>
        <w:pStyle w:val="NormalHanging12a"/>
      </w:pPr>
      <w:r w:rsidRPr="0017478F">
        <w:t>–</w:t>
      </w:r>
      <w:r w:rsidRPr="0017478F">
        <w:tab/>
        <w:t>ņemot vērā Reglamenta 55. pantu,</w:t>
      </w:r>
    </w:p>
    <w:p w14:paraId="19E8693A" w14:textId="77777777" w:rsidR="00243F5A" w:rsidRPr="0017478F" w:rsidRDefault="00243F5A" w:rsidP="00243F5A">
      <w:pPr>
        <w:pStyle w:val="NormalHanging12a"/>
      </w:pPr>
      <w:r w:rsidRPr="0017478F">
        <w:t>–</w:t>
      </w:r>
      <w:r w:rsidRPr="0017478F">
        <w:tab/>
        <w:t>ņemot vērā Drošības un aizsardzības komitejas ziņojumu (A10-0243/2025),</w:t>
      </w:r>
    </w:p>
    <w:p w14:paraId="04198EF2" w14:textId="77777777" w:rsidR="00243F5A" w:rsidRPr="0017478F" w:rsidRDefault="00243F5A" w:rsidP="00243F5A">
      <w:pPr>
        <w:pStyle w:val="NormalHanging12a"/>
      </w:pPr>
      <w:r w:rsidRPr="0017478F">
        <w:t>A.</w:t>
      </w:r>
      <w:r w:rsidRPr="0017478F">
        <w:tab/>
        <w:t xml:space="preserve">tā kā saskaņā ar Eiropas Aizsardzības aģentūras (EAA) datiem dalībvalstu aizsardzības izdevumi pēc piedzīvotā krituma 2014. gadā sasniedza 343 miljardus EUR 2024. gadā, kas ir 1,9 % no IKP un liecina par 19 % pieaugumu salīdzinājumā ar 2023. gadu; tā kā saskaņā ar EAA datiem dalībvalstu aizsardzības izdevumi 2025. gadā varētu pārsniegt </w:t>
      </w:r>
      <w:r w:rsidRPr="0017478F">
        <w:lastRenderedPageBreak/>
        <w:t>NATO ieteikto 2 % mērķrādītāju;</w:t>
      </w:r>
    </w:p>
    <w:p w14:paraId="638D8838" w14:textId="77777777" w:rsidR="00243F5A" w:rsidRPr="0017478F" w:rsidRDefault="00243F5A" w:rsidP="00243F5A">
      <w:pPr>
        <w:pStyle w:val="NormalHanging12a"/>
        <w:rPr>
          <w:bCs/>
          <w:iCs/>
        </w:rPr>
      </w:pPr>
      <w:r w:rsidRPr="0017478F">
        <w:t>B.</w:t>
      </w:r>
      <w:r w:rsidRPr="0017478F">
        <w:tab/>
        <w:t>tā kā pašreizējais investīciju līmenis drošībā un aizsardzībā ES ir nepietiekams, lai sasniegtu katras dalībvalsts spēju mērķus; tā kā izmaksas izolētai rīcībai ir daudz lielākas nekā kopīgai; tā kā izmaksas, ko rada nesagatavotība un jebkāda iespējamā militārā sakāve un no tās izrietošā autonomijas zaudēšana, ir daudz lielākas nekā izmaksas, kas saistītas ar izlēmīgu rīcību tagad; tā kā valsts aizsardzības izdevumu palielināšana, nerisinot koordinācijas jautājumus, nenovēršot liekos centienus un nesaskaņojot stratēģijas, varētu būt neproduktīva, jo tā var saasināt spēku integrācijas problēmas un, pastiprinot konkurenci starp dalībvalstīm, palielināt to iepirkuma izmaksas;</w:t>
      </w:r>
    </w:p>
    <w:p w14:paraId="47AFAFEC" w14:textId="77777777" w:rsidR="00243F5A" w:rsidRPr="0017478F" w:rsidRDefault="00243F5A" w:rsidP="00243F5A">
      <w:pPr>
        <w:pStyle w:val="NormalHanging12a"/>
      </w:pPr>
      <w:r w:rsidRPr="0017478F">
        <w:t>C.</w:t>
      </w:r>
      <w:r w:rsidRPr="0017478F">
        <w:tab/>
        <w:t xml:space="preserve">tā kā Nīnistes ziņojumā ir uzsvērts, ka sadarbībai aizsardzības jomā pieejamo finansējumu ir ārkārtīgi svarīgi palielināt, lai pārvarētu endēmisko sadrumstalotību un investīciju trūkumu, kas ildzis gadu desmitiem; tā kā Komisija ir konstatējusi, ka dalībvalstīm saskaņā ar plānu </w:t>
      </w:r>
      <w:r w:rsidRPr="0017478F">
        <w:rPr>
          <w:i/>
          <w:iCs/>
        </w:rPr>
        <w:t>ReArm Europe</w:t>
      </w:r>
      <w:r w:rsidRPr="0017478F">
        <w:t xml:space="preserve"> līdz 2030. gadam papildus būs vajadzīgi 800 miljardi EUR aizsardzības spēju investīcijām, kas nozīmē, ka izdevumi gadā pieaugs par 10 %, lai 2030. gadā to apmērs būtu ap 575 miljardiem EUR jeb 3,15 % no kopējā IKP; tā kā tas ir saskaņots ar Dragi ziņojumu par Eiropas konkurētspējas nākotni;</w:t>
      </w:r>
    </w:p>
    <w:p w14:paraId="39FCD9EF" w14:textId="77777777" w:rsidR="00243F5A" w:rsidRPr="0017478F" w:rsidRDefault="00243F5A" w:rsidP="00243F5A">
      <w:pPr>
        <w:pStyle w:val="NormalHanging12a"/>
      </w:pPr>
      <w:r w:rsidRPr="0017478F">
        <w:t>D.</w:t>
      </w:r>
      <w:r w:rsidRPr="0017478F">
        <w:tab/>
        <w:t>tā kā Komisija priekšlikumā par daudzgadu finanšu shēmu (DFS) 2028.–2034. gadam paredz aizsardzībai un kosmosam no Eiropas Konkurētspējas fonda piešķirt 115,7 miljardus EUR (2025. gada cenās), kas ir piecas reizes vairāk nekā iepriekšējā periodā, kā arī no Eiropas infrastruktūras savienošanas instrumenta paredz piešķirt 15,7 miljardus EUR (2025. gada cenās) militārajai mobilitātei, kas ir desmitkārtīgs palielinājums salīdzinājumā ar DFS iepriekšējo periodu, un šāda palielinājuma mērķis ir atbalstīt tādas transporta infrastruktūras attīstību, ko var izmantot gan civiliem, gan militāriem mērķiem;</w:t>
      </w:r>
    </w:p>
    <w:p w14:paraId="34418090" w14:textId="77777777" w:rsidR="00243F5A" w:rsidRPr="0017478F" w:rsidRDefault="00243F5A" w:rsidP="00243F5A">
      <w:pPr>
        <w:pStyle w:val="NormalHanging12a"/>
      </w:pPr>
      <w:r w:rsidRPr="0017478F">
        <w:t>E.</w:t>
      </w:r>
      <w:r w:rsidRPr="0017478F">
        <w:tab/>
        <w:t>tā kā ES pilsoņi pamatoti sagaida lielāku atdevi no ES un tās budžeta, tostarp spēju ātri un efektīvi reaģēt uz jaunajiem apdraudējumiem un sniegt nepieciešamo atbalstu, lai stiprinātu aizsardzības spējas, jo īpaši krīzes situācijās; tā kā nākamajai DFS būtu jāatbalsta visaptveroša drošības pieeja un pienācīgi jāfinansē pasākumi, kas stiprina aizsardzības gatavību un noturību;</w:t>
      </w:r>
    </w:p>
    <w:p w14:paraId="4FEDECE1" w14:textId="77777777" w:rsidR="00243F5A" w:rsidRPr="0017478F" w:rsidRDefault="00243F5A" w:rsidP="00243F5A">
      <w:pPr>
        <w:pStyle w:val="NormalHanging12a"/>
      </w:pPr>
      <w:r w:rsidRPr="0017478F">
        <w:t>F.</w:t>
      </w:r>
      <w:r w:rsidRPr="0017478F">
        <w:tab/>
        <w:t xml:space="preserve">tā kā saskaņā ar EAA datiem 31 % no dalībvalstu aizsardzības izdevumiem 2024. gadā bija atvēlēts investīcijām, turklāt 88,2 % no attiecīgās summas bija paredzēti jauna aprīkojuma iegādei un 11,8 % — pētniecībai un izstrādei; tā kā aizsardzības aprīkojuma iepirkuma izdevumi 2024. gadā sasniedza 88 miljardus EUR, kas liecina par 39 % pieaugumu salīdzinājumā ar 2023. gadu; tā kā saskaņā ar plānu </w:t>
      </w:r>
      <w:r w:rsidRPr="0017478F">
        <w:rPr>
          <w:i/>
          <w:iCs/>
        </w:rPr>
        <w:t>ReArm Europe</w:t>
      </w:r>
      <w:r w:rsidRPr="0017478F">
        <w:t xml:space="preserve"> ir sagaidāms, ka šis palielinājums līdz 2030. gadam ģenerēs papildu investīcijas vismaz 240 miljardu EUR apmērā; tā kā arī izdevumi pētniecībai un izstrādei aizsardzības jomā dalībvalstīs 2024. gadā palielinājās par 20 %, sasniedzot 13 miljardus EUR;</w:t>
      </w:r>
    </w:p>
    <w:p w14:paraId="75A54209" w14:textId="77777777" w:rsidR="00243F5A" w:rsidRPr="0017478F" w:rsidRDefault="00243F5A" w:rsidP="00243F5A">
      <w:pPr>
        <w:pStyle w:val="NormalHanging12a"/>
      </w:pPr>
      <w:r w:rsidRPr="0017478F">
        <w:t>G.</w:t>
      </w:r>
      <w:r w:rsidRPr="0017478F">
        <w:tab/>
        <w:t>tā kā saskaņā ar Komisijas sniegto informāciju no 2022. gada februāra līdz 2023. gada jūnijam 78 % no dalībvalstu aizsardzības jomas iepirkumiem nāca no trešām valstīm, turklāt divas trešdaļas no ASV, un tā kā 70 % no Eiropas aizsardzības tehnoloģiskās un industriālās bāzes (</w:t>
      </w:r>
      <w:r w:rsidRPr="0017478F">
        <w:rPr>
          <w:i/>
          <w:iCs/>
        </w:rPr>
        <w:t>EDTIB</w:t>
      </w:r>
      <w:r w:rsidRPr="0017478F">
        <w:t>) apgrozījuma balstās uz Eiropas publisko iepirkumu;</w:t>
      </w:r>
    </w:p>
    <w:p w14:paraId="5FE34C5A" w14:textId="77777777" w:rsidR="00243F5A" w:rsidRPr="0017478F" w:rsidRDefault="00243F5A" w:rsidP="00243F5A">
      <w:pPr>
        <w:pStyle w:val="NormalHanging12a"/>
      </w:pPr>
      <w:r w:rsidRPr="0017478F">
        <w:t>H.</w:t>
      </w:r>
      <w:r w:rsidRPr="0017478F">
        <w:tab/>
        <w:t xml:space="preserve">tā kā Eiropas Aviācijas, drošības un aizsardzības rūpniecības asociācija ir norādījusi, ka </w:t>
      </w:r>
      <w:r w:rsidRPr="0017478F">
        <w:rPr>
          <w:i/>
          <w:iCs/>
        </w:rPr>
        <w:t>EDTIB</w:t>
      </w:r>
      <w:r w:rsidRPr="0017478F">
        <w:t xml:space="preserve">, kas 2023. gadā nodrošināja aptuveni 580 000 tiešo darbvietu, 1,4 miljonus </w:t>
      </w:r>
      <w:r w:rsidRPr="0017478F">
        <w:lastRenderedPageBreak/>
        <w:t>netiešo darbvietu un 160 miljardu EUR apgrozījumu (no tā vienu trešdaļu radīja eksports), saskaras ar trīskāršu izaicinājumu: darbinieku atrašana, iepirkums un finansējums;</w:t>
      </w:r>
    </w:p>
    <w:p w14:paraId="2DF506EB" w14:textId="77777777" w:rsidR="00243F5A" w:rsidRPr="0017478F" w:rsidRDefault="00243F5A" w:rsidP="00243F5A">
      <w:pPr>
        <w:pStyle w:val="NormalHanging12a"/>
      </w:pPr>
      <w:r w:rsidRPr="0017478F">
        <w:t>I.</w:t>
      </w:r>
      <w:r w:rsidRPr="0017478F">
        <w:tab/>
        <w:t xml:space="preserve">tā kā mazie un vidējie uzņēmumi (MVU) ir būtisks </w:t>
      </w:r>
      <w:r w:rsidRPr="0017478F">
        <w:rPr>
          <w:i/>
          <w:iCs/>
        </w:rPr>
        <w:t>EDTIB</w:t>
      </w:r>
      <w:r w:rsidRPr="0017478F">
        <w:t xml:space="preserve"> komponents, kas nodrošina inovāciju, elastību un noturību visā vērtības ķēdē; tā kā Komisijas 2024. gada pētījumā par piekļuvi pašu kapitāla finansējumam tomēr ir uzsvērts, ka </w:t>
      </w:r>
      <w:r w:rsidRPr="0017478F">
        <w:rPr>
          <w:i/>
          <w:iCs/>
        </w:rPr>
        <w:t>EDTIB</w:t>
      </w:r>
      <w:r w:rsidRPr="0017478F">
        <w:t xml:space="preserve"> MVU kredītu un pašu kapitāla finansējuma saņemšanā saskaras ar lielākām grūtībām nekā citu nozaru MVU, jo: i) neatbilstoši publiskie iepirkumi un apakšuzņēmēji neievēro maksājumu termiņus, kas apgrūtina naudas plūsmu pārredzamību, ii) atsevišķi investori no savas darbības izslēdz aizsardzības jomas pasūtījumus publiskā tēla dēļ un iii) ir ierobežotas iespējas aizsardzības aktīvus laist Eiropas kapitāla tirgos; tā kā šādus šķēršļus, kas apgrūtina finansēšanu, ir būtiski novērst, lai ar aizsardzību saistītiem MVU būtu taisnīgi pieejami kapitāla tirgi un privātās investīcijas un lai tādējādi vairotu konkurētspēju un ekonomikas noturību;</w:t>
      </w:r>
    </w:p>
    <w:p w14:paraId="2C172044" w14:textId="77777777" w:rsidR="00243F5A" w:rsidRPr="0017478F" w:rsidRDefault="00243F5A" w:rsidP="00243F5A">
      <w:pPr>
        <w:pStyle w:val="NormalHanging12a"/>
      </w:pPr>
      <w:r w:rsidRPr="0017478F">
        <w:t>J.</w:t>
      </w:r>
      <w:r w:rsidRPr="0017478F">
        <w:tab/>
        <w:t xml:space="preserve">tā kā tiek lēsts, ka </w:t>
      </w:r>
      <w:r w:rsidRPr="0017478F">
        <w:rPr>
          <w:i/>
          <w:iCs/>
        </w:rPr>
        <w:t>EDTIB</w:t>
      </w:r>
      <w:r w:rsidRPr="0017478F">
        <w:t xml:space="preserve"> papildu finansējuma vajadzības laikposmā no 2025. līdz 2030. gadam ir vismaz 30–40 miljardi EUR, no kuriem 6–18 miljardi EUR saskaņā ar aplēsēm būs jāsedz, izmantojot pašu kapitālu; tā kā tas liecina, cik svarīga ilgtermiņa privātā kapitāla mobilizēšanai un institucionālo investoru piesaistei ir Eiropas uzkrājumu un investīciju savienība;</w:t>
      </w:r>
    </w:p>
    <w:p w14:paraId="0E3DA1B4" w14:textId="77777777" w:rsidR="00243F5A" w:rsidRPr="0017478F" w:rsidRDefault="00243F5A" w:rsidP="00243F5A">
      <w:pPr>
        <w:pStyle w:val="NormalHanging12a"/>
      </w:pPr>
      <w:r w:rsidRPr="0017478F">
        <w:t>K.</w:t>
      </w:r>
      <w:r w:rsidRPr="0017478F">
        <w:tab/>
        <w:t>tā kā aizsardzības industrija joprojām ir sadrumstalota, tās struktūru nosaka lielie tirgus dalībnieki un nestabilas apakšuzņēmēju ķēdes, kā arī nepietiekami attīstītas Eiropas mēroga vērtības ķēdes, kas apgrūtina mazo uzņēmumu naudas plūsmas, kuriem bieži vien savas apgrozāmā kapitāla vajadzības nākas finansēt no ilgtermiņa resursiem;</w:t>
      </w:r>
      <w:r w:rsidRPr="0017478F">
        <w:rPr>
          <w:b/>
          <w:i/>
        </w:rPr>
        <w:t xml:space="preserve"> </w:t>
      </w:r>
      <w:r w:rsidRPr="0017478F">
        <w:t xml:space="preserve">tā kā tas kavē </w:t>
      </w:r>
      <w:r w:rsidRPr="0017478F">
        <w:rPr>
          <w:i/>
          <w:iCs/>
        </w:rPr>
        <w:t>EDTIB</w:t>
      </w:r>
      <w:r w:rsidRPr="0017478F">
        <w:t xml:space="preserve"> stiprināšanu, kas ir būtiska aizsardzības spēju veidošanai;</w:t>
      </w:r>
    </w:p>
    <w:p w14:paraId="6D71376D" w14:textId="77777777" w:rsidR="00243F5A" w:rsidRPr="0017478F" w:rsidRDefault="00243F5A" w:rsidP="00243F5A">
      <w:pPr>
        <w:pStyle w:val="NormalHanging12a"/>
      </w:pPr>
      <w:r w:rsidRPr="0017478F">
        <w:t>L.</w:t>
      </w:r>
      <w:r w:rsidRPr="0017478F">
        <w:tab/>
        <w:t>tā kā EIB par prioritāti noteica drošības un aizsardzības nozari, pielāgoja savus aizdevumu kritērijus un iekšējos procesus un izveidoja vienas pieturas aģentūru finansiālam atbalstam drošībai un aizsardzībai, proti, Drošības un aizsardzības biroju; tā kā EIB 2024. gadā mobilizēja gandrīz 1 miljardu EUR un 2025. gadā bija iecerējusi mobilizēt 2 miljardus EUR, bet faktiski jau ir sasniegusi 3 miljardus EUR; tā kā EIB kopš 2017. gada aizsardzībai jau ir piešķīrusi 13 miljardus EUR un plāno līdz 2027. gadam piešķirt vēl 6 miljardus EUR, attiecīgi paplašinot savu darbību, lai tajā iekļautu divējāda lietojuma projektus un jaunus finanšu instrumentus; tā kā nolūkā nodrošināt iekļaujošu un inovatīvu izaugsmi visā ES ir būtiski uzlabot MVU un vidējas kapitalizācijas uzņēmumu piekļuvi EIB instrumentiem aizsardzības un drošības ekosistēmā;</w:t>
      </w:r>
    </w:p>
    <w:p w14:paraId="2B6843EA" w14:textId="77777777" w:rsidR="00243F5A" w:rsidRPr="0017478F" w:rsidRDefault="00243F5A" w:rsidP="00243F5A">
      <w:pPr>
        <w:pStyle w:val="Normal6a"/>
        <w:spacing w:after="240"/>
        <w:ind w:left="567" w:hanging="567"/>
      </w:pPr>
      <w:bookmarkStart w:id="7" w:name="_Hlk215500216"/>
      <w:r w:rsidRPr="0017478F">
        <w:t>M.</w:t>
      </w:r>
      <w:r w:rsidRPr="0017478F">
        <w:tab/>
        <w:t xml:space="preserve">tā kā EIB ir būtiska loma ekonomiskās kohēzijas, ilgtspējīgas attīstības un konkurētspējas veicināšanā ES; tā kā baltajā grāmatā par Eiropas aizsardzības nākotni tika ierosināts izveidot aizsardzības, drošības un noturības banku; tā kā EIB pilnvaru oficiāla paplašināšana, iekļaujot atbalstu </w:t>
      </w:r>
      <w:r w:rsidRPr="0017478F">
        <w:rPr>
          <w:i/>
          <w:iCs/>
        </w:rPr>
        <w:t>EDTIB</w:t>
      </w:r>
      <w:r w:rsidRPr="0017478F">
        <w:t>, būtu efektīvāks un samērīgāks risinājums nekā jaunas aizsardzības, drošības un noturības bankas izveide;</w:t>
      </w:r>
    </w:p>
    <w:bookmarkEnd w:id="7"/>
    <w:p w14:paraId="5A023076" w14:textId="77777777" w:rsidR="00243F5A" w:rsidRPr="0017478F" w:rsidRDefault="00243F5A" w:rsidP="00243F5A">
      <w:pPr>
        <w:pStyle w:val="Normal6a"/>
        <w:tabs>
          <w:tab w:val="left" w:pos="567"/>
        </w:tabs>
        <w:spacing w:after="240"/>
        <w:ind w:left="567" w:hanging="567"/>
      </w:pPr>
      <w:r w:rsidRPr="0017478F">
        <w:t>N.</w:t>
      </w:r>
      <w:r w:rsidRPr="0017478F">
        <w:tab/>
        <w:t>tā kā jebkāda EIB aizdevumu politikas un atbilstības kritēriju paplašināšana, lai iekļautu ar aizsardzību saistītu aprīkojumu, ir jāizvērtē, ņemot vērā nepieciešamību saglabāt EIB finanšu stabilitāti un tās AAA kredītreitingu, kas joprojām ir būtiski aizsardzības pasākumi tās spējai īstenot ES politikas prioritātes, tostarp aizsardzības gatavību un ES vispārējo politisko neatkarību;</w:t>
      </w:r>
    </w:p>
    <w:p w14:paraId="210A1182" w14:textId="77777777" w:rsidR="00243F5A" w:rsidRPr="0017478F" w:rsidRDefault="00243F5A" w:rsidP="00243F5A">
      <w:pPr>
        <w:pStyle w:val="NormalHanging12a"/>
      </w:pPr>
      <w:r w:rsidRPr="0017478F">
        <w:lastRenderedPageBreak/>
        <w:t>O.</w:t>
      </w:r>
      <w:r w:rsidRPr="0017478F">
        <w:tab/>
        <w:t>tā kā 2023. gadā ar ES sadarbības mehānismu ārvalstu tiešo investīciju izvērtēšanai tika padziļināti izvērtēti aptuveni 39 paziņotie ārvalstu tiešo investīciju (ĀTI) darījumi, un tas jo īpaši skāra aizsardzības un aeronautikas nozari</w:t>
      </w:r>
      <w:r w:rsidRPr="0017478F">
        <w:rPr>
          <w:rStyle w:val="FootnoteReference"/>
        </w:rPr>
        <w:footnoteReference w:id="6"/>
      </w:r>
      <w:r w:rsidRPr="0017478F">
        <w:t>;</w:t>
      </w:r>
    </w:p>
    <w:p w14:paraId="1A4E7E9F" w14:textId="77777777" w:rsidR="00243F5A" w:rsidRPr="0017478F" w:rsidRDefault="00243F5A" w:rsidP="00243F5A">
      <w:pPr>
        <w:pStyle w:val="NormalHanging12a"/>
      </w:pPr>
      <w:r w:rsidRPr="0017478F">
        <w:t>P.</w:t>
      </w:r>
      <w:r w:rsidRPr="0017478F">
        <w:tab/>
        <w:t>tā kā, lai gan Eiropā ir izveidoti specializētie fondi, 2024. gadā aizsardzības jomā darbojās tikai aptuveni 30 Eiropas specializētie fondi, no kuriem četriem fondiem aktīvu apmērs pārsniedza 500 miljonus EUR, savukārt ASV šādu fondu ir vairāk nekā 50 un 30 fondu aktīvi pārsniedz iepriekš minēto summu, un tā kā šāda situācija mazina sekundārā tirgus pievilcību, pazemina tirgū laisto aktīvu vērtību un rada risku, ka kontroli varētu pārņemt ārvalstu investori,</w:t>
      </w:r>
    </w:p>
    <w:p w14:paraId="505C5DCC" w14:textId="77777777" w:rsidR="00243F5A" w:rsidRPr="0017478F" w:rsidRDefault="00243F5A" w:rsidP="00243F5A">
      <w:pPr>
        <w:pStyle w:val="Normal6a"/>
        <w:tabs>
          <w:tab w:val="left" w:pos="567"/>
        </w:tabs>
        <w:spacing w:after="240"/>
        <w:ind w:left="567" w:hanging="567"/>
        <w:rPr>
          <w:bCs/>
          <w:iCs/>
        </w:rPr>
      </w:pPr>
      <w:r w:rsidRPr="0017478F">
        <w:t>Q.</w:t>
      </w:r>
      <w:r w:rsidRPr="0017478F">
        <w:tab/>
        <w:t>tā kā drošības vides pasliktināšanās un pieaugošie hibrīddraudi un tradicionālie apdraudējumi visā ES uzsver nepieciešamību pēc pastāvīgām investīcijām aizsardzības gatavībā, noturībā un militārajā mobilitātē; tā kā austrumu flangs ir stratēģiska zona Eiropas vispārējai drošībai, kam nepieciešama uzlabota infrastruktūra, novērošanas spējas un ātras pastiprināšanas mehānismi; tā kā robežu pārvaldības stiprināšana, pretdronu un pretgaisa aizsardzības sistēmu uzlabošana un reģionālo industriālo spēju attīstīšana aizsardzības ražošanai un inovācijai ir būtiska, lai nodrošinātu ES sagatavotību; tā kā šie pasākumi, tostarp tādu svarīgu iniciatīvu īstenošana kā Eiropas Dronu aizsardzības iniciatīva, Austrumu flanga sardze, Eiropas gaisa telpas vairogs un Eiropas kosmosa vairogs, būtu jāatbalsta ar pienācīgu ES finansējumu; tā kā šādiem centieniem ir izšķiroša nozīme, lai aizsargātu visvairāk apdraudētās dalībvalstis, saglabātu ES teritoriālo integritāti un saglabātu kolektīvo atturēšanu un stabilitāti visā kontinentā;</w:t>
      </w:r>
    </w:p>
    <w:p w14:paraId="02873241" w14:textId="77777777" w:rsidR="00243F5A" w:rsidRPr="0017478F" w:rsidRDefault="00243F5A" w:rsidP="00243F5A">
      <w:pPr>
        <w:pStyle w:val="Normal6a"/>
        <w:rPr>
          <w:i/>
          <w:iCs/>
        </w:rPr>
      </w:pPr>
      <w:r w:rsidRPr="0017478F">
        <w:rPr>
          <w:rStyle w:val="Bold"/>
          <w:i/>
        </w:rPr>
        <w:t>Nodrošināt stabilu bāzi un ilgtermiņa redzējumu privātajām investīcijām aizsardzībā</w:t>
      </w:r>
    </w:p>
    <w:p w14:paraId="179FA49C" w14:textId="77777777" w:rsidR="00243F5A" w:rsidRPr="0017478F" w:rsidRDefault="00243F5A" w:rsidP="00243F5A">
      <w:pPr>
        <w:pStyle w:val="Normal12a24b"/>
      </w:pPr>
      <w:r w:rsidRPr="0017478F">
        <w:rPr>
          <w:rStyle w:val="Italic"/>
        </w:rPr>
        <w:t>Atbalstīt un labāk mērķēt dalībvalstu publiskās investīcijas aizsardzībā</w:t>
      </w:r>
    </w:p>
    <w:p w14:paraId="627AA29A" w14:textId="77777777" w:rsidR="00243F5A" w:rsidRPr="0017478F" w:rsidRDefault="00243F5A" w:rsidP="0017478F">
      <w:pPr>
        <w:tabs>
          <w:tab w:val="left" w:pos="567"/>
        </w:tabs>
        <w:spacing w:after="240"/>
        <w:ind w:left="567" w:hanging="567"/>
        <w:rPr>
          <w:bCs/>
          <w:iCs/>
        </w:rPr>
      </w:pPr>
      <w:r w:rsidRPr="0017478F">
        <w:t>1.</w:t>
      </w:r>
      <w:r w:rsidRPr="0017478F">
        <w:tab/>
        <w:t>uzskata, ka ir pienācis laiks atjaunot politisko apņemšanos padarīt ES par uzticamu drošības garantu un stiprināt tās aizsardzības gatavību, veicinot ciešāku sadarbību starp dalībvalstīm, to bruņotajiem spēkiem un nozarēm; aicina dalībvalstis apvienot centienus, lai panāktu saskaņotu, vērienīgu un integrētu Eiropas aizsardzības sistēmu; šajā kontekstā uzsver, ka Komisijai un dalībvalstīm ir jāsagatavo ārkārtas procedūras projektiem, kas paredzēti reaģēšanai uz būtiskām krīzēm vai kariem, tostarp ātrāk jāpiešķir publiskie līdzekļi un privātais kapitāls, kas ir būtisks elements, lai nodrošinātu gatavību un ES spēju ātri un efektīvi reaģēt uz jauniem drošības apdraudējumiem;</w:t>
      </w:r>
    </w:p>
    <w:p w14:paraId="15BCEC0D" w14:textId="77777777" w:rsidR="00243F5A" w:rsidRPr="0017478F" w:rsidRDefault="00243F5A" w:rsidP="00243F5A">
      <w:pPr>
        <w:pStyle w:val="NormalHanging12a"/>
      </w:pPr>
      <w:r w:rsidRPr="0017478F">
        <w:t>2.</w:t>
      </w:r>
      <w:r w:rsidRPr="0017478F">
        <w:tab/>
        <w:t xml:space="preserve">ir nobažījies par to, ka līdz 2025. gada jūlija beigām, neraugoties uz plāna </w:t>
      </w:r>
      <w:r w:rsidRPr="0017478F">
        <w:rPr>
          <w:i/>
          <w:iCs/>
        </w:rPr>
        <w:t>ReArm Europe</w:t>
      </w:r>
      <w:r w:rsidRPr="0017478F">
        <w:t xml:space="preserve"> mērķiem, tikai 10 no 27 dalībvalstīm skaidri paziņojušas, ka tās plāno laikposmā līdz 2030. gadam aizsardzības izdevumiem tērēt vismaz 3 % no IKP; aicina katru dalībvalsti sagatavot stratēģisko redzējumu par saviem militārajiem izdevumiem laikposmā līdz 2030. gadam, skaidri nodalot materiālās aizsardzības spējas un divējāda lietojuma infrastruktūru, tostarp nosakot spēju veidošanas starpmērķus, krājumu lielumus, MVU līdzdalības rādītājus un kopdarbīgā iepirkuma daļas mērķus; uzsver, ka valstu aizsardzības budžetiem ir jānovērš spēju nepietiekamība, jāatjauno atturēšana un jānodrošina pienācīgs atbalsts Ukrainai; uzsver, ka turpmākajās investīcijās par prioritāti ir jānosaka sadarbība, sadarbspēja un kopīgs iepirkums, padarot ES līmeņa sadarbību par normu Eiropas aizsardzības rūpniecības nozarē; šajā ziņā uzsver, ka plāns </w:t>
      </w:r>
      <w:r w:rsidRPr="0017478F">
        <w:rPr>
          <w:i/>
          <w:iCs/>
        </w:rPr>
        <w:lastRenderedPageBreak/>
        <w:t>ReArm Europe</w:t>
      </w:r>
      <w:r w:rsidRPr="0017478F">
        <w:t xml:space="preserve"> ir jāsaskaņo ar konkrētajiem skaitliskajiem mērķiem, kas noteikti Eiropas aizsardzības industriālajā stratēģijā (</w:t>
      </w:r>
      <w:r w:rsidRPr="0017478F">
        <w:rPr>
          <w:i/>
          <w:iCs/>
        </w:rPr>
        <w:t>EDIS</w:t>
      </w:r>
      <w:r w:rsidRPr="0017478F">
        <w:t>), jo īpaši nodrošinot, ka līdz 2030. gadam vismaz 40 % aizsardzības aprīkojuma tiek iepirkti kopīgi, ka līdz 2030. gadam vismaz 35 % aizsardzības aprīkojuma tirdzniecības ir ES iekšējā tirdzniecība un ka līdz 2030. gadam vismaz 50 % aizsardzības iepirkuma ir ES ražoti ražojumi un līdz 2035. gadam — 60 %; atzinīgi vērtē tās dalībvalstis, kuras aizsardzībai konsekventi piešķir vairāk nekā 3 % no IKP; atgādina, ka dalībvalstīm būtu regulāri jāatjaunina savi spēju mērķi un militārās doktrīnas, lai stātos pretī jauniem un potenciāliem apdraudējumiem;</w:t>
      </w:r>
    </w:p>
    <w:p w14:paraId="0BB87D1A" w14:textId="77777777" w:rsidR="00243F5A" w:rsidRPr="0017478F" w:rsidRDefault="00243F5A" w:rsidP="00243F5A">
      <w:pPr>
        <w:pStyle w:val="NormalHanging12a"/>
        <w:rPr>
          <w:bCs/>
        </w:rPr>
      </w:pPr>
      <w:r w:rsidRPr="0017478F">
        <w:t>3.</w:t>
      </w:r>
      <w:r w:rsidRPr="0017478F">
        <w:tab/>
        <w:t>atzīst, ka ES drošības situācija ir krasi pasliktinājusies, kā rezultātā pieaug draudi ES ārējām robežām; tādēļ aicina ES un tās dalībvalstis pieņemt visaptverošu pieeju aizsardzībai, atzīstot, ka drošība neaprobežojas tikai ar militāriem līdzekļiem un ietver arī aizsardzību pret hibrīddraudiem; uzsver, ka iekšējā politiskā stabilitāte ir ticama militārā spēka priekšnoteikums un ka bez pilsoņu uzticēšanās iestādēm un demokrātijai ES vispārējā drošība un kohēzija joprojām būtu nestabila; aicina ātri un solidāri mobilizēt ES finansiālo atbalstu, jo īpaši tām dalībvalstīm, kuras visvairāk pakļautas konvencionāliem militāriem draudiem;</w:t>
      </w:r>
    </w:p>
    <w:p w14:paraId="3FA401C6" w14:textId="77777777" w:rsidR="00243F5A" w:rsidRPr="0017478F" w:rsidRDefault="00243F5A" w:rsidP="00243F5A">
      <w:pPr>
        <w:pStyle w:val="NormalHanging12a"/>
      </w:pPr>
      <w:r w:rsidRPr="0017478F">
        <w:t>4.</w:t>
      </w:r>
      <w:r w:rsidRPr="0017478F">
        <w:tab/>
        <w:t xml:space="preserve">atzinīgi vērtē plānā </w:t>
      </w:r>
      <w:r w:rsidRPr="0017478F">
        <w:rPr>
          <w:i/>
          <w:iCs/>
        </w:rPr>
        <w:t>ReArm Europe</w:t>
      </w:r>
      <w:r w:rsidRPr="0017478F">
        <w:t xml:space="preserve"> izklāstītos priekšlikumus piedāvāt dalībvalstīm lielāku budžeta elastību un veicināt lielākus aizsardzības izdevumus, lai stiprinātu </w:t>
      </w:r>
      <w:r w:rsidRPr="0017478F">
        <w:rPr>
          <w:i/>
          <w:iCs/>
        </w:rPr>
        <w:t>EDTIB</w:t>
      </w:r>
      <w:r w:rsidRPr="0017478F">
        <w:t xml:space="preserve">; jo īpaši norāda uz aizdevumu mehānismu saskaņā ar </w:t>
      </w:r>
      <w:r w:rsidRPr="0017478F">
        <w:rPr>
          <w:i/>
          <w:iCs/>
        </w:rPr>
        <w:t>SAFE</w:t>
      </w:r>
      <w:r w:rsidRPr="0017478F">
        <w:t xml:space="preserve"> instrumentu 150 miljardu EUR apmērā un to, ka 19 dalībvalstis izmantos </w:t>
      </w:r>
      <w:r w:rsidRPr="0017478F">
        <w:rPr>
          <w:i/>
          <w:iCs/>
        </w:rPr>
        <w:t>SAFE</w:t>
      </w:r>
      <w:r w:rsidRPr="0017478F">
        <w:t xml:space="preserve"> aizdevumus; tomēr pauž nožēlu, ka Komisija šo instrumentu ir balstījusi uz LESD 122. pantu, kas izslēdz apspriešanos ar Parlamentu un attiecīgi apgrūtina līdzekļu pārraudzību un kontroli un rada risku, ka varētu palielināties atšķirības starp dalībvalstīm; uzsver Parlamenta budžeta kontroles funkciju saskaņā ar LESD 314. pantu un tādēļ stingri aicina Komisiju turpmāk atturēties no 122. panta piemērošanas citām iniciatīvām, kas saistītas ar aizsardzības rūpniecību, vai citiem jautājumiem, kas saistīti ar aizsardzības finansēšanu; šajā sakarā uzskata, ka ir ļoti svarīgi, lai </w:t>
      </w:r>
      <w:r w:rsidRPr="0017478F">
        <w:rPr>
          <w:i/>
          <w:iCs/>
        </w:rPr>
        <w:t>SAFE</w:t>
      </w:r>
      <w:r w:rsidRPr="0017478F">
        <w:t xml:space="preserve"> projekti atspoguļotu ES spēju prioritātes, kas noteiktas Baltajā grāmatā par Eiropas aizsardzību, spēju attīstības plānā un Aizsardzības gatavības ceļvedī 2030. gadam; tomēr pauž nožēlu par to, ka atsevišķas dalībvalsts veiktie iepirkumi ir tiesīgi saņemt atbalstu no </w:t>
      </w:r>
      <w:r w:rsidRPr="0017478F">
        <w:rPr>
          <w:i/>
          <w:iCs/>
        </w:rPr>
        <w:t>SAFE</w:t>
      </w:r>
      <w:r w:rsidRPr="0017478F">
        <w:t xml:space="preserve"> instrumenta, ja iepirkuma līgums ir parakstīts ne vēlāk kā 2026. gada 30. maijā, jo šāda prakse nestimulē kopīgu iepirkumu un izraisa tirgus sadrumstalotību, galu galā radot risku, ka palielināsies atšķirības starp dalībvalstīm; šajā ziņā uzsver, ka finansējuma pamatā vajadzētu būt arī atvieglotai piekļuvei privātajam kapitālam, valstu iemaksām, esošajām budžeta rezervēm vai alternatīviem mehānismiem, kuros tiek nodrošināta fiskālā atbildība; šajā nolūkā aicina Komisiju veicināt daudzgadu apvienotos iepirkumus, lai samazinātu vienības izmaksas un visā ES pašlaik izmantoto ieroču sistēmu sadrumstalotību;</w:t>
      </w:r>
    </w:p>
    <w:p w14:paraId="11E4CCAB" w14:textId="77777777" w:rsidR="00243F5A" w:rsidRPr="0017478F" w:rsidRDefault="00243F5A" w:rsidP="00243F5A">
      <w:pPr>
        <w:pStyle w:val="NormalHanging12a"/>
      </w:pPr>
      <w:r w:rsidRPr="0017478F">
        <w:t>5.</w:t>
      </w:r>
      <w:r w:rsidRPr="0017478F">
        <w:tab/>
      </w:r>
      <w:bookmarkStart w:id="8" w:name="_Hlk210563278"/>
      <w:r w:rsidRPr="0017478F">
        <w:t xml:space="preserve">atzīmē, ka Eiropas aizsardzības ekosistēmas industriālā, finanšu un pārvaldības dimensija joprojām ir sadrumstalota; uzsver, ka ES budžets joprojām ir efektīvs instruments, lai uzlabotu integrētu plānošanu, stabilu ilgtermiņa finansējumu un efektīvu īstenošanu aizsardzības jomā, tādējādi pārvarot sadrumstalotību; atkārtoti norāda, ka valstu aizsardzības budžetu palielināšana būtu jāpapildina ar pastiprinātu koordināciju un kopīgu rīcību ES līmenī; atgādina, ka ir svarīgi nodrošināt plašu atbalstu publiskajām investīcijām aizsardzībā, tādēļ ir taisnīgi jāsadala izmaksas; pauž nožēlu par to, ka plānā </w:t>
      </w:r>
      <w:r w:rsidRPr="0017478F">
        <w:rPr>
          <w:i/>
          <w:iCs/>
        </w:rPr>
        <w:t>ReArm Europe</w:t>
      </w:r>
      <w:r w:rsidRPr="0017478F">
        <w:t xml:space="preserve"> nav spēcīgas ES preferences klauzulas, jo īpaši attiecībā uz </w:t>
      </w:r>
      <w:r w:rsidRPr="0017478F">
        <w:rPr>
          <w:i/>
          <w:iCs/>
        </w:rPr>
        <w:t>SAFE</w:t>
      </w:r>
      <w:r w:rsidRPr="0017478F">
        <w:t xml:space="preserve"> instrumentu, kas stiprinātu </w:t>
      </w:r>
      <w:r w:rsidRPr="0017478F">
        <w:rPr>
          <w:i/>
          <w:iCs/>
        </w:rPr>
        <w:t>EDTIB</w:t>
      </w:r>
      <w:r w:rsidRPr="0017478F">
        <w:t xml:space="preserve">, radītu jaunas darbvietas ES, palielinātu aizsardzības ražojumu sadarbspēju un savstarpējo aizstājamību ES un </w:t>
      </w:r>
      <w:r w:rsidRPr="0017478F">
        <w:lastRenderedPageBreak/>
        <w:t xml:space="preserve">samazinātu atkarību no trešām valstīm, tādējādi stiprinot Eiropas atturēšanu un palielinot piegādes drošību; uzsver, ka, lai </w:t>
      </w:r>
      <w:r w:rsidRPr="0017478F">
        <w:rPr>
          <w:i/>
          <w:iCs/>
        </w:rPr>
        <w:t>SAFE</w:t>
      </w:r>
      <w:r w:rsidRPr="0017478F">
        <w:t xml:space="preserve"> instruments būtu finansiāli efektīvs, tam galvenokārt vajadzētu būt instrumentam, ar ko kopīgi iepirkt, uzturēt un ekspluatēt stratēģiskos veicinātājus, jo īpaši tos, kas nodrošina izlūkošanas novērošanu un izlūkošanu; aicina Komisiju pilnībā izmantot savu lomu, jo īpaši ar </w:t>
      </w:r>
      <w:r w:rsidRPr="0017478F">
        <w:rPr>
          <w:i/>
          <w:iCs/>
        </w:rPr>
        <w:t>SAFE</w:t>
      </w:r>
      <w:r w:rsidRPr="0017478F">
        <w:t xml:space="preserve"> darba grupas starpniecību, lai nodrošinātu, ka dalībvalstu valsts aizsardzības plānos tiek ievērots </w:t>
      </w:r>
      <w:r w:rsidRPr="0017478F">
        <w:rPr>
          <w:i/>
          <w:iCs/>
        </w:rPr>
        <w:t>SAFE</w:t>
      </w:r>
      <w:r w:rsidRPr="0017478F">
        <w:t xml:space="preserve"> mērķis veicināt kopīgu iepirkumu, lai efektīvi novērstu spēju nepilnības, un izmantot visus pieejamos instrumentus, tostarp Eiropas aizsardzības kopīgu interešu projektus un Eiropas bruņojuma programmas struktūru;</w:t>
      </w:r>
      <w:bookmarkEnd w:id="8"/>
    </w:p>
    <w:p w14:paraId="118C7764" w14:textId="77777777" w:rsidR="00243F5A" w:rsidRPr="0017478F" w:rsidRDefault="00243F5A" w:rsidP="00243F5A">
      <w:pPr>
        <w:pStyle w:val="NormalHanging12a"/>
        <w:rPr>
          <w:bCs/>
          <w:iCs/>
        </w:rPr>
      </w:pPr>
      <w:r w:rsidRPr="0017478F">
        <w:t>6.</w:t>
      </w:r>
      <w:r w:rsidRPr="0017478F">
        <w:tab/>
        <w:t>konstatē, ka valsts izņēmuma klauzula tiek aktivizēta tikai dažos, turklāt atšķirīgos gadījumos, un norāda, ka pat ar šādu elastības iespēju vairākām dalībvalstīm fiskālo spēju ziņā tomēr ir grūti apmierināt pieprasījumus un efektīvi reaģēt uz kopīgām prioritātēm un ka citas dalībvalstis valsts izņēmuma klauzulu ir atturējušās piemērot, bažījoties par finanšu tirgus reakciju; atzīst, ka valsts izņēmuma klauzula ir pagaidu instruments, ko valstis var izmantot konkrētās ārkārtas situācijās, savukārt pastāvīgai investīciju plānošanai ir vajadzīga situācijas prognozējamība ilgtermiņā; uzsver, ka prognozējami fiskālie un normatīvie nosacījumi ir būtiski, lai piesaistītu privātās investīcijas un lai garantētu publisko līdzekļu lietderīgu izmantošanu visā ES; uzskata, ka attiecīgā gadījumā šī sistēma būtu jāstiprina ar ES līmeņa investīciju instrumentiem un rīkiem, kas izstrādāti, lai līdz minimumam samazinātu izmaksas ES nodokļu maksātājiem un maksimāli palielinātu ES sabiedrisko labumu nodrošināšanas lietderības koeficientu;</w:t>
      </w:r>
    </w:p>
    <w:p w14:paraId="54CD04CE" w14:textId="77777777" w:rsidR="00243F5A" w:rsidRPr="0017478F" w:rsidRDefault="00243F5A" w:rsidP="00243F5A">
      <w:pPr>
        <w:pStyle w:val="NormalHanging12a"/>
      </w:pPr>
      <w:r w:rsidRPr="0017478F">
        <w:t>7.</w:t>
      </w:r>
      <w:r w:rsidRPr="0017478F">
        <w:tab/>
      </w:r>
      <w:bookmarkStart w:id="9" w:name="_Hlk213505486"/>
      <w:r w:rsidRPr="0017478F">
        <w:t>atzinīgi vērtē Komisijas priekšlikumus vienkāršot, atvieglināt un paātrināt ar aizsardzību saistītās iepirkumu procedūras; aicina stiprināt ES preferences principu, nodrošinot, ka saņēmēji var lemt par dizainu un sistēmu definēšanu, pielāgošanu un attīstību visā to dzīves ciklā un ka neviena komponenta izcelsme nav trešās valstīs vai struktūrās, kas pārkāpj ES un tās dalībvalstu drošības un aizsardzības intereses;</w:t>
      </w:r>
      <w:bookmarkEnd w:id="9"/>
      <w:r w:rsidRPr="0017478F">
        <w:t xml:space="preserve"> turklāt aicina atbilstības kritērijus saskaņā ar plānu </w:t>
      </w:r>
      <w:r w:rsidRPr="0017478F">
        <w:rPr>
          <w:i/>
          <w:iCs/>
        </w:rPr>
        <w:t>ReArm Europe</w:t>
      </w:r>
      <w:r w:rsidRPr="0017478F">
        <w:t xml:space="preserve"> pilnībā saskaņot ar kritērijiem, kas noteikti Eiropas aizsardzības industrijas programmā (</w:t>
      </w:r>
      <w:r w:rsidRPr="0017478F">
        <w:rPr>
          <w:i/>
          <w:iCs/>
        </w:rPr>
        <w:t>EDIP</w:t>
      </w:r>
      <w:r w:rsidRPr="0017478F">
        <w:t xml:space="preserve">), lai samazinātu sadrumstalotību, ietaupītu izmaksas un palielinātu efektivitāti, veicinātu sadarbspēju un savstarpēju aizstājamību un palielinātu </w:t>
      </w:r>
      <w:r w:rsidRPr="0017478F">
        <w:rPr>
          <w:i/>
          <w:iCs/>
        </w:rPr>
        <w:t>EDTIB</w:t>
      </w:r>
      <w:r w:rsidRPr="0017478F">
        <w:t xml:space="preserve"> konkurētspēju; uzsver, ka iepirkuma un dalības noteikumiem vajadzētu būt samērīgiem un MVU labvēlīgiem, un aicina ieviest minimālo obligāto projekta vērtības daļu, kas jāpiešķir MVU dalībai piegādes ķēdē, nodrošinot vienlīdzīgu piekļuvi jaunuzņēmumiem un mazākiem piegādātājiem kopā ar galvenajiem darbuzņēmējiem un izvairoties no administratīvā sloga, kas kavē MVU dalību; tomēr aicina stiprināt Eiropas piegādes ķēdes noturību, atbalstot kopīgu standartu ieviešanu un jauktu piegādes ķēžu izveidi, kas samazinātu kritisko atkarību; atzīst, ka ir vajadzīga spēcīga transatlantiskā sadarbība kā Eiropas aizsardzības pamats, taču pauž bažas par paziņojumu par aizsardzības ražojumu iepirkuma no Amerikas Savienotajām Valstīm būtisku pieaugumu, jo tas būs pretrunā </w:t>
      </w:r>
      <w:r w:rsidRPr="0017478F">
        <w:rPr>
          <w:i/>
          <w:iCs/>
        </w:rPr>
        <w:t>EDIS</w:t>
      </w:r>
      <w:r w:rsidRPr="0017478F">
        <w:t xml:space="preserve"> noteiktajiem mērķiem un radīs nenoteiktību attiecībā uz investīcijām </w:t>
      </w:r>
      <w:r w:rsidRPr="0017478F">
        <w:rPr>
          <w:i/>
          <w:iCs/>
        </w:rPr>
        <w:t>EDTIB</w:t>
      </w:r>
      <w:r w:rsidRPr="0017478F">
        <w:t>; aicina īstenot transatlantisko sadarbību aizsardzības industrijas jomā, pamatojoties uz vienlīdzīgiem konkurences apstākļiem, kas sniegs labumu abām pusēm; uzsver, ka dalībai ES aizsardzības programmās ir pilnībā jāatbilst ES pamatvērtībām, drošības interesēm un kopējās ārpolitikas un drošības politikas (KĀDP) un kopējās drošības un aizsardzības politikas (KDAP) mērķiem;</w:t>
      </w:r>
    </w:p>
    <w:p w14:paraId="583E25A1" w14:textId="77777777" w:rsidR="00243F5A" w:rsidRPr="0017478F" w:rsidRDefault="00243F5A" w:rsidP="00243F5A">
      <w:pPr>
        <w:pStyle w:val="Normal12a24b"/>
        <w:ind w:left="567" w:hanging="567"/>
      </w:pPr>
      <w:r w:rsidRPr="0017478F">
        <w:t>8.</w:t>
      </w:r>
      <w:r w:rsidRPr="0017478F">
        <w:tab/>
        <w:t xml:space="preserve">uzsver, ka ES aizsardzības rūpniecībai ir vajadzīgs prognozējams ilgtermiņa noieta apjoms un vienotas prasības, lai tā varētu darboties ātri un plašā mērogā un radīt </w:t>
      </w:r>
      <w:r w:rsidRPr="0017478F">
        <w:lastRenderedPageBreak/>
        <w:t>vērtību; uzsver, ka saskaņā ar Dragi, Letas un Nīnistes ziņojumiem sadarbspēja un standartizācija jau no paša sākuma ir jāiekļauj aizsardzības jomas iepirkumos un investīcijās ES, izmantojot kopīgu testēšanu un sertifikāciju un pārrobežu atzīšanu, lai ierobežotu pārmērīgu variantu daudzveidību un tirgus sadrumstalotību; mudina dalībvalstis papildināt savas budžeta saistības ar pārredzamām vidēja termiņa aizsardzības investīciju prognozēm, kas aptver spēju mērķrādītājus, iepirkuma grafikus un sadarbības programmām paredzēto izdevumu daļu; aicina EAA apkopot šīs valstu prognozes ikgadējā salīdzinošā pārskatā, lai atvieglotu koordināciju un apzinātu iespējas īstenot kopīgus projektus;</w:t>
      </w:r>
    </w:p>
    <w:p w14:paraId="633686AD" w14:textId="77777777" w:rsidR="00243F5A" w:rsidRPr="0017478F" w:rsidRDefault="00243F5A" w:rsidP="00243F5A">
      <w:pPr>
        <w:pStyle w:val="Normal6a"/>
        <w:ind w:left="567" w:hanging="567"/>
      </w:pPr>
      <w:r w:rsidRPr="0017478F">
        <w:t>9.</w:t>
      </w:r>
      <w:r w:rsidRPr="0017478F">
        <w:tab/>
        <w:t xml:space="preserve">uzsver, ka ir jāstiprina </w:t>
      </w:r>
      <w:r w:rsidRPr="0017478F">
        <w:rPr>
          <w:i/>
          <w:iCs/>
        </w:rPr>
        <w:t>EDTIB</w:t>
      </w:r>
      <w:r w:rsidRPr="0017478F">
        <w:t xml:space="preserve">, apkopojot pieprasījumu, vienkāršojot un saskaņojot noteikumus un veicinot atklātu un godīgu konkurenci starp Eiropas nozarēm, kā rezultātā Eiropas aizsardzības rūpniecība kļūtu rentablāka un konkurētspējīgāka un visā ES uzlabotos piekļuve aizsardzības ekipējumam; pauž nožēlu par to, ka trūkst visaptverošu datu par ES sadarbīgo ekipējuma iepirkumu, tāpēc nav iespējams sniegt visaptverošu analīzi par ES sadarbīgo aizsardzības ekipējuma iepirkumu un pienācīgi novērtēt ES aizsardzības vides stāvokli šajā jomā; mudina Komisiju un Padomi novērst pastāvīgos šķēršļus ES iekšējai tirdzniecībai ar aizsardzības ražojumiem, tostarp licencēšanas un sertifikācijas šķēršļus, un aicina likumdevējus par prioritāti noteikt Komisijas aizsardzības omnibusa priekšlikuma pieņemšanu un efektīvu īstenošanu, lai racionalizētu sūtījumus un iepirkumu visā ES nolūkā atbalstīt noturīgāku un konkurētspējīgāku </w:t>
      </w:r>
      <w:r w:rsidRPr="0017478F">
        <w:rPr>
          <w:i/>
          <w:iCs/>
        </w:rPr>
        <w:t>EDTIB</w:t>
      </w:r>
      <w:r w:rsidRPr="0017478F">
        <w:t>;</w:t>
      </w:r>
    </w:p>
    <w:p w14:paraId="3DD977FC" w14:textId="77777777" w:rsidR="00243F5A" w:rsidRPr="0017478F" w:rsidRDefault="00243F5A" w:rsidP="00243F5A">
      <w:pPr>
        <w:pStyle w:val="Normal12a24b"/>
        <w:tabs>
          <w:tab w:val="left" w:pos="567"/>
        </w:tabs>
        <w:ind w:left="567" w:hanging="567"/>
      </w:pPr>
      <w:r w:rsidRPr="0017478F">
        <w:t>10.</w:t>
      </w:r>
      <w:r w:rsidRPr="0017478F">
        <w:tab/>
        <w:t>uzsver, ka būtu jāstiprina sinerģija ar civilajām inovācijas programmām, piemēram, ar pamatprogrammu “Apvārsnis Eiropa” un Eiropas Inovācijas padomi, lai panāktu maksimālu ietekmi un izvairītos no dublēšanās; vienlaikus uzsver, ka tehnoloģiskajam progresam ir jāatbilst nepieciešamajām cilvēku spējām; pauž bažas par to, ka 2024. gadā aktīvo darbinieku skaits palielinājās tikai nedaudz, un brīdina, ka investīciju palielināšana bez paralēliem darbā pieņemšanas un paturēšanas centieniem var radīt spēju nepietiekamību jauna aprīkojuma ekspluatācijā un uzturēšanā; aicina dalībvalstis par prioritāti noteikt rekrutēšanas un noturēšanas politiku aizsardzības nozarē, tostarp ES atbalstītas apmaiņas un apmācības programmas, lai nodrošinātu, ka lielāki izdevumi ļauj sasniegt patiesu operatīvo gatavību;</w:t>
      </w:r>
    </w:p>
    <w:p w14:paraId="5ADCCFEB" w14:textId="77777777" w:rsidR="00243F5A" w:rsidRPr="0017478F" w:rsidRDefault="00243F5A" w:rsidP="00243F5A">
      <w:pPr>
        <w:pStyle w:val="Normal12a24b"/>
      </w:pPr>
      <w:r w:rsidRPr="0017478F">
        <w:rPr>
          <w:rStyle w:val="Italic"/>
        </w:rPr>
        <w:t>ES budžetu un finanšu instrumentus pielāgošana drošības izaicinājumiem un uzņēmumu vajadzībām</w:t>
      </w:r>
    </w:p>
    <w:p w14:paraId="64214E40" w14:textId="77777777" w:rsidR="00243F5A" w:rsidRPr="0017478F" w:rsidRDefault="00243F5A" w:rsidP="00243F5A">
      <w:pPr>
        <w:pStyle w:val="NormalHanging12a"/>
      </w:pPr>
      <w:r w:rsidRPr="0017478F">
        <w:t>11.</w:t>
      </w:r>
      <w:r w:rsidRPr="0017478F">
        <w:tab/>
        <w:t xml:space="preserve">vēlreiz pauž iepriekšējos aicinājumus Komisijai apzināt visas iespējas, kā atbalstīt dalībvalstu investīcijas aizsardzības jomā un maksimāli palielināt esošo mehānismu sinerģijas, lai stiprinātu ES aizsardzības gatavību; atgādina par savu aicinājumu nodrošināt, ka nākamā DFS atbalsta visaptverošu drošības pieeju, izmantojot pienācīgas un koordinētas investīcijas; atzinīgi vērtē DFS 2028.–2034. gadam ierosināto aizsardzības finansējuma konsolidāciju; tomēr pauž nožēlu par to, ka Komisija savā priekšlikumā par 2028.–2034. gada DFS nav sniegusi pietiekami detalizētu šā finansējuma sadalījumu; atgādina, ka ir nepieciešams detalizēts budžeta sadalījums, lai budžeta lēmējinstitūcija varētu pieņemt jēgpilnus un uz informāciju balstītus lēmumus; uzsver, ka nākamajā DFS samērīgas ES līmeņa investīcijas aizsardzībā, ja to pamatā ir pārredzama pārvaldība, var samazināt dublēšanos, nodrošināt apjomradītus ietaupījumus un uzlabot sadarbspēju; atgādina par aizsardzības nozares specifiku un uzskata, ka nākamajā DFS ir jāsaglabā visi Eiropas aizsardzības rūpniecības finansēšanas instrumentu kritēriji un procedūras, jo īpaši kritēriji, kas attiecas uz </w:t>
      </w:r>
      <w:r w:rsidRPr="0017478F">
        <w:lastRenderedPageBreak/>
        <w:t xml:space="preserve">Eiropas Aizsardzības fondu un </w:t>
      </w:r>
      <w:r w:rsidRPr="0017478F">
        <w:rPr>
          <w:i/>
          <w:iCs/>
        </w:rPr>
        <w:t>EDIP</w:t>
      </w:r>
      <w:r w:rsidRPr="0017478F">
        <w:t>;</w:t>
      </w:r>
    </w:p>
    <w:p w14:paraId="6CC3CBF5" w14:textId="77777777" w:rsidR="00243F5A" w:rsidRPr="0017478F" w:rsidRDefault="00243F5A" w:rsidP="00243F5A">
      <w:pPr>
        <w:pStyle w:val="Normal6a"/>
        <w:tabs>
          <w:tab w:val="left" w:pos="567"/>
        </w:tabs>
        <w:spacing w:after="240"/>
        <w:ind w:left="567" w:hanging="567"/>
      </w:pPr>
      <w:r w:rsidRPr="0017478F">
        <w:t>12.</w:t>
      </w:r>
      <w:r w:rsidRPr="0017478F">
        <w:tab/>
        <w:t xml:space="preserve">šajā sakarā uzskata, ka būtu jāizpēta visas iespējas atbalstīt dalībvalstu investīcijas aizsardzībā, jo īpaši izmantojot esošos mehānismus, nepalielinot valstu iemaksas vai vispārējo nodokļu slogu pilsoņiem; uzsver, ka šādi instrumenti nedrīkst būt atkarīgi tikai no ES atbalstītu aizdevumu izsniegšanas, piemēram, izmantojot </w:t>
      </w:r>
      <w:r w:rsidRPr="0017478F">
        <w:rPr>
          <w:i/>
          <w:iCs/>
        </w:rPr>
        <w:t>SAFE</w:t>
      </w:r>
      <w:r w:rsidRPr="0017478F">
        <w:t>;</w:t>
      </w:r>
    </w:p>
    <w:p w14:paraId="2E74669F" w14:textId="77777777" w:rsidR="00243F5A" w:rsidRPr="0017478F" w:rsidRDefault="00243F5A" w:rsidP="00243F5A">
      <w:pPr>
        <w:tabs>
          <w:tab w:val="left" w:pos="567"/>
        </w:tabs>
        <w:spacing w:after="240"/>
        <w:ind w:left="567" w:hanging="567"/>
        <w:jc w:val="both"/>
      </w:pPr>
      <w:r w:rsidRPr="0017478F">
        <w:t>13.</w:t>
      </w:r>
      <w:r w:rsidRPr="0017478F">
        <w:tab/>
        <w:t>uzsver, ka ES finansējumam būtu jāpapildina, nevis jāaizstāj dalībvalstu centieni palielināt savus valsts aizsardzības izdevumus; uzsver, ka ES instrumentiem būtu jāsniedz pievienotā vērtība, veicinot sadarbību, sadarbspēju un efektivitāti, savukārt spēju plānošanai un prasībām ir jāpaliek atbilstošajās iestāžu sistēmās; atkārtoti norāda — lai apmierinātu steidzamās KDAP vajadzības, ir jānodrošina papildu resursi aizsardzības prioritātēm; tādēļ atkārtoti aicina Komisiju un Padomi nodrošināt, lai ES ir gatava segt savas kopējās izdevumu vajadzības, kas ir lielākas, tostarp pieņemot jaunus pašu resursus;</w:t>
      </w:r>
    </w:p>
    <w:p w14:paraId="4291BBE7" w14:textId="77777777" w:rsidR="00243F5A" w:rsidRPr="0017478F" w:rsidRDefault="00243F5A" w:rsidP="00243F5A">
      <w:pPr>
        <w:pStyle w:val="NormalHanging12a"/>
      </w:pPr>
      <w:r w:rsidRPr="0017478F">
        <w:t>14.</w:t>
      </w:r>
      <w:r w:rsidRPr="0017478F">
        <w:tab/>
        <w:t xml:space="preserve">atgādina, ka EIB uzdevums ir sekmēt ES integrāciju, veicināt ES attīstību un atbalstīt ES politiku saskaņā ar LESD 309. pantu; atzinīgi vērtē EIB proaktīvo pieeju finansējuma palielināšanā Eiropas drošībai un aizsardzībai; tomēr pieņem zināšanai to, ka tās investīciju politikā joprojām nav iekļauti ieroči un munīcija un ka tās intervences līdz šim nav bijušas pietiekamas ātruma, vēlmes uzņemties risku un mēroga ziņā, lai apmierinātu steidzamas aizsardzības gatavības vajadzības; pieņem zināšanai progresu, kas panākts tās kritēriju mīkstināšanā, taču uzskata, ka tie joprojām nav pietiekami, lai sasniegtu aizsardzības gatavības 2030. gadam mērķus, kā to pētījumos un sabiedriskajās apspriešanās paudušas nozares ieinteresētās personas; lai nodrošinātu konsekvencei ar plānu </w:t>
      </w:r>
      <w:r w:rsidRPr="0017478F">
        <w:rPr>
          <w:i/>
          <w:iCs/>
        </w:rPr>
        <w:t>ReArm Europe</w:t>
      </w:r>
      <w:r w:rsidRPr="0017478F">
        <w:t>, aicina dalībvalstis kā EIB pārvaldības struktūru pielāgot EIB pilnvaras, lai stiprinātu tās spēju atbalstīt Eiropas aizsardzības rūpniecību, un pārskatīt tās investīciju vadlīnijas, lai varētu finansēt likumīgus ieroču un munīcijas projektus, kas atbilst starptautiskajām tiesībām un ES drošības interesēm; aicina EIB grupu palielināt vēlmi uzņemties risku un centienus panākt investīciju piesaistīšanu; tomēr brīdina, ka korekcijas EIB grupas atbilstības kritērijos vai finansējuma apjomā atbilstoši jaunām prioritātēm ir jāiestrādā tā, lai nosargātu grupas finanšu stāvokli un efektīvi nodrošinātu finansējumu citām stratēģiskām ES prioritātēm; aicina EIB veikt un iesniegt Parlamentam rūpīgu kvantitatīvu novērtējumu par tās investoru politiku attiecībā uz investīcijām aizsardzībā, attiecīgā gadījumā neapdraudot tās konfidencialitātes nolīgumus ar investoriem;</w:t>
      </w:r>
    </w:p>
    <w:p w14:paraId="6BE25419" w14:textId="77777777" w:rsidR="00243F5A" w:rsidRPr="0017478F" w:rsidRDefault="00243F5A" w:rsidP="00243F5A">
      <w:pPr>
        <w:pStyle w:val="NormalHanging12a"/>
        <w:rPr>
          <w:bCs/>
          <w:iCs/>
        </w:rPr>
      </w:pPr>
      <w:r w:rsidRPr="0017478F">
        <w:t>15.</w:t>
      </w:r>
      <w:r w:rsidRPr="0017478F">
        <w:tab/>
        <w:t xml:space="preserve">ierosina EIB pastāvīgi pārdomāt un izvērtēt savu darbību, kā arī kritērijiem atbilstošo investīciju apjomu, rēķinoties ar to, ka ir steidzami jāveicina Eiropas aizsardzības nozares izaugsme, turklāt jāpanāk ilgtermiņā noturīga drošība un stratēģiskā autonomija; ierosina oficiāli paplašināt EIB pilnvaras, lai </w:t>
      </w:r>
      <w:r w:rsidRPr="0017478F">
        <w:rPr>
          <w:i/>
          <w:iCs/>
        </w:rPr>
        <w:t>EDTIB</w:t>
      </w:r>
      <w:r w:rsidRPr="0017478F">
        <w:t xml:space="preserve"> varētu atbalstīt ar specializētu EIB struktūru, kam būtu Komisijas garantijas un ko konsultētu ekspertu tīkls; uzskata, ka šāda struktūra būtu efektīvāks risinājums nekā jaunas aizsardzības, drošības un noturības bankas izveide;</w:t>
      </w:r>
    </w:p>
    <w:p w14:paraId="64C13259" w14:textId="77777777" w:rsidR="00243F5A" w:rsidRPr="0017478F" w:rsidRDefault="00243F5A" w:rsidP="00243F5A">
      <w:pPr>
        <w:pStyle w:val="NormalHanging12a"/>
      </w:pPr>
      <w:r w:rsidRPr="0017478F">
        <w:t>16.</w:t>
      </w:r>
      <w:r w:rsidRPr="0017478F">
        <w:tab/>
        <w:t xml:space="preserve">uzsver, ka ir svarīgi uzlabot </w:t>
      </w:r>
      <w:r w:rsidRPr="0017478F">
        <w:rPr>
          <w:i/>
          <w:iCs/>
        </w:rPr>
        <w:t>EDTIB</w:t>
      </w:r>
      <w:r w:rsidRPr="0017478F">
        <w:t xml:space="preserve"> uzņēmumiem, jo īpaši jaunuzņēmumiem un MVU, paredzēto ES investīciju atbalsta fondu pieejamību un konsekvenci, pakāpeniski pieskaņojot un pielāgojot atbilstības kritērijus attiecībā uz </w:t>
      </w:r>
      <w:r w:rsidRPr="0017478F">
        <w:rPr>
          <w:i/>
          <w:iCs/>
        </w:rPr>
        <w:t>EDIS</w:t>
      </w:r>
      <w:r w:rsidRPr="0017478F">
        <w:t xml:space="preserve"> un </w:t>
      </w:r>
      <w:r w:rsidRPr="0017478F">
        <w:rPr>
          <w:i/>
          <w:iCs/>
        </w:rPr>
        <w:t>EDIP</w:t>
      </w:r>
      <w:r w:rsidRPr="0017478F">
        <w:t xml:space="preserve"> noteiktajiem mērķiem, vienkāršojot pieteikšanās procedūras un saskaņojot darba programmu mērķus; uzsver, ka ir svarīgi šādu fondu termiņus un prasības pielāgot atšķirīgiem inovācijas cikliem un ātrumiem dažāda veida spēju jomās; aicina dalībvalstis un reģionus stiprināt savas valsts tirdzniecības un rūpniecības iestāžu lomu nolūkā atbalstīt </w:t>
      </w:r>
      <w:r w:rsidRPr="0017478F">
        <w:rPr>
          <w:i/>
          <w:iCs/>
        </w:rPr>
        <w:t>EDTIB</w:t>
      </w:r>
      <w:r w:rsidRPr="0017478F">
        <w:t xml:space="preserve"> jomā strādājošu MVU pētniecību un piekļuvi Savienības finansējumam;</w:t>
      </w:r>
    </w:p>
    <w:p w14:paraId="62B5767E" w14:textId="77777777" w:rsidR="00243F5A" w:rsidRPr="0017478F" w:rsidRDefault="00243F5A" w:rsidP="00243F5A">
      <w:pPr>
        <w:pStyle w:val="Normal12a24b"/>
        <w:tabs>
          <w:tab w:val="left" w:pos="567"/>
        </w:tabs>
        <w:ind w:left="567" w:hanging="567"/>
        <w:rPr>
          <w:bCs/>
          <w:iCs/>
        </w:rPr>
      </w:pPr>
      <w:r w:rsidRPr="0017478F">
        <w:lastRenderedPageBreak/>
        <w:t>17.</w:t>
      </w:r>
      <w:r w:rsidRPr="0017478F">
        <w:tab/>
        <w:t xml:space="preserve">aicina Komisiju sniegt skaidrus norādījumus un veidnes par jauniem nolīgumu veidiem, koordināciju un kopīgu izvēršanu starp konkurentiem aizsardzības nozarē, lai veicinātu lielākas </w:t>
      </w:r>
      <w:r w:rsidRPr="0017478F">
        <w:rPr>
          <w:i/>
          <w:iCs/>
        </w:rPr>
        <w:t>EDTIB</w:t>
      </w:r>
      <w:r w:rsidRPr="0017478F">
        <w:t xml:space="preserve"> uzņēmumu investīcijas pētniecībā un izstrādē;</w:t>
      </w:r>
    </w:p>
    <w:p w14:paraId="668FAAC5" w14:textId="77777777" w:rsidR="00243F5A" w:rsidRPr="0017478F" w:rsidRDefault="00243F5A" w:rsidP="00243F5A">
      <w:pPr>
        <w:widowControl/>
        <w:spacing w:after="240"/>
        <w:ind w:left="567" w:hanging="567"/>
      </w:pPr>
      <w:r w:rsidRPr="0017478F">
        <w:t>18.</w:t>
      </w:r>
      <w:r w:rsidRPr="0017478F">
        <w:tab/>
        <w:t xml:space="preserve">prasa izstrādāt instrumentu, kas atbalstītu publiskā un privātā sektora investīcijas aizsardzībā, pamatojoties uz ES budžeta garantijām — līdzīgi tam, kā tas ir programmas </w:t>
      </w:r>
      <w:r w:rsidRPr="0017478F">
        <w:rPr>
          <w:i/>
          <w:iCs/>
        </w:rPr>
        <w:t>InvestEU</w:t>
      </w:r>
      <w:r w:rsidRPr="0017478F">
        <w:t xml:space="preserve"> gadījumā; īstermiņā atzinīgi vērtē Komisijas priekšlikumu deleģētajam aktam, ar ko fondam </w:t>
      </w:r>
      <w:r w:rsidRPr="0017478F">
        <w:rPr>
          <w:i/>
          <w:iCs/>
        </w:rPr>
        <w:t>InvestEU</w:t>
      </w:r>
      <w:r w:rsidRPr="0017478F">
        <w:t xml:space="preserve"> nosaka investīciju pamatnostādnes par stratēģiskām investīcijām aizsardzības jomā</w:t>
      </w:r>
      <w:r w:rsidRPr="0017478F">
        <w:rPr>
          <w:rStyle w:val="FootnoteReference"/>
          <w:bCs/>
          <w:iCs/>
        </w:rPr>
        <w:footnoteReference w:id="7"/>
      </w:r>
      <w:r w:rsidRPr="0017478F">
        <w:t>, kurā aicināts novērst nevajadzīgu administratīvo slogu saistībā ar budžeta garantiju un finanšu instrumentu izmantošanu aizsardzības investīciju atbalstam, kas līdz ar to piedāvā papildu vienkāršošanu, vienlaikus ievērojot nepieciešamību aizsargāt ES un dalībvalstu drošību; uzskata, ka šie pasākumi kopā nodrošinātu gan ātru finansējuma mobilizāciju, gan stabilas un mērogojamas investīciju sistēmas izveidi Eiropas aizsardzības industrijai;</w:t>
      </w:r>
    </w:p>
    <w:p w14:paraId="30973018" w14:textId="77777777" w:rsidR="00243F5A" w:rsidRPr="0017478F" w:rsidRDefault="00243F5A" w:rsidP="00243F5A">
      <w:pPr>
        <w:pStyle w:val="Normal12a24b"/>
        <w:tabs>
          <w:tab w:val="left" w:pos="567"/>
        </w:tabs>
        <w:ind w:left="567" w:hanging="567"/>
      </w:pPr>
      <w:r w:rsidRPr="0017478F">
        <w:t>19.</w:t>
      </w:r>
      <w:r w:rsidRPr="0017478F">
        <w:tab/>
        <w:t>uzskata, ka banku līdzekļi, kuri tiek izmantoti aizdevumiem, garantijām un augstas kvalitātes likviditātes portfeļos, ir ļoti svarīgi aizsardzības izdevumu vērtspapīriem ar garu atmaksas termiņu, kas nodrošinās, ka aizsardzības izdevumi ir prognozējami un stabili; atkārtoti norāda, ka straujāka uzkrājumu un investīciju savienības izveide palīdzētu mobilizēt privāto kapitālu un atvieglotu piekļuvi finansējumam;</w:t>
      </w:r>
    </w:p>
    <w:p w14:paraId="331CCB1B" w14:textId="77777777" w:rsidR="00243F5A" w:rsidRPr="0017478F" w:rsidRDefault="00243F5A" w:rsidP="00243F5A">
      <w:pPr>
        <w:pStyle w:val="Normal12a24b"/>
        <w:rPr>
          <w:i/>
          <w:iCs/>
        </w:rPr>
      </w:pPr>
      <w:r w:rsidRPr="0017478F">
        <w:rPr>
          <w:rStyle w:val="Bold"/>
          <w:i/>
        </w:rPr>
        <w:t>Novērst šķēršļus privātajām investīcijām aizsardzībā</w:t>
      </w:r>
    </w:p>
    <w:p w14:paraId="72A8A219" w14:textId="77777777" w:rsidR="00243F5A" w:rsidRPr="0017478F" w:rsidRDefault="00243F5A" w:rsidP="00243F5A">
      <w:pPr>
        <w:pStyle w:val="Normal12a24b"/>
      </w:pPr>
      <w:r w:rsidRPr="0017478F">
        <w:rPr>
          <w:rStyle w:val="Italic"/>
        </w:rPr>
        <w:t>Vienkāršot EDTIB jomā strādājošu uzņēmumu piekļuvi īstermiņa finansējumam</w:t>
      </w:r>
    </w:p>
    <w:p w14:paraId="4A5F8A60" w14:textId="77777777" w:rsidR="00243F5A" w:rsidRPr="0017478F" w:rsidRDefault="00243F5A" w:rsidP="00243F5A">
      <w:pPr>
        <w:pStyle w:val="NormalHanging12a"/>
      </w:pPr>
      <w:r w:rsidRPr="0017478F">
        <w:t>20.</w:t>
      </w:r>
      <w:r w:rsidRPr="0017478F">
        <w:tab/>
        <w:t xml:space="preserve">aicina Eiropas Maksājumu novērošanas centru veikt pētījumu par maksājumu termiņu ievērošanu darījumos, kas attiecas uz </w:t>
      </w:r>
      <w:r w:rsidRPr="0017478F">
        <w:rPr>
          <w:i/>
          <w:iCs/>
        </w:rPr>
        <w:t>EDTIB</w:t>
      </w:r>
      <w:r w:rsidRPr="0017478F">
        <w:t>, un šos termiņus salīdzināt ar darījumiem citos industrijas sektoros, kā arī izveidot sarakstu ar uzņēmumiem, kuri visstingrāk ievēro termiņus;</w:t>
      </w:r>
    </w:p>
    <w:p w14:paraId="4E4C50ED" w14:textId="77777777" w:rsidR="00243F5A" w:rsidRPr="0017478F" w:rsidRDefault="00243F5A" w:rsidP="00243F5A">
      <w:pPr>
        <w:pStyle w:val="NormalHanging12a"/>
      </w:pPr>
      <w:r w:rsidRPr="0017478F">
        <w:t>21.</w:t>
      </w:r>
      <w:r w:rsidRPr="0017478F">
        <w:tab/>
        <w:t>aicina EIB ar dalībvalstu atbalstu panākt, ka īstermiņa aizdevumiem tiek novirzīti 4 miljardi EUR un ka to riska garantiju apmērs ir līdz 50 %, kā arī prasa atvieglināt un vienkāršot kritērijus EIB iesaistei aizsardzībā un attiecināmības kritērijus lielākā mērā piemērot netiešajiem apakšuzņēmējiem;</w:t>
      </w:r>
    </w:p>
    <w:p w14:paraId="60C97BF2" w14:textId="77777777" w:rsidR="00243F5A" w:rsidRPr="0017478F" w:rsidRDefault="00243F5A" w:rsidP="00243F5A">
      <w:pPr>
        <w:pStyle w:val="Normal12a24b"/>
      </w:pPr>
      <w:r w:rsidRPr="0017478F">
        <w:rPr>
          <w:rStyle w:val="Italic"/>
        </w:rPr>
        <w:t>Palielināt privāto investoru spēju finansēt aizsardzību, nodrošinot saderību ar ilgtspējīga finansējuma kritērijiem</w:t>
      </w:r>
    </w:p>
    <w:p w14:paraId="2CA4E9AD" w14:textId="77777777" w:rsidR="00243F5A" w:rsidRPr="0017478F" w:rsidRDefault="00243F5A" w:rsidP="00243F5A">
      <w:pPr>
        <w:pStyle w:val="NormalHanging12a"/>
      </w:pPr>
      <w:r w:rsidRPr="0017478F">
        <w:t>22.</w:t>
      </w:r>
      <w:r w:rsidRPr="0017478F">
        <w:tab/>
        <w:t xml:space="preserve">norāda, ka, neraugoties uz centieniem, kas veikti kopš kara sākuma Ukrainā, daudzi investori joprojām nevēlas finansēt aizsardzību, tostarp nenoteiktības dēļ par vides, sociālo un pārvaldības standartu piemērošanu, un ka </w:t>
      </w:r>
      <w:r w:rsidRPr="0017478F">
        <w:rPr>
          <w:i/>
          <w:iCs/>
        </w:rPr>
        <w:t>EDTIB</w:t>
      </w:r>
      <w:r w:rsidRPr="0017478F">
        <w:t xml:space="preserve"> joprojām tiek diskriminēta finanšu tirgos kļūdaini uztverta tēla riska dēļ; atgādina, ka daudzas aizsardzības tehnoloģijas ir divējāda lietojuma tehnoloģijas un līdz ar to piedāvā būtiskus papildu ieguvumus civilās inovācijas sektoram un ES ekonomikai kopumā; uzsver, ka noturīgi negatīvais priekšstats par aizsardzības finansēšanu ir jānovērš, jo īpaši banku nozarē; mudina Komisiju un dalībvalstis intensīvāk strādāt pie informēšanas un izpratnes </w:t>
      </w:r>
      <w:r w:rsidRPr="0017478F">
        <w:lastRenderedPageBreak/>
        <w:t xml:space="preserve">veicināšanas attiecībā uz </w:t>
      </w:r>
      <w:r w:rsidRPr="0017478F">
        <w:rPr>
          <w:i/>
          <w:iCs/>
        </w:rPr>
        <w:t>EDTIB</w:t>
      </w:r>
      <w:r w:rsidRPr="0017478F">
        <w:t xml:space="preserve"> finansēšanu, lai palīdzētu finanšu dalībniekiem uzlabot prasmes, kas vajadzīgas, lai analizētu ar aizsardzību saistītu finansējumu un īstenotu attiecīgās procedūras; mudina Komisiju uzlabot informēšanu un izglītošanu par </w:t>
      </w:r>
      <w:r w:rsidRPr="0017478F">
        <w:rPr>
          <w:i/>
          <w:iCs/>
        </w:rPr>
        <w:t xml:space="preserve">EDTIB </w:t>
      </w:r>
      <w:r w:rsidRPr="0017478F">
        <w:t>finansējumu;</w:t>
      </w:r>
    </w:p>
    <w:p w14:paraId="4DA567DD" w14:textId="4F5C5F7D" w:rsidR="00243F5A" w:rsidRPr="0017478F" w:rsidRDefault="00243F5A" w:rsidP="00243F5A">
      <w:pPr>
        <w:pStyle w:val="NormalHanging12a"/>
      </w:pPr>
      <w:r w:rsidRPr="0017478F">
        <w:t>23.</w:t>
      </w:r>
      <w:r w:rsidRPr="0017478F">
        <w:tab/>
        <w:t xml:space="preserve">pieņem zināšanai Komisijas 2025. gada </w:t>
      </w:r>
      <w:r w:rsidR="0002397D">
        <w:t>28</w:t>
      </w:r>
      <w:r w:rsidRPr="0017478F">
        <w:t>. </w:t>
      </w:r>
      <w:r w:rsidR="0002397D">
        <w:t>augusta</w:t>
      </w:r>
      <w:r w:rsidRPr="0017478F">
        <w:t xml:space="preserve"> </w:t>
      </w:r>
      <w:r w:rsidR="0002397D">
        <w:t>D</w:t>
      </w:r>
      <w:r w:rsidRPr="0017478F">
        <w:t>eleģēto regulu</w:t>
      </w:r>
      <w:r w:rsidR="0002397D">
        <w:t xml:space="preserve"> (ES) 2025/1775</w:t>
      </w:r>
      <w:r w:rsidRPr="0017478F">
        <w:t>, ar ko Deleģēto regulu (ES) 2020/1818 groza attiecībā uz aizliegtu ieroču definīciju</w:t>
      </w:r>
      <w:r w:rsidRPr="0017478F">
        <w:rPr>
          <w:rStyle w:val="FootnoteReference"/>
        </w:rPr>
        <w:footnoteReference w:id="8"/>
      </w:r>
      <w:r w:rsidRPr="0017478F">
        <w:t>, proti, jēdzienu “pretrunīgi ieroči” aizstājot ar jēdzienu “aizliegti ieroči”, un kas tika pieņemta kā daļa no aizsardzības gatavības omnibusa paketes; vērš uzmanību uz to, ka šī definīcija attiecas tikai uz ieročiem, kas ir nepārprotami aizliegti ar saistošām starptautiskām konvencijām; atzinīgi vērtē aizsardzības gatavības omnibusa paketē iekļautos juridiskos precizējumus un atzīst to nozīmi ES mērķu sasniegšanā aizsardzības finansēšanas jomā; aicina privātos finanšu dalībniekus pasūtījumos izslēgšanu piemērot tikai konsolidētajā sarakstā iekļautajiem ieročiem un publiskot savu investēšanas politiku; ierosina katrā gadījumā atsevišķi izvērtēt tādu dalībnieku iekļaušanu ES finansējumā, kuru investēšanas politika šādu izslēgšanu neparedz;</w:t>
      </w:r>
    </w:p>
    <w:p w14:paraId="5D8E7734" w14:textId="77777777" w:rsidR="00243F5A" w:rsidRPr="0017478F" w:rsidRDefault="00243F5A" w:rsidP="00243F5A">
      <w:pPr>
        <w:pStyle w:val="NormalHanging12a"/>
      </w:pPr>
      <w:r w:rsidRPr="0017478F">
        <w:t>24.</w:t>
      </w:r>
      <w:r w:rsidRPr="0017478F">
        <w:tab/>
        <w:t>atgādina, ka ES ilgtspējīga finansējuma satvars ir izstrādāts, lai virzītu kapitāla plūsmas uz ilgtspējīgām darbībām, neierobežojot aizsardzības nozares finansēšanu, kā Komisija atkārtoti apstiprināja 2025. gada 18. augusta paziņojumā, kurā apstiprināts, ka ar aizsardzību saistītu darbību izslēgšana no ES taksonomijas neliedz privātiem vai publiskiem investoriem investēt aizsardzības nozarē; aicina Komisiju publiski un nepārprotami apstiprināt, ka ES zaļā taksonomija investīcijas aizsardzībā neaizliedz, neierobežo vai nekavē; uzsver, ka aizsardzība un drošība ir ilgtspējīgas attīstības priekšnoteikumi;</w:t>
      </w:r>
    </w:p>
    <w:p w14:paraId="3D7FF1A3" w14:textId="77777777" w:rsidR="00243F5A" w:rsidRPr="0017478F" w:rsidRDefault="00243F5A" w:rsidP="00243F5A">
      <w:pPr>
        <w:pStyle w:val="Normal12a24b"/>
      </w:pPr>
      <w:r w:rsidRPr="0017478F">
        <w:rPr>
          <w:rStyle w:val="Italic"/>
        </w:rPr>
        <w:t>Dot iespēju laist finanšu tirgos aizsardzības aktīvus, piesaistot privāto kapitālu</w:t>
      </w:r>
    </w:p>
    <w:p w14:paraId="7065DBB2" w14:textId="77777777" w:rsidR="00243F5A" w:rsidRPr="0017478F" w:rsidRDefault="00243F5A" w:rsidP="00243F5A">
      <w:pPr>
        <w:pStyle w:val="NormalHanging12a"/>
      </w:pPr>
      <w:r w:rsidRPr="0017478F">
        <w:t>25.</w:t>
      </w:r>
      <w:r w:rsidRPr="0017478F">
        <w:tab/>
      </w:r>
      <w:bookmarkStart w:id="11" w:name="_Hlk215501491"/>
      <w:r w:rsidRPr="0017478F">
        <w:t xml:space="preserve">uzskata, ka ir būtiski atbalstīt specializētu investoru Eiropas tirgu, kas </w:t>
      </w:r>
      <w:r w:rsidRPr="0017478F">
        <w:rPr>
          <w:i/>
          <w:iCs/>
        </w:rPr>
        <w:t>EDTIB</w:t>
      </w:r>
      <w:r w:rsidRPr="0017478F">
        <w:t xml:space="preserve"> un Ukrainas </w:t>
      </w:r>
      <w:r w:rsidRPr="0017478F">
        <w:rPr>
          <w:i/>
          <w:iCs/>
        </w:rPr>
        <w:t>DTIB</w:t>
      </w:r>
      <w:r w:rsidRPr="0017478F">
        <w:t xml:space="preserve"> strādājošiem uzņēmumiem, jo īpaši jaunuzņēmumiem, MVU un uzņēmumiem ar vidēji lielu kapitālu, visos posmos piedāvā visdažādākās finansējuma iespējas (kredīts, privātais aizdevums un pašu kapitāls)</w:t>
      </w:r>
      <w:bookmarkEnd w:id="11"/>
      <w:r w:rsidRPr="0017478F">
        <w:t xml:space="preserve">;  atzinīgi vērtē Komisijas un EIB iniciatīvu izveidot Aizsardzības kapitāla mehānismu, kura budžets 2024.–2027. gada periodā būtu 175 miljoni EUR; tomēr uzskata — ņemot vērā to, cik daudz finansējuma ir vajadzīgs, ar šā fonda līdzekļiem nekādi nepietiek, tāpēc aicina EIB ņemt vērā Padomes secinājumos atkārtoti paustās dalībvalstu vēlmes un palielināt šo budžetu līdz 1 miljardam EUR, lai labāk apmierinātu </w:t>
      </w:r>
      <w:r w:rsidRPr="0017478F">
        <w:rPr>
          <w:i/>
          <w:iCs/>
        </w:rPr>
        <w:t>EDTIB</w:t>
      </w:r>
      <w:r w:rsidRPr="0017478F">
        <w:t xml:space="preserve"> un šīs bāzes vērtības ķēdes vajadzības pēc pašu kapitāla, turklāt īpašu uzmanību pievērst mazākiem dalībniekiem, kas izjūt vislielāko finansējuma trūkumu; mudina EIB šo instrumentu attiecināt arī uz Ukrainas </w:t>
      </w:r>
      <w:r w:rsidRPr="0017478F">
        <w:rPr>
          <w:i/>
          <w:iCs/>
        </w:rPr>
        <w:t>DTIB</w:t>
      </w:r>
      <w:r w:rsidRPr="0017478F">
        <w:t xml:space="preserve"> un šo instrumentu izstrādāt tā, lai tas veicinātu partnerību un kopuzņēmumu veidošanos starp </w:t>
      </w:r>
      <w:r w:rsidRPr="0017478F">
        <w:rPr>
          <w:i/>
          <w:iCs/>
        </w:rPr>
        <w:t>EDTIB</w:t>
      </w:r>
      <w:r w:rsidRPr="0017478F">
        <w:t xml:space="preserve"> un Ukrainas DTIB uzņēmumiem;</w:t>
      </w:r>
    </w:p>
    <w:p w14:paraId="0EAA2192" w14:textId="77777777" w:rsidR="00243F5A" w:rsidRPr="0017478F" w:rsidRDefault="00243F5A" w:rsidP="00243F5A">
      <w:pPr>
        <w:pStyle w:val="NormalHanging12a"/>
        <w:rPr>
          <w:bCs/>
          <w:iCs/>
        </w:rPr>
      </w:pPr>
      <w:r w:rsidRPr="0017478F">
        <w:t>26.</w:t>
      </w:r>
      <w:r w:rsidRPr="0017478F">
        <w:tab/>
        <w:t xml:space="preserve">aicina Komisiju un EIB grupu īstenot atbalstu divējāda lietojuma projektiem, uzlabojot šāda atbalsta pieejamību agrīnā posma uzņēmumiem un MVU, vienkāršojot procedūras, sniedzot skaidrus norādījumus investoriem un regulāri ziņojot par ieviešanu un ģeogrāfisko sadalījumu; prasa šādas iespējas efektīvi īstenot, izmantojot mērķētus uzaicinājumus un skaidrus norādījumus pārvaldes iestādēm, lai reģioni ar mazāk attīstītām aizsardzības ekosistēmām varētu piekļūt minētajām iespējām; aicina dalībvalstis atspoguļot šīs iespējas programmu izstrādē un koordinēt darbību ar </w:t>
      </w:r>
      <w:r w:rsidRPr="0017478F">
        <w:lastRenderedPageBreak/>
        <w:t>Komisiju un EIB, lai izstrādātu reģionālās investīciju platformas, kas nodrošinātu papildināmību un nepieļautu dubultu finansēšanu;</w:t>
      </w:r>
    </w:p>
    <w:p w14:paraId="2FD692B7" w14:textId="77777777" w:rsidR="00243F5A" w:rsidRPr="0017478F" w:rsidRDefault="00243F5A" w:rsidP="00243F5A">
      <w:pPr>
        <w:pStyle w:val="NormalHanging12a"/>
      </w:pPr>
      <w:r w:rsidRPr="0017478F">
        <w:t>27.</w:t>
      </w:r>
      <w:r w:rsidRPr="0017478F">
        <w:tab/>
        <w:t xml:space="preserve">aicina Komisiju savā konkurences politikā apsvērt aizsardzības gatavību, piegādes drošību, inovāciju veicinošu potenciālu un atkarības no trešām valstīm mazināšanu; vienlaikus aicina dalībvalstis nodrošināt, ka to aizsardzības ražojumu iepirkums ir atvērts un konkurētspējīgs attiecībā uz </w:t>
      </w:r>
      <w:r w:rsidRPr="0017478F">
        <w:rPr>
          <w:i/>
          <w:iCs/>
        </w:rPr>
        <w:t xml:space="preserve">EDTIB </w:t>
      </w:r>
      <w:r w:rsidRPr="0017478F">
        <w:t>kopumā; aicina dalībvalstis pastiprināti kontrolēt trešo valstu rīcībspēku tiešās investīcijas;</w:t>
      </w:r>
    </w:p>
    <w:p w14:paraId="55C7448E" w14:textId="77777777" w:rsidR="00243F5A" w:rsidRPr="0017478F" w:rsidRDefault="00243F5A" w:rsidP="00243F5A">
      <w:pPr>
        <w:pStyle w:val="NormalHanging12a"/>
      </w:pPr>
      <w:r w:rsidRPr="0017478F">
        <w:t>28.</w:t>
      </w:r>
      <w:r w:rsidRPr="0017478F">
        <w:tab/>
        <w:t xml:space="preserve">aicina Komisiju stiprināt rūpnieciskās sadarbības programmas un transnacionālās partnerības, tostarp piegādes ķēžu platformas un kopattīstības projektus, lai integrētu ražošanas ķēdes, izmantotu valstu speciālās zināšanas, veicinātu apjomradītus ietaupījumus un uzlabotu </w:t>
      </w:r>
      <w:r w:rsidRPr="0017478F">
        <w:rPr>
          <w:i/>
          <w:iCs/>
        </w:rPr>
        <w:t xml:space="preserve">EDTIB </w:t>
      </w:r>
      <w:r w:rsidRPr="0017478F">
        <w:t>globālo konkurētspēju;</w:t>
      </w:r>
    </w:p>
    <w:p w14:paraId="589DDFC4" w14:textId="77777777" w:rsidR="00243F5A" w:rsidRPr="0017478F" w:rsidRDefault="00243F5A" w:rsidP="00243F5A">
      <w:pPr>
        <w:pStyle w:val="NormalHanging12a"/>
      </w:pPr>
      <w:r w:rsidRPr="0017478F">
        <w:t>29.</w:t>
      </w:r>
      <w:r w:rsidRPr="0017478F">
        <w:tab/>
        <w:t>vērš uzmanību uz to, ka labi funkcionējoši kapitāla tirgi ir svarīgi aizsardzības finansēšanai; aicina Komisiju un dalībvalstis paātrināt progresu attiecībā uz kapitāla tirgu savienību un uzkrājumu un investīciju savienību, jo īpaši uzlabojot piekļuvi pašu kapitālam, riska kapitālam un finansējumam aizsardzības nozares MVU; uzsver, ka kapitāla tirgu savienībai un uzkrājumu un investīciju savienībai ir būtiska nozīme aizsardzības finansējuma palielināšanā;</w:t>
      </w:r>
    </w:p>
    <w:p w14:paraId="3B9E366C" w14:textId="77777777" w:rsidR="00243F5A" w:rsidRPr="0017478F" w:rsidRDefault="00243F5A" w:rsidP="00243F5A">
      <w:pPr>
        <w:pStyle w:val="NormalHanging12a"/>
      </w:pPr>
      <w:r w:rsidRPr="0017478F">
        <w:t>30.</w:t>
      </w:r>
      <w:r w:rsidRPr="0017478F">
        <w:tab/>
        <w:t>uzsver, ka ir svarīgi paātrināt progresu uzkrājumu un investīciju savienības izveides pabeigšanā, lai atbalstītu dziļāku, likvīdāku un integrētāku ES finanšu sistēmu, kas efektīvāk novirza ietaupījumus produktīvām investīcijām, piemēram, ES aizsardzības industrijā; uzsver, ka ES aizsardzības rūpniecībai ir būtiski jāpalielina sava spēja apmierināt milzīgo pieprasījumu pēc militāriem ražojumiem;</w:t>
      </w:r>
    </w:p>
    <w:p w14:paraId="3F9AAD5E" w14:textId="77777777" w:rsidR="00243F5A" w:rsidRPr="0017478F" w:rsidRDefault="00243F5A" w:rsidP="00243F5A">
      <w:pPr>
        <w:pStyle w:val="NormalHanging12a"/>
      </w:pPr>
      <w:r w:rsidRPr="0017478F">
        <w:t>31.</w:t>
      </w:r>
      <w:r w:rsidRPr="0017478F">
        <w:tab/>
        <w:t xml:space="preserve">atzinīgi vērtē marķējuma </w:t>
      </w:r>
      <w:r w:rsidRPr="0017478F">
        <w:rPr>
          <w:i/>
          <w:iCs/>
        </w:rPr>
        <w:t>“Finance Europe”</w:t>
      </w:r>
      <w:r w:rsidRPr="0017478F">
        <w:t xml:space="preserve"> ieviešanu; atzīmē, ka šāds marķējums, ar ko iecerēts privātos uzkrājumus novirzīt investīcijām Eiropas reālajā ekonomikā, veicina uzņēmumu spējas finansēt pašu kapitālu; mudina Komisiju atbalstīt šo iniciatīvu un piedāvāt Eiropas marķējuma iestrādāšanu uzkrājumu un investīciju savienības mehānismā, vienlaikus nodrošinot, ka tas nerada papildu administratīvo slogu;</w:t>
      </w:r>
    </w:p>
    <w:p w14:paraId="2BF9CAB6" w14:textId="77777777" w:rsidR="00243F5A" w:rsidRPr="0017478F" w:rsidRDefault="00243F5A" w:rsidP="00243F5A">
      <w:pPr>
        <w:pStyle w:val="NormalCenter12a"/>
        <w:ind w:left="567" w:hanging="567"/>
        <w:jc w:val="left"/>
      </w:pPr>
      <w:r w:rsidRPr="0017478F">
        <w:t>32.</w:t>
      </w:r>
      <w:r w:rsidRPr="0017478F">
        <w:tab/>
        <w:t>atzinīgi vērtē Komisijas ieteikumu par uzkrājumu un investīciju kontiem (UIK)</w:t>
      </w:r>
      <w:r w:rsidRPr="0017478F">
        <w:rPr>
          <w:rStyle w:val="FootnoteReference"/>
        </w:rPr>
        <w:footnoteReference w:id="9"/>
      </w:r>
      <w:r w:rsidRPr="0017478F">
        <w:t>; uzsver, ka UIK mērķis ir palielināt privāto investoru līdzdalību ES kapitāla tirgos, tādējādi palīdzot stiprināt tirgus un veicinot ES investoru bāzes palielināšanu, kas palīdzētu finansēt ES stratēģiskās prioritātes, tostarp aizsardzību; mudina Komisiju atbalstīt šo iniciatīvu arī turpmāk; aicina dalībvalstis ievērot Komisijas ieteikumu palielināt uzkrājumu un investīciju kontu pieejamību;</w:t>
      </w:r>
    </w:p>
    <w:p w14:paraId="28E2809C" w14:textId="77777777" w:rsidR="00243F5A" w:rsidRPr="0017478F" w:rsidRDefault="00243F5A" w:rsidP="00243F5A">
      <w:pPr>
        <w:pStyle w:val="NormalHanging12a"/>
      </w:pPr>
      <w:r w:rsidRPr="0017478F">
        <w:t>33.</w:t>
      </w:r>
      <w:r w:rsidRPr="0017478F">
        <w:tab/>
        <w:t>atzinīgi vērtē to, ka joprojām tiek strādāts pie iespējas izmantot iesaldētos Krievijas aktīvus Ukrainas aizsardzības pasākumu finansēšanai, tomēr paturot prātā bažas par finanšu stabilitāti un iespējamu tiesvedību;</w:t>
      </w:r>
    </w:p>
    <w:p w14:paraId="146CA802" w14:textId="77777777" w:rsidR="00243F5A" w:rsidRPr="0017478F" w:rsidRDefault="00243F5A" w:rsidP="00243F5A">
      <w:pPr>
        <w:pStyle w:val="NormalHanging"/>
      </w:pPr>
      <w:r w:rsidRPr="0017478F">
        <w:t>34.</w:t>
      </w:r>
      <w:r w:rsidRPr="0017478F">
        <w:tab/>
        <w:t xml:space="preserve">aicina dalībvalstis vienoti apņemties palielināt aizsardzības izdevumus saskaņā ar NATO 2025. gada Hāgas samita rezultātiem, kur NATO sabiedrotie apņēmās līdz 2035. gadam katru gadu investēt 5 % no IKP aizsardzības pamatprasībās un ar aizsardzību un drošību saistītos izdevumos; mudina dalībvalstis veicināt Eiropas </w:t>
      </w:r>
      <w:r w:rsidRPr="0017478F">
        <w:lastRenderedPageBreak/>
        <w:t>aizsardzības iniciatīvas, uzlabot sadarbspēju un investēt kopīgā iepirkumā, kas saskaņots ar kopīgajām stratēģiskajām prioritātēm, tostarp munīcijas ražošanā;</w:t>
      </w:r>
    </w:p>
    <w:p w14:paraId="27760535" w14:textId="77777777" w:rsidR="00243F5A" w:rsidRPr="0017478F" w:rsidRDefault="00243F5A" w:rsidP="00243F5A">
      <w:pPr>
        <w:pStyle w:val="NormalCenter12a"/>
      </w:pPr>
      <w:r w:rsidRPr="0017478F">
        <w:t>°</w:t>
      </w:r>
    </w:p>
    <w:p w14:paraId="75B289BC" w14:textId="77777777" w:rsidR="00243F5A" w:rsidRPr="0017478F" w:rsidRDefault="00243F5A" w:rsidP="00243F5A">
      <w:pPr>
        <w:pStyle w:val="NormalCenter12a"/>
      </w:pPr>
      <w:r w:rsidRPr="0017478F">
        <w:t>°</w:t>
      </w:r>
      <w:r w:rsidRPr="0017478F">
        <w:tab/>
        <w:t>°</w:t>
      </w:r>
    </w:p>
    <w:p w14:paraId="5D5AD613" w14:textId="283C95BF" w:rsidR="004D7C9D" w:rsidRPr="0017478F" w:rsidRDefault="00243F5A" w:rsidP="004D7C9D">
      <w:pPr>
        <w:pStyle w:val="NormalHanging12a"/>
      </w:pPr>
      <w:r w:rsidRPr="0017478F">
        <w:t>35.</w:t>
      </w:r>
      <w:r w:rsidRPr="0017478F">
        <w:tab/>
        <w:t>uzdod priekšsēdētājai šo rezolūciju nosūtīt Padomei un Komisijai.</w:t>
      </w:r>
    </w:p>
    <w:p w14:paraId="1DF05F0E" w14:textId="4C1C15B9" w:rsidR="00E365E1" w:rsidRPr="0017478F" w:rsidRDefault="00E365E1" w:rsidP="00BB1256"/>
    <w:sectPr w:rsidR="00E365E1" w:rsidRPr="0017478F" w:rsidSect="004D7C9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0E4E4" w14:textId="77777777" w:rsidR="00BB1256" w:rsidRPr="004D7C9D" w:rsidRDefault="00BB1256">
      <w:r w:rsidRPr="004D7C9D">
        <w:separator/>
      </w:r>
    </w:p>
  </w:endnote>
  <w:endnote w:type="continuationSeparator" w:id="0">
    <w:p w14:paraId="0084E8A7" w14:textId="77777777" w:rsidR="00BB1256" w:rsidRPr="004D7C9D" w:rsidRDefault="00BB1256">
      <w:r w:rsidRPr="004D7C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8CD25" w14:textId="77777777" w:rsidR="00BB1256" w:rsidRPr="004D7C9D" w:rsidRDefault="00BB1256">
      <w:r w:rsidRPr="004D7C9D">
        <w:separator/>
      </w:r>
    </w:p>
  </w:footnote>
  <w:footnote w:type="continuationSeparator" w:id="0">
    <w:p w14:paraId="54E96203" w14:textId="77777777" w:rsidR="00BB1256" w:rsidRPr="004D7C9D" w:rsidRDefault="00BB1256">
      <w:r w:rsidRPr="004D7C9D">
        <w:continuationSeparator/>
      </w:r>
    </w:p>
  </w:footnote>
  <w:footnote w:id="1">
    <w:p w14:paraId="4C5F2643" w14:textId="68D48D32" w:rsidR="00243F5A" w:rsidRPr="004D7C9D" w:rsidRDefault="00243F5A" w:rsidP="004D7C9D">
      <w:pPr>
        <w:pStyle w:val="FootnoteText"/>
        <w:ind w:left="567" w:hanging="567"/>
        <w:rPr>
          <w:sz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4D7C9D">
        <w:rPr>
          <w:sz w:val="24"/>
          <w:lang w:val="lv-LV"/>
        </w:rPr>
        <w:t xml:space="preserve">Eiropas Komisija: Aizsardzības rūpniecības un kosmosa ģenerāldirektorāts, </w:t>
      </w:r>
      <w:r w:rsidRPr="004D7C9D">
        <w:rPr>
          <w:i/>
          <w:iCs/>
          <w:sz w:val="24"/>
          <w:lang w:val="lv-LV"/>
        </w:rPr>
        <w:t>“Access to equity financing for European defence SMEs”</w:t>
      </w:r>
      <w:r w:rsidRPr="004D7C9D">
        <w:rPr>
          <w:sz w:val="24"/>
          <w:lang w:val="lv-LV"/>
        </w:rPr>
        <w:t xml:space="preserve">, Eiropas Savienības Publikāciju birojs, 2024. gads, </w:t>
      </w:r>
      <w:hyperlink r:id="rId1" w:history="1">
        <w:r w:rsidRPr="004D7C9D">
          <w:rPr>
            <w:rStyle w:val="Hyperlink"/>
            <w:sz w:val="24"/>
            <w:lang w:val="lv-LV"/>
          </w:rPr>
          <w:t>https://data.europa.eu/doi/10.2889/698738</w:t>
        </w:r>
      </w:hyperlink>
      <w:r w:rsidRPr="004D7C9D">
        <w:rPr>
          <w:sz w:val="24"/>
          <w:lang w:val="lv-LV"/>
        </w:rPr>
        <w:t>.</w:t>
      </w:r>
    </w:p>
  </w:footnote>
  <w:footnote w:id="2">
    <w:p w14:paraId="794BB2C7" w14:textId="689B9592" w:rsidR="00243F5A" w:rsidRPr="004D7C9D" w:rsidRDefault="00243F5A" w:rsidP="004D7C9D">
      <w:pPr>
        <w:pStyle w:val="FootnoteText"/>
        <w:ind w:left="567" w:hanging="567"/>
        <w:rPr>
          <w:sz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4D7C9D">
        <w:rPr>
          <w:sz w:val="24"/>
          <w:lang w:val="lv-LV"/>
        </w:rPr>
        <w:t>Pieņemtie teksti, P10_TA(2025)0281.</w:t>
      </w:r>
    </w:p>
  </w:footnote>
  <w:footnote w:id="3">
    <w:p w14:paraId="68166ACF" w14:textId="7B3B22C6" w:rsidR="00243F5A" w:rsidRPr="004D7C9D" w:rsidRDefault="00243F5A" w:rsidP="004D7C9D">
      <w:pPr>
        <w:pStyle w:val="FootnoteText"/>
        <w:ind w:left="567" w:hanging="567"/>
        <w:rPr>
          <w:sz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4D7C9D">
        <w:rPr>
          <w:sz w:val="24"/>
          <w:lang w:val="lv-LV"/>
        </w:rPr>
        <w:t xml:space="preserve">OV L, 2025/1106, 28.5.2025., ELI: </w:t>
      </w:r>
      <w:hyperlink r:id="rId2" w:history="1">
        <w:r w:rsidRPr="001D5B9B">
          <w:rPr>
            <w:rStyle w:val="Hyperlink"/>
            <w:sz w:val="24"/>
            <w:lang w:val="lv-LV"/>
          </w:rPr>
          <w:t>http://data.europa.eu/eli/reg/2025/1106/oj</w:t>
        </w:r>
      </w:hyperlink>
      <w:r w:rsidRPr="004D7C9D">
        <w:rPr>
          <w:sz w:val="24"/>
          <w:lang w:val="lv-LV"/>
        </w:rPr>
        <w:t>.</w:t>
      </w:r>
    </w:p>
  </w:footnote>
  <w:footnote w:id="4">
    <w:p w14:paraId="3F0C8468" w14:textId="6C6BD997" w:rsidR="00243F5A" w:rsidRPr="004D7C9D" w:rsidRDefault="00243F5A" w:rsidP="004D7C9D">
      <w:pPr>
        <w:pStyle w:val="FootnoteText"/>
        <w:ind w:left="567" w:hanging="567"/>
        <w:rPr>
          <w:sz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4D7C9D">
        <w:rPr>
          <w:sz w:val="24"/>
          <w:lang w:val="lv-LV"/>
        </w:rPr>
        <w:t>Pieņemtie teksti, P10_TA(2025)0034.</w:t>
      </w:r>
    </w:p>
  </w:footnote>
  <w:footnote w:id="5">
    <w:p w14:paraId="5E405143" w14:textId="68642836" w:rsidR="00243F5A" w:rsidRPr="004D7C9D" w:rsidRDefault="00243F5A" w:rsidP="004D7C9D">
      <w:pPr>
        <w:pStyle w:val="FootnoteText"/>
        <w:ind w:left="567" w:hanging="567"/>
        <w:rPr>
          <w:sz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4D7C9D">
        <w:rPr>
          <w:sz w:val="24"/>
          <w:lang w:val="lv-LV"/>
        </w:rPr>
        <w:t>Pieņemtie teksti, P10_TA(2025)0145.</w:t>
      </w:r>
    </w:p>
  </w:footnote>
  <w:footnote w:id="6">
    <w:p w14:paraId="647A5C1E" w14:textId="4FCAA232" w:rsidR="00243F5A" w:rsidRPr="0017478F" w:rsidRDefault="00243F5A" w:rsidP="004D7C9D">
      <w:pPr>
        <w:pStyle w:val="FootnoteText"/>
        <w:ind w:left="567" w:hanging="567"/>
        <w:rPr>
          <w:sz w:val="24"/>
          <w:szCs w:val="24"/>
          <w:lang w:val="lv-LV" w:eastAsia="en-US"/>
        </w:rPr>
      </w:pPr>
      <w:r w:rsidRPr="004D7C9D">
        <w:rPr>
          <w:rStyle w:val="FootnoteReference"/>
          <w:sz w:val="24"/>
          <w:lang w:val="lv-LV"/>
        </w:rPr>
        <w:footnoteRef/>
      </w:r>
      <w:r w:rsidR="004D7C9D" w:rsidRPr="0017478F">
        <w:rPr>
          <w:rStyle w:val="FootnoteReference"/>
          <w:lang w:val="lv-LV"/>
        </w:rPr>
        <w:t xml:space="preserve"> </w:t>
      </w:r>
      <w:r w:rsidR="004D7C9D" w:rsidRPr="0017478F">
        <w:rPr>
          <w:sz w:val="24"/>
          <w:szCs w:val="24"/>
          <w:lang w:val="lv-LV" w:eastAsia="en-US"/>
        </w:rPr>
        <w:tab/>
      </w:r>
      <w:r w:rsidRPr="0017478F">
        <w:rPr>
          <w:sz w:val="24"/>
          <w:szCs w:val="24"/>
          <w:lang w:val="lv-LV" w:eastAsia="en-US"/>
        </w:rPr>
        <w:t xml:space="preserve">Komisijas 2024. gada 17. oktobra ziņojums “Ceturtais gada ziņojums par ārvalstu tiešo ieguldījumu Savienībā izvērtēšanu” (COM(2024)0464). </w:t>
      </w:r>
    </w:p>
  </w:footnote>
  <w:footnote w:id="7">
    <w:p w14:paraId="452CD080" w14:textId="0954E0AF" w:rsidR="00243F5A" w:rsidRPr="004D7C9D" w:rsidRDefault="00243F5A" w:rsidP="004D7C9D">
      <w:pPr>
        <w:pStyle w:val="FootnoteText"/>
        <w:ind w:left="567" w:hanging="567"/>
        <w:rPr>
          <w:sz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39745E">
        <w:rPr>
          <w:sz w:val="24"/>
          <w:szCs w:val="24"/>
          <w:lang w:val="lv-LV"/>
        </w:rPr>
        <w:t xml:space="preserve">Komisijas Deleģētā </w:t>
      </w:r>
      <w:r w:rsidR="0002397D" w:rsidRPr="0039745E">
        <w:rPr>
          <w:sz w:val="24"/>
          <w:szCs w:val="24"/>
          <w:lang w:val="lv-LV"/>
        </w:rPr>
        <w:t>r</w:t>
      </w:r>
      <w:r w:rsidRPr="0039745E">
        <w:rPr>
          <w:sz w:val="24"/>
          <w:szCs w:val="24"/>
          <w:lang w:val="lv-LV"/>
        </w:rPr>
        <w:t>egula (ES)</w:t>
      </w:r>
      <w:r w:rsidR="0002397D" w:rsidRPr="0039745E">
        <w:rPr>
          <w:sz w:val="24"/>
          <w:szCs w:val="24"/>
          <w:lang w:val="lv-LV"/>
        </w:rPr>
        <w:t xml:space="preserve"> 2025/1774 </w:t>
      </w:r>
      <w:r w:rsidRPr="0039745E">
        <w:rPr>
          <w:sz w:val="24"/>
          <w:szCs w:val="24"/>
          <w:lang w:val="lv-LV"/>
        </w:rPr>
        <w:t xml:space="preserve">(2025. gada 28. augusts) par Deleģētās regulas (ES) 2021/1078 grozījumiem attiecībā uz </w:t>
      </w:r>
      <w:r w:rsidRPr="0039745E">
        <w:rPr>
          <w:i/>
          <w:iCs/>
          <w:sz w:val="24"/>
          <w:szCs w:val="24"/>
          <w:lang w:val="lv-LV"/>
        </w:rPr>
        <w:t>InvestE</w:t>
      </w:r>
      <w:r w:rsidR="0002397D" w:rsidRPr="0039745E">
        <w:rPr>
          <w:i/>
          <w:iCs/>
          <w:sz w:val="24"/>
          <w:szCs w:val="24"/>
          <w:lang w:val="lv-LV"/>
        </w:rPr>
        <w:t xml:space="preserve">U </w:t>
      </w:r>
      <w:r w:rsidRPr="0039745E">
        <w:rPr>
          <w:sz w:val="24"/>
          <w:szCs w:val="24"/>
          <w:lang w:val="lv-LV"/>
        </w:rPr>
        <w:t>investīciju vadlīnijās noteiktajām stratēģiskajām investīcijām aizsardzībā (</w:t>
      </w:r>
      <w:r w:rsidR="0002397D" w:rsidRPr="0039745E">
        <w:rPr>
          <w:bCs/>
          <w:iCs/>
          <w:sz w:val="24"/>
          <w:szCs w:val="24"/>
        </w:rPr>
        <w:t>O</w:t>
      </w:r>
      <w:r w:rsidR="0002397D" w:rsidRPr="0039745E">
        <w:rPr>
          <w:bCs/>
          <w:iCs/>
          <w:sz w:val="24"/>
          <w:szCs w:val="24"/>
        </w:rPr>
        <w:t>V</w:t>
      </w:r>
      <w:r w:rsidR="0002397D" w:rsidRPr="0039745E">
        <w:rPr>
          <w:bCs/>
          <w:iCs/>
          <w:sz w:val="24"/>
          <w:szCs w:val="24"/>
        </w:rPr>
        <w:t xml:space="preserve"> L, 2025/1774, 18.12.2025</w:t>
      </w:r>
      <w:r w:rsidR="0002397D" w:rsidRPr="0039745E">
        <w:rPr>
          <w:bCs/>
          <w:iCs/>
          <w:sz w:val="24"/>
          <w:szCs w:val="24"/>
        </w:rPr>
        <w:t>.</w:t>
      </w:r>
      <w:r w:rsidR="0002397D" w:rsidRPr="0039745E">
        <w:rPr>
          <w:bCs/>
          <w:iCs/>
          <w:sz w:val="24"/>
          <w:szCs w:val="24"/>
        </w:rPr>
        <w:t>, ELI: </w:t>
      </w:r>
      <w:hyperlink r:id="rId3" w:tgtFrame="_blank" w:tooltip="Gives access to this document through its ELI URI." w:history="1">
        <w:r w:rsidR="0002397D" w:rsidRPr="0039745E">
          <w:rPr>
            <w:rStyle w:val="Hyperlink"/>
            <w:bCs/>
            <w:iCs/>
            <w:sz w:val="24"/>
            <w:szCs w:val="24"/>
          </w:rPr>
          <w:t>http://data.e</w:t>
        </w:r>
        <w:r w:rsidR="0002397D" w:rsidRPr="0039745E">
          <w:rPr>
            <w:rStyle w:val="Hyperlink"/>
            <w:bCs/>
            <w:iCs/>
            <w:sz w:val="24"/>
            <w:szCs w:val="24"/>
          </w:rPr>
          <w:t>u</w:t>
        </w:r>
        <w:r w:rsidR="0002397D" w:rsidRPr="0039745E">
          <w:rPr>
            <w:rStyle w:val="Hyperlink"/>
            <w:bCs/>
            <w:iCs/>
            <w:sz w:val="24"/>
            <w:szCs w:val="24"/>
          </w:rPr>
          <w:t>ropa.eu/eli/reg_del/2025/1774/oj</w:t>
        </w:r>
      </w:hyperlink>
      <w:r w:rsidR="0002397D" w:rsidRPr="0039745E">
        <w:rPr>
          <w:bCs/>
          <w:iCs/>
          <w:sz w:val="24"/>
          <w:szCs w:val="24"/>
        </w:rPr>
        <w:t>)</w:t>
      </w:r>
      <w:r w:rsidRPr="0039745E">
        <w:rPr>
          <w:sz w:val="24"/>
          <w:szCs w:val="24"/>
          <w:lang w:val="lv-LV"/>
        </w:rPr>
        <w:t>.</w:t>
      </w:r>
      <w:r w:rsidRPr="004D7C9D">
        <w:rPr>
          <w:sz w:val="24"/>
          <w:lang w:val="lv-LV"/>
        </w:rPr>
        <w:t xml:space="preserve"> </w:t>
      </w:r>
    </w:p>
  </w:footnote>
  <w:footnote w:id="8">
    <w:p w14:paraId="3CDC3240" w14:textId="6FE3F9D0" w:rsidR="0071606B" w:rsidRPr="0039745E" w:rsidRDefault="00243F5A" w:rsidP="0071606B">
      <w:pPr>
        <w:pStyle w:val="NormalWeb"/>
        <w:spacing w:before="0" w:beforeAutospacing="0" w:after="0" w:afterAutospacing="0"/>
        <w:rPr>
          <w:sz w:val="24"/>
          <w:szCs w:val="24"/>
          <w:lang w:val="fi-FI"/>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bookmarkStart w:id="10" w:name="_Hlk220057370"/>
      <w:r w:rsidR="0071606B" w:rsidRPr="0039745E">
        <w:rPr>
          <w:sz w:val="24"/>
          <w:szCs w:val="24"/>
          <w:lang w:val="fi-FI"/>
        </w:rPr>
        <w:t>O</w:t>
      </w:r>
      <w:r w:rsidR="0071606B" w:rsidRPr="0039745E">
        <w:rPr>
          <w:sz w:val="24"/>
          <w:szCs w:val="24"/>
          <w:lang w:val="fi-FI"/>
        </w:rPr>
        <w:t>V</w:t>
      </w:r>
      <w:r w:rsidR="0071606B" w:rsidRPr="0039745E">
        <w:rPr>
          <w:sz w:val="24"/>
          <w:szCs w:val="24"/>
          <w:lang w:val="fi-FI"/>
        </w:rPr>
        <w:t xml:space="preserve"> L, 2025/1775, 30.12.2025</w:t>
      </w:r>
      <w:r w:rsidR="0071606B" w:rsidRPr="0039745E">
        <w:rPr>
          <w:sz w:val="24"/>
          <w:szCs w:val="24"/>
          <w:lang w:val="fi-FI"/>
        </w:rPr>
        <w:t>.</w:t>
      </w:r>
      <w:r w:rsidR="0071606B" w:rsidRPr="0039745E">
        <w:rPr>
          <w:sz w:val="24"/>
          <w:szCs w:val="24"/>
          <w:lang w:val="fi-FI"/>
        </w:rPr>
        <w:t xml:space="preserve">, ELI: </w:t>
      </w:r>
      <w:hyperlink r:id="rId4" w:history="1">
        <w:r w:rsidR="0071606B" w:rsidRPr="0039745E">
          <w:rPr>
            <w:rStyle w:val="Hyperlink"/>
            <w:sz w:val="24"/>
            <w:szCs w:val="24"/>
            <w:lang w:val="fi-FI"/>
          </w:rPr>
          <w:t>http://data.e</w:t>
        </w:r>
        <w:r w:rsidR="0071606B" w:rsidRPr="0039745E">
          <w:rPr>
            <w:rStyle w:val="Hyperlink"/>
            <w:sz w:val="24"/>
            <w:szCs w:val="24"/>
            <w:lang w:val="fi-FI"/>
          </w:rPr>
          <w:t>u</w:t>
        </w:r>
        <w:r w:rsidR="0071606B" w:rsidRPr="0039745E">
          <w:rPr>
            <w:rStyle w:val="Hyperlink"/>
            <w:sz w:val="24"/>
            <w:szCs w:val="24"/>
            <w:lang w:val="fi-FI"/>
          </w:rPr>
          <w:t>ropa.eu/eli/reg_del/2025/1775/oj</w:t>
        </w:r>
      </w:hyperlink>
      <w:bookmarkEnd w:id="10"/>
      <w:r w:rsidR="0071606B" w:rsidRPr="0039745E">
        <w:rPr>
          <w:sz w:val="24"/>
          <w:szCs w:val="24"/>
          <w:lang w:val="fi-FI"/>
        </w:rPr>
        <w:t>.</w:t>
      </w:r>
    </w:p>
    <w:p w14:paraId="6347A407" w14:textId="0A11BE5D" w:rsidR="00243F5A" w:rsidRPr="004D7C9D" w:rsidRDefault="00243F5A" w:rsidP="004D7C9D">
      <w:pPr>
        <w:pStyle w:val="FootnoteText"/>
        <w:ind w:left="567" w:hanging="567"/>
        <w:rPr>
          <w:sz w:val="24"/>
          <w:lang w:val="lv-LV"/>
        </w:rPr>
      </w:pPr>
      <w:r w:rsidRPr="004D7C9D">
        <w:rPr>
          <w:sz w:val="24"/>
          <w:lang w:val="lv-LV"/>
        </w:rPr>
        <w:t xml:space="preserve"> </w:t>
      </w:r>
    </w:p>
  </w:footnote>
  <w:footnote w:id="9">
    <w:p w14:paraId="4E6C7F1A" w14:textId="71AAF39D" w:rsidR="00243F5A" w:rsidRPr="0039745E" w:rsidRDefault="00243F5A" w:rsidP="004D7C9D">
      <w:pPr>
        <w:pStyle w:val="FootnoteText"/>
        <w:ind w:left="567" w:hanging="567"/>
        <w:rPr>
          <w:sz w:val="24"/>
          <w:szCs w:val="24"/>
          <w:lang w:val="lv-LV"/>
        </w:rPr>
      </w:pPr>
      <w:r w:rsidRPr="004D7C9D">
        <w:rPr>
          <w:rStyle w:val="FootnoteReference"/>
          <w:sz w:val="24"/>
          <w:lang w:val="lv-LV"/>
        </w:rPr>
        <w:footnoteRef/>
      </w:r>
      <w:r w:rsidR="004D7C9D" w:rsidRPr="004D7C9D">
        <w:rPr>
          <w:sz w:val="24"/>
          <w:lang w:val="lv-LV"/>
        </w:rPr>
        <w:t xml:space="preserve"> </w:t>
      </w:r>
      <w:r w:rsidR="004D7C9D" w:rsidRPr="004D7C9D">
        <w:rPr>
          <w:sz w:val="24"/>
          <w:lang w:val="lv-LV"/>
        </w:rPr>
        <w:tab/>
      </w:r>
      <w:r w:rsidRPr="0039745E">
        <w:rPr>
          <w:sz w:val="24"/>
          <w:szCs w:val="24"/>
          <w:lang w:val="lv-LV"/>
        </w:rPr>
        <w:t>Komisijas 2025. gada 30. septembra Ieteikums</w:t>
      </w:r>
      <w:r w:rsidR="0071606B" w:rsidRPr="0039745E">
        <w:rPr>
          <w:sz w:val="24"/>
          <w:szCs w:val="24"/>
          <w:lang w:val="lv-LV"/>
        </w:rPr>
        <w:t xml:space="preserve"> (ES) 2025/2029</w:t>
      </w:r>
      <w:r w:rsidRPr="0039745E">
        <w:rPr>
          <w:sz w:val="24"/>
          <w:szCs w:val="24"/>
          <w:lang w:val="lv-LV"/>
        </w:rPr>
        <w:t xml:space="preserve"> par uzkrājumu un investīciju kontu pieejamības palielināšanu ar vienkāršotu un labvēlīgu nodokļu režīmu (</w:t>
      </w:r>
      <w:r w:rsidR="0071606B" w:rsidRPr="0039745E">
        <w:rPr>
          <w:sz w:val="24"/>
          <w:szCs w:val="24"/>
        </w:rPr>
        <w:t>O</w:t>
      </w:r>
      <w:r w:rsidR="0071606B" w:rsidRPr="0039745E">
        <w:rPr>
          <w:sz w:val="24"/>
          <w:szCs w:val="24"/>
        </w:rPr>
        <w:t>V</w:t>
      </w:r>
      <w:r w:rsidR="0071606B" w:rsidRPr="0039745E">
        <w:rPr>
          <w:sz w:val="24"/>
          <w:szCs w:val="24"/>
        </w:rPr>
        <w:t xml:space="preserve"> L, 2025/2029, 8.10.2025</w:t>
      </w:r>
      <w:r w:rsidR="0071606B" w:rsidRPr="0039745E">
        <w:rPr>
          <w:sz w:val="24"/>
          <w:szCs w:val="24"/>
        </w:rPr>
        <w:t>.</w:t>
      </w:r>
      <w:r w:rsidR="0071606B" w:rsidRPr="0039745E">
        <w:rPr>
          <w:sz w:val="24"/>
          <w:szCs w:val="24"/>
        </w:rPr>
        <w:t xml:space="preserve">, ELI: </w:t>
      </w:r>
      <w:hyperlink r:id="rId5" w:history="1">
        <w:r w:rsidR="0039745E" w:rsidRPr="0039745E">
          <w:rPr>
            <w:rStyle w:val="Hyperlink"/>
            <w:sz w:val="24"/>
            <w:szCs w:val="24"/>
          </w:rPr>
          <w:t>https://eu</w:t>
        </w:r>
        <w:r w:rsidR="0039745E" w:rsidRPr="0039745E">
          <w:rPr>
            <w:rStyle w:val="Hyperlink"/>
            <w:sz w:val="24"/>
            <w:szCs w:val="24"/>
          </w:rPr>
          <w:t>r</w:t>
        </w:r>
        <w:r w:rsidR="0039745E" w:rsidRPr="0039745E">
          <w:rPr>
            <w:rStyle w:val="Hyperlink"/>
            <w:sz w:val="24"/>
            <w:szCs w:val="24"/>
          </w:rPr>
          <w:t>-lex.europa.eu/eli/reco/2025/2029/oj</w:t>
        </w:r>
      </w:hyperlink>
      <w:r w:rsidRPr="0039745E">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5276827">
    <w:abstractNumId w:val="9"/>
  </w:num>
  <w:num w:numId="2" w16cid:durableId="312031066">
    <w:abstractNumId w:val="9"/>
  </w:num>
  <w:num w:numId="3" w16cid:durableId="286549613">
    <w:abstractNumId w:val="7"/>
  </w:num>
  <w:num w:numId="4" w16cid:durableId="918052782">
    <w:abstractNumId w:val="7"/>
  </w:num>
  <w:num w:numId="5" w16cid:durableId="1667173704">
    <w:abstractNumId w:val="6"/>
  </w:num>
  <w:num w:numId="6" w16cid:durableId="2140217183">
    <w:abstractNumId w:val="6"/>
  </w:num>
  <w:num w:numId="7" w16cid:durableId="867450552">
    <w:abstractNumId w:val="5"/>
  </w:num>
  <w:num w:numId="8" w16cid:durableId="500707183">
    <w:abstractNumId w:val="5"/>
  </w:num>
  <w:num w:numId="9" w16cid:durableId="1597900722">
    <w:abstractNumId w:val="4"/>
  </w:num>
  <w:num w:numId="10" w16cid:durableId="963853431">
    <w:abstractNumId w:val="4"/>
  </w:num>
  <w:num w:numId="11" w16cid:durableId="812871615">
    <w:abstractNumId w:val="8"/>
  </w:num>
  <w:num w:numId="12" w16cid:durableId="151877863">
    <w:abstractNumId w:val="8"/>
  </w:num>
  <w:num w:numId="13" w16cid:durableId="1111631131">
    <w:abstractNumId w:val="3"/>
  </w:num>
  <w:num w:numId="14" w16cid:durableId="1654748319">
    <w:abstractNumId w:val="3"/>
  </w:num>
  <w:num w:numId="15" w16cid:durableId="1288390879">
    <w:abstractNumId w:val="2"/>
  </w:num>
  <w:num w:numId="16" w16cid:durableId="90978342">
    <w:abstractNumId w:val="2"/>
  </w:num>
  <w:num w:numId="17" w16cid:durableId="1993875223">
    <w:abstractNumId w:val="1"/>
  </w:num>
  <w:num w:numId="18" w16cid:durableId="515003697">
    <w:abstractNumId w:val="1"/>
  </w:num>
  <w:num w:numId="19" w16cid:durableId="2006274823">
    <w:abstractNumId w:val="0"/>
  </w:num>
  <w:num w:numId="20" w16cid:durableId="1087992716">
    <w:abstractNumId w:val="0"/>
  </w:num>
  <w:num w:numId="21" w16cid:durableId="299573145">
    <w:abstractNumId w:val="9"/>
  </w:num>
  <w:num w:numId="22" w16cid:durableId="632291596">
    <w:abstractNumId w:val="7"/>
  </w:num>
  <w:num w:numId="23" w16cid:durableId="117452419">
    <w:abstractNumId w:val="6"/>
  </w:num>
  <w:num w:numId="24" w16cid:durableId="1494683449">
    <w:abstractNumId w:val="5"/>
  </w:num>
  <w:num w:numId="25" w16cid:durableId="732241124">
    <w:abstractNumId w:val="4"/>
  </w:num>
  <w:num w:numId="26" w16cid:durableId="2104186975">
    <w:abstractNumId w:val="8"/>
  </w:num>
  <w:num w:numId="27" w16cid:durableId="1693726839">
    <w:abstractNumId w:val="3"/>
  </w:num>
  <w:num w:numId="28" w16cid:durableId="133716023">
    <w:abstractNumId w:val="2"/>
  </w:num>
  <w:num w:numId="29" w16cid:durableId="615907968">
    <w:abstractNumId w:val="1"/>
  </w:num>
  <w:num w:numId="30" w16cid:durableId="1952275262">
    <w:abstractNumId w:val="0"/>
  </w:num>
  <w:num w:numId="31" w16cid:durableId="476654770">
    <w:abstractNumId w:val="9"/>
  </w:num>
  <w:num w:numId="32" w16cid:durableId="795683703">
    <w:abstractNumId w:val="7"/>
  </w:num>
  <w:num w:numId="33" w16cid:durableId="1639989606">
    <w:abstractNumId w:val="6"/>
  </w:num>
  <w:num w:numId="34" w16cid:durableId="1782147406">
    <w:abstractNumId w:val="5"/>
  </w:num>
  <w:num w:numId="35" w16cid:durableId="972517245">
    <w:abstractNumId w:val="4"/>
  </w:num>
  <w:num w:numId="36" w16cid:durableId="2073775942">
    <w:abstractNumId w:val="8"/>
  </w:num>
  <w:num w:numId="37" w16cid:durableId="1520659988">
    <w:abstractNumId w:val="3"/>
  </w:num>
  <w:num w:numId="38" w16cid:durableId="1146432246">
    <w:abstractNumId w:val="2"/>
  </w:num>
  <w:num w:numId="39" w16cid:durableId="102581960">
    <w:abstractNumId w:val="1"/>
  </w:num>
  <w:num w:numId="40" w16cid:durableId="1796869084">
    <w:abstractNumId w:val="0"/>
  </w:num>
  <w:num w:numId="41" w16cid:durableId="1935283746">
    <w:abstractNumId w:val="10"/>
  </w:num>
  <w:num w:numId="42" w16cid:durableId="151484614">
    <w:abstractNumId w:val="10"/>
  </w:num>
  <w:num w:numId="43" w16cid:durableId="604730594">
    <w:abstractNumId w:val="10"/>
  </w:num>
  <w:num w:numId="44" w16cid:durableId="2047826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LV"/>
    <w:docVar w:name="dvnumam" w:val="0"/>
    <w:docVar w:name="dvpe" w:val="776.772"/>
    <w:docVar w:name="dvrapporteur" w:val="Referents: "/>
    <w:docVar w:name="dvtitre" w:val="Eiropas Parlamenta 2025. gada XX. XXX  rezolūcija Eiropas aizsardzības gatavība 2030: vajadzību novērtējums(2025/2142(INI))"/>
  </w:docVars>
  <w:rsids>
    <w:rsidRoot w:val="00BB1256"/>
    <w:rsid w:val="00002272"/>
    <w:rsid w:val="0002397D"/>
    <w:rsid w:val="00064002"/>
    <w:rsid w:val="000677B9"/>
    <w:rsid w:val="00082401"/>
    <w:rsid w:val="000831BA"/>
    <w:rsid w:val="000A42CC"/>
    <w:rsid w:val="000E7DD9"/>
    <w:rsid w:val="0010095E"/>
    <w:rsid w:val="00125B37"/>
    <w:rsid w:val="0017478F"/>
    <w:rsid w:val="00187494"/>
    <w:rsid w:val="001D5B9B"/>
    <w:rsid w:val="001F32AE"/>
    <w:rsid w:val="00243F5A"/>
    <w:rsid w:val="002767FF"/>
    <w:rsid w:val="002B18FE"/>
    <w:rsid w:val="002B5493"/>
    <w:rsid w:val="00343214"/>
    <w:rsid w:val="00361C00"/>
    <w:rsid w:val="00395FA1"/>
    <w:rsid w:val="0039745E"/>
    <w:rsid w:val="003E15D4"/>
    <w:rsid w:val="00411CCE"/>
    <w:rsid w:val="0041666E"/>
    <w:rsid w:val="00421060"/>
    <w:rsid w:val="00471C19"/>
    <w:rsid w:val="004867E3"/>
    <w:rsid w:val="00494A28"/>
    <w:rsid w:val="004A5F82"/>
    <w:rsid w:val="004C0004"/>
    <w:rsid w:val="004C5D52"/>
    <w:rsid w:val="004D7C9D"/>
    <w:rsid w:val="0050519A"/>
    <w:rsid w:val="005072A1"/>
    <w:rsid w:val="00514517"/>
    <w:rsid w:val="00545827"/>
    <w:rsid w:val="00560270"/>
    <w:rsid w:val="005C2568"/>
    <w:rsid w:val="005F1B17"/>
    <w:rsid w:val="006037C0"/>
    <w:rsid w:val="006631B6"/>
    <w:rsid w:val="00680577"/>
    <w:rsid w:val="006F74FA"/>
    <w:rsid w:val="0071606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4261"/>
    <w:rsid w:val="00AB441E"/>
    <w:rsid w:val="00AB6293"/>
    <w:rsid w:val="00AE0928"/>
    <w:rsid w:val="00AF3B82"/>
    <w:rsid w:val="00B12E95"/>
    <w:rsid w:val="00B22876"/>
    <w:rsid w:val="00B558F0"/>
    <w:rsid w:val="00BB1256"/>
    <w:rsid w:val="00BD48FE"/>
    <w:rsid w:val="00BD7BD8"/>
    <w:rsid w:val="00BE6ADC"/>
    <w:rsid w:val="00C05BFE"/>
    <w:rsid w:val="00C23CD4"/>
    <w:rsid w:val="00C61C0C"/>
    <w:rsid w:val="00C74366"/>
    <w:rsid w:val="00C941CB"/>
    <w:rsid w:val="00CC2357"/>
    <w:rsid w:val="00CF071A"/>
    <w:rsid w:val="00D058B8"/>
    <w:rsid w:val="00D56C11"/>
    <w:rsid w:val="00D834A0"/>
    <w:rsid w:val="00D872DF"/>
    <w:rsid w:val="00D91E21"/>
    <w:rsid w:val="00DA7FCD"/>
    <w:rsid w:val="00E365E1"/>
    <w:rsid w:val="00E6242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55BF3"/>
  <w15:chartTrackingRefBased/>
  <w15:docId w15:val="{13D0C779-698F-45B7-9923-3AC6EBE0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43F5A"/>
    <w:pPr>
      <w:spacing w:after="240"/>
      <w:ind w:left="566" w:hanging="566"/>
    </w:pPr>
    <w:rPr>
      <w:szCs w:val="24"/>
      <w:lang w:eastAsia="en-US"/>
    </w:rPr>
  </w:style>
  <w:style w:type="paragraph" w:customStyle="1" w:styleId="Normal12">
    <w:name w:val="Normal12"/>
    <w:basedOn w:val="Normal"/>
    <w:rsid w:val="00243F5A"/>
    <w:pPr>
      <w:spacing w:after="240"/>
    </w:pPr>
    <w:rPr>
      <w:szCs w:val="24"/>
      <w:lang w:eastAsia="en-US"/>
    </w:rPr>
  </w:style>
  <w:style w:type="paragraph" w:customStyle="1" w:styleId="NormalHanging">
    <w:name w:val="NormalHanging"/>
    <w:basedOn w:val="Normal"/>
    <w:rsid w:val="00243F5A"/>
    <w:pPr>
      <w:spacing w:after="240"/>
      <w:ind w:left="566" w:hanging="566"/>
    </w:pPr>
    <w:rPr>
      <w:szCs w:val="24"/>
      <w:lang w:eastAsia="en-US"/>
    </w:rPr>
  </w:style>
  <w:style w:type="paragraph" w:customStyle="1" w:styleId="NormalBold12a">
    <w:name w:val="NormalBold12a"/>
    <w:basedOn w:val="Normal"/>
    <w:rsid w:val="00243F5A"/>
    <w:pPr>
      <w:spacing w:after="240"/>
    </w:pPr>
    <w:rPr>
      <w:b/>
      <w:szCs w:val="24"/>
      <w:lang w:eastAsia="en-US"/>
    </w:rPr>
  </w:style>
  <w:style w:type="paragraph" w:customStyle="1" w:styleId="NormalCenter12a">
    <w:name w:val="NormalCenter12a"/>
    <w:basedOn w:val="Normal"/>
    <w:rsid w:val="00243F5A"/>
    <w:pPr>
      <w:spacing w:after="240"/>
      <w:jc w:val="center"/>
    </w:pPr>
    <w:rPr>
      <w:szCs w:val="24"/>
      <w:lang w:eastAsia="en-US"/>
    </w:rPr>
  </w:style>
  <w:style w:type="character" w:styleId="Hyperlink">
    <w:name w:val="Hyperlink"/>
    <w:basedOn w:val="DefaultParagraphFont"/>
    <w:uiPriority w:val="99"/>
    <w:rsid w:val="00243F5A"/>
    <w:rPr>
      <w:color w:val="0000FF"/>
      <w:u w:val="single"/>
    </w:rPr>
  </w:style>
  <w:style w:type="paragraph" w:customStyle="1" w:styleId="Normal6a">
    <w:name w:val="Normal6a"/>
    <w:basedOn w:val="Normal"/>
    <w:rsid w:val="00243F5A"/>
    <w:pPr>
      <w:spacing w:after="120"/>
    </w:pPr>
  </w:style>
  <w:style w:type="character" w:customStyle="1" w:styleId="Bold">
    <w:name w:val="Bold"/>
    <w:uiPriority w:val="1"/>
    <w:rsid w:val="00243F5A"/>
    <w:rPr>
      <w:b/>
    </w:rPr>
  </w:style>
  <w:style w:type="character" w:customStyle="1" w:styleId="Italic">
    <w:name w:val="Italic"/>
    <w:uiPriority w:val="1"/>
    <w:rsid w:val="00243F5A"/>
    <w:rPr>
      <w:i/>
    </w:rPr>
  </w:style>
  <w:style w:type="paragraph" w:customStyle="1" w:styleId="Normal12a24b">
    <w:name w:val="Normal12a24b"/>
    <w:basedOn w:val="Normal"/>
    <w:rsid w:val="00243F5A"/>
    <w:pPr>
      <w:spacing w:before="360" w:after="240"/>
    </w:pPr>
    <w:rPr>
      <w:snapToGrid w:val="0"/>
      <w:lang w:eastAsia="en-US"/>
    </w:rPr>
  </w:style>
  <w:style w:type="paragraph" w:styleId="Revision">
    <w:name w:val="Revision"/>
    <w:hidden/>
    <w:uiPriority w:val="99"/>
    <w:semiHidden/>
    <w:rsid w:val="001D5B9B"/>
    <w:rPr>
      <w:sz w:val="24"/>
      <w:lang w:val="lv-LV"/>
    </w:rPr>
  </w:style>
  <w:style w:type="character" w:styleId="UnresolvedMention">
    <w:name w:val="Unresolved Mention"/>
    <w:basedOn w:val="DefaultParagraphFont"/>
    <w:uiPriority w:val="99"/>
    <w:semiHidden/>
    <w:unhideWhenUsed/>
    <w:rsid w:val="001D5B9B"/>
    <w:rPr>
      <w:color w:val="605E5C"/>
      <w:shd w:val="clear" w:color="auto" w:fill="E1DFDD"/>
    </w:rPr>
  </w:style>
  <w:style w:type="paragraph" w:styleId="NormalWeb">
    <w:name w:val="Normal (Web)"/>
    <w:basedOn w:val="Normal"/>
    <w:uiPriority w:val="99"/>
    <w:unhideWhenUsed/>
    <w:rsid w:val="0071606B"/>
    <w:pPr>
      <w:widowControl/>
      <w:spacing w:before="100" w:beforeAutospacing="1" w:after="100" w:afterAutospacing="1"/>
    </w:pPr>
    <w:rPr>
      <w:sz w:val="20"/>
      <w:lang w:val="en-GB"/>
      <w14:ligatures w14:val="standardContextual"/>
    </w:rPr>
  </w:style>
  <w:style w:type="character" w:styleId="FollowedHyperlink">
    <w:name w:val="FollowedHyperlink"/>
    <w:basedOn w:val="DefaultParagraphFont"/>
    <w:rsid w:val="007160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s://eur-lex.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5129</Words>
  <Characters>34580</Characters>
  <Application>Microsoft Office Word</Application>
  <DocSecurity>0</DocSecurity>
  <Lines>288</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2026-01-28T11:04:00Z</dcterms:created>
  <dcterms:modified xsi:type="dcterms:W3CDTF">2026-01-28T11:04:00Z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A10-0243/2025</vt:lpwstr>
  </property>
  <property fmtid="{D5CDD505-2E9C-101B-9397-08002B2CF9AE}" pid="4" name="&lt;Type&gt;">
    <vt:lpwstr>RR</vt:lpwstr>
  </property>
</Properties>
</file>