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6A3" w14:paraId="240E68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4CD870" w14:textId="77777777" w:rsidR="00751A4A" w:rsidRPr="001B06A3" w:rsidRDefault="00722737" w:rsidP="0010095E">
            <w:pPr>
              <w:pStyle w:val="EPName"/>
            </w:pPr>
            <w:r w:rsidRPr="001B06A3">
              <w:t>Parlament Europejski</w:t>
            </w:r>
          </w:p>
          <w:p w14:paraId="1B18118A" w14:textId="77777777" w:rsidR="00751A4A" w:rsidRPr="001B06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06A3">
              <w:t>2024</w:t>
            </w:r>
            <w:r w:rsidR="00817416" w:rsidRPr="001B06A3">
              <w:t>-202</w:t>
            </w:r>
            <w:r w:rsidRPr="001B06A3">
              <w:t>9</w:t>
            </w:r>
          </w:p>
        </w:tc>
        <w:tc>
          <w:tcPr>
            <w:tcW w:w="2268" w:type="dxa"/>
            <w:shd w:val="clear" w:color="auto" w:fill="auto"/>
          </w:tcPr>
          <w:p w14:paraId="05658E3D" w14:textId="77777777" w:rsidR="00751A4A" w:rsidRPr="001B06A3" w:rsidRDefault="00187494" w:rsidP="0010095E">
            <w:pPr>
              <w:pStyle w:val="EPLogo"/>
            </w:pPr>
            <w:r w:rsidRPr="001B06A3">
              <w:rPr>
                <w:noProof/>
                <w:lang w:eastAsia="ja-JP"/>
              </w:rPr>
              <w:drawing>
                <wp:inline distT="0" distB="0" distL="0" distR="0" wp14:anchorId="6A660E51" wp14:editId="684019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DE9FE7" w14:textId="77777777" w:rsidR="00D058B8" w:rsidRPr="001B06A3" w:rsidRDefault="00D058B8" w:rsidP="004C5D52">
      <w:pPr>
        <w:pStyle w:val="LineTop"/>
      </w:pPr>
    </w:p>
    <w:p w14:paraId="12A953A3" w14:textId="77777777" w:rsidR="00680577" w:rsidRPr="001B06A3" w:rsidRDefault="00722737" w:rsidP="00680577">
      <w:pPr>
        <w:pStyle w:val="EPBodyTA1"/>
      </w:pPr>
      <w:r w:rsidRPr="001B06A3">
        <w:t>TEKSTY PRZYJĘTE</w:t>
      </w:r>
    </w:p>
    <w:p w14:paraId="04FA4B37" w14:textId="77777777" w:rsidR="00D058B8" w:rsidRPr="001B06A3" w:rsidRDefault="00D058B8" w:rsidP="00D058B8">
      <w:pPr>
        <w:pStyle w:val="LineBottom"/>
      </w:pPr>
    </w:p>
    <w:p w14:paraId="11243CE6" w14:textId="4DA10816" w:rsidR="00722737" w:rsidRPr="001B06A3" w:rsidRDefault="00722737" w:rsidP="00722737">
      <w:pPr>
        <w:pStyle w:val="ATHeading1"/>
      </w:pPr>
      <w:bookmarkStart w:id="0" w:name="TANumber"/>
      <w:r w:rsidRPr="001B06A3">
        <w:t>P10_TA(2025)0</w:t>
      </w:r>
      <w:bookmarkEnd w:id="0"/>
      <w:r w:rsidR="00A04C3A">
        <w:t>336</w:t>
      </w:r>
    </w:p>
    <w:p w14:paraId="3640F4B5" w14:textId="77777777" w:rsidR="00722737" w:rsidRPr="001B06A3" w:rsidRDefault="00722737" w:rsidP="00722737">
      <w:pPr>
        <w:pStyle w:val="ATHeading2"/>
      </w:pPr>
      <w:bookmarkStart w:id="1" w:name="title"/>
      <w:r w:rsidRPr="001B06A3">
        <w:t>Europejska gotowość obronna 2030: ocena potrzeb</w:t>
      </w:r>
      <w:bookmarkEnd w:id="1"/>
    </w:p>
    <w:p w14:paraId="74F8A396" w14:textId="77777777" w:rsidR="00722737" w:rsidRPr="001B06A3" w:rsidRDefault="00722737" w:rsidP="00722737">
      <w:pPr>
        <w:rPr>
          <w:i/>
          <w:vanish/>
        </w:rPr>
      </w:pPr>
      <w:r w:rsidRPr="001B06A3">
        <w:rPr>
          <w:i/>
        </w:rPr>
        <w:fldChar w:fldCharType="begin"/>
      </w:r>
      <w:r w:rsidRPr="001B06A3">
        <w:rPr>
          <w:i/>
        </w:rPr>
        <w:instrText xml:space="preserve"> TC"(</w:instrText>
      </w:r>
      <w:bookmarkStart w:id="2" w:name="DocNumber"/>
      <w:r w:rsidRPr="001B06A3">
        <w:rPr>
          <w:i/>
        </w:rPr>
        <w:instrText>A10-0243/2025</w:instrText>
      </w:r>
      <w:bookmarkEnd w:id="2"/>
      <w:r w:rsidRPr="001B06A3">
        <w:rPr>
          <w:i/>
        </w:rPr>
        <w:instrText xml:space="preserve"> - Sprawozdawca: Christophe Gomart)"\l3 \n&gt; \* MERGEFORMAT </w:instrText>
      </w:r>
      <w:r w:rsidRPr="001B06A3">
        <w:rPr>
          <w:i/>
        </w:rPr>
        <w:fldChar w:fldCharType="end"/>
      </w:r>
    </w:p>
    <w:p w14:paraId="01A8978C" w14:textId="77777777" w:rsidR="00722737" w:rsidRPr="001B06A3" w:rsidRDefault="00722737" w:rsidP="00722737">
      <w:pPr>
        <w:rPr>
          <w:vanish/>
        </w:rPr>
      </w:pPr>
      <w:bookmarkStart w:id="3" w:name="Commission"/>
      <w:r w:rsidRPr="001B06A3">
        <w:rPr>
          <w:vanish/>
        </w:rPr>
        <w:t>Komisja Bezpieczeństwa i Obrony</w:t>
      </w:r>
      <w:bookmarkEnd w:id="3"/>
    </w:p>
    <w:p w14:paraId="3BCA989F" w14:textId="77777777" w:rsidR="00722737" w:rsidRPr="001B06A3" w:rsidRDefault="00722737" w:rsidP="00722737">
      <w:pPr>
        <w:rPr>
          <w:vanish/>
        </w:rPr>
      </w:pPr>
      <w:bookmarkStart w:id="4" w:name="PE"/>
      <w:r w:rsidRPr="001B06A3">
        <w:rPr>
          <w:vanish/>
        </w:rPr>
        <w:t>PE776.772</w:t>
      </w:r>
      <w:bookmarkEnd w:id="4"/>
    </w:p>
    <w:p w14:paraId="664DDF88" w14:textId="00805224" w:rsidR="00722737" w:rsidRPr="001B06A3" w:rsidRDefault="00722737" w:rsidP="00722737">
      <w:pPr>
        <w:pStyle w:val="ATHeading3"/>
      </w:pPr>
      <w:bookmarkStart w:id="5" w:name="Sujet"/>
      <w:r w:rsidRPr="001B06A3">
        <w:t xml:space="preserve">Rezolucja Parlamentu Europejskiego z dnia </w:t>
      </w:r>
      <w:r w:rsidR="00A04C3A">
        <w:t>17 grudnia</w:t>
      </w:r>
      <w:r w:rsidRPr="001B06A3">
        <w:t xml:space="preserve"> 2025 r. w sprawie europejskiej gotowości obronnej 2030: ocena potrzeb</w:t>
      </w:r>
      <w:bookmarkEnd w:id="5"/>
      <w:r w:rsidRPr="001B06A3">
        <w:t xml:space="preserve"> </w:t>
      </w:r>
      <w:bookmarkStart w:id="6" w:name="References"/>
      <w:r w:rsidRPr="001B06A3">
        <w:t>(2025/2142(INI))</w:t>
      </w:r>
      <w:bookmarkEnd w:id="6"/>
    </w:p>
    <w:p w14:paraId="3E260391" w14:textId="77777777" w:rsidR="00327A89" w:rsidRPr="001B06A3" w:rsidRDefault="00327A89" w:rsidP="00327A89">
      <w:pPr>
        <w:pStyle w:val="EPComma"/>
      </w:pPr>
      <w:r w:rsidRPr="001B06A3">
        <w:rPr>
          <w:rStyle w:val="Italic"/>
        </w:rPr>
        <w:t>Parlament Europejski</w:t>
      </w:r>
      <w:r w:rsidRPr="001B06A3">
        <w:t>,</w:t>
      </w:r>
    </w:p>
    <w:p w14:paraId="5363A332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Traktat o funkcjonowaniu Unii Europejskiej (TFUE),</w:t>
      </w:r>
    </w:p>
    <w:p w14:paraId="3078A6FB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tytuł V Traktatu o Unii Europejskiej, w szczególności rozdział 2 sekcja 2 dotyczący wspólnej polityki bezpieczeństwa i obrony,</w:t>
      </w:r>
    </w:p>
    <w:p w14:paraId="1FAAC1A7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białą księgę w sprawie obronności europejskiej zatytułowaną „Gotowość 2030” przedstawioną przez Komisję i wysoką przedstawicielkę Unii do spraw zagranicznych i polityki bezpieczeństwa 19 marca 2025 r. oraz przewidziany w niej pięciofilarowy plan finansowania pod nazwą „</w:t>
      </w:r>
      <w:proofErr w:type="spellStart"/>
      <w:r w:rsidRPr="001B06A3">
        <w:t>ReArm</w:t>
      </w:r>
      <w:proofErr w:type="spellEnd"/>
      <w:r w:rsidRPr="001B06A3">
        <w:t xml:space="preserve"> Europe”,</w:t>
      </w:r>
    </w:p>
    <w:p w14:paraId="74D3EEAB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wspólny komunikat Komisji i wysokiego przedstawiciela Unii do spraw zagranicznych i polityki bezpieczeństwa z 18 maja 2022 r. w sprawie analizy luk inwestycyjnych w zakresie obronności i dalszych działań (JOIN(2022)0024),</w:t>
      </w:r>
    </w:p>
    <w:p w14:paraId="01780F82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 xml:space="preserve">uwzględniając badanie pt. „Access to equity </w:t>
      </w:r>
      <w:proofErr w:type="spellStart"/>
      <w:r w:rsidRPr="001B06A3">
        <w:t>financing</w:t>
      </w:r>
      <w:proofErr w:type="spellEnd"/>
      <w:r w:rsidRPr="001B06A3">
        <w:t xml:space="preserve"> for </w:t>
      </w:r>
      <w:proofErr w:type="spellStart"/>
      <w:r w:rsidRPr="001B06A3">
        <w:t>European</w:t>
      </w:r>
      <w:proofErr w:type="spellEnd"/>
      <w:r w:rsidRPr="001B06A3">
        <w:t xml:space="preserve"> </w:t>
      </w:r>
      <w:proofErr w:type="spellStart"/>
      <w:r w:rsidRPr="001B06A3">
        <w:t>defence</w:t>
      </w:r>
      <w:proofErr w:type="spellEnd"/>
      <w:r w:rsidRPr="001B06A3">
        <w:t xml:space="preserve"> </w:t>
      </w:r>
      <w:proofErr w:type="spellStart"/>
      <w:r w:rsidRPr="001B06A3">
        <w:t>SMEs</w:t>
      </w:r>
      <w:proofErr w:type="spellEnd"/>
      <w:r w:rsidRPr="001B06A3">
        <w:t>” [Dostęp do finansowania kapitałowego dla europejskich MŚP z sektora obronnego] opublikowane 11 stycznia 2024 r.</w:t>
      </w:r>
      <w:r w:rsidRPr="001B06A3">
        <w:rPr>
          <w:rStyle w:val="FootnoteReference"/>
        </w:rPr>
        <w:footnoteReference w:id="1"/>
      </w:r>
      <w:r w:rsidRPr="001B06A3">
        <w:t>,</w:t>
      </w:r>
    </w:p>
    <w:p w14:paraId="75F7AB97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wspólny komunikat Komisji i wysokiego przedstawiciela Unii do spraw zagranicznych i polityki bezpieczeństwa z 5 marca 2024 r. pt. „Nowa Strategia na rzecz europejskiego przemysłu obronnego: osiągnięcie gotowości UE dzięki zdolnemu do reagowania i odpornemu europejskiemu przemysłowi obronnemu” (JOIN(2024)0010),</w:t>
      </w:r>
    </w:p>
    <w:p w14:paraId="397EB6FE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 xml:space="preserve">uwzględniając raport Maria </w:t>
      </w:r>
      <w:proofErr w:type="spellStart"/>
      <w:r w:rsidRPr="001B06A3">
        <w:t>Draghiego</w:t>
      </w:r>
      <w:proofErr w:type="spellEnd"/>
      <w:r w:rsidRPr="001B06A3">
        <w:t xml:space="preserve"> z 9 września 2024 r. na temat przyszłości europejskiej konkurencyjności (raport </w:t>
      </w:r>
      <w:proofErr w:type="spellStart"/>
      <w:r w:rsidRPr="001B06A3">
        <w:t>Draghiego</w:t>
      </w:r>
      <w:proofErr w:type="spellEnd"/>
      <w:r w:rsidRPr="001B06A3">
        <w:t>),</w:t>
      </w:r>
    </w:p>
    <w:p w14:paraId="4D3F0C4F" w14:textId="77777777" w:rsidR="00327A89" w:rsidRPr="001B06A3" w:rsidRDefault="00327A89" w:rsidP="00327A89">
      <w:pPr>
        <w:pStyle w:val="NormalHanging12a"/>
      </w:pPr>
      <w:r w:rsidRPr="001B06A3">
        <w:lastRenderedPageBreak/>
        <w:t>–</w:t>
      </w:r>
      <w:r w:rsidRPr="001B06A3">
        <w:tab/>
        <w:t>uwzględniając sprawozdanie z działalności Europejskiego Banku Inwestycyjnego (EBI) za 2024 r.,</w:t>
      </w:r>
    </w:p>
    <w:p w14:paraId="06C80AF8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swoje stanowisko w pierwszym czytaniu z 25 listopada 2025 r. w sprawie wniosku dotyczącego rozporządzenia Parlamentu Europejskiego i Rady ustanawiającego Program na rzecz europejskiego przemysłu obronnego oraz ramy środków w celu zapewnienia terminowej dostępności i dostaw produktów związanych z obronnością</w:t>
      </w:r>
      <w:r w:rsidRPr="001B06A3">
        <w:rPr>
          <w:rStyle w:val="FootnoteReference"/>
        </w:rPr>
        <w:footnoteReference w:id="2"/>
      </w:r>
      <w:r w:rsidRPr="001B06A3">
        <w:t>,</w:t>
      </w:r>
    </w:p>
    <w:p w14:paraId="43597E85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wspólny komunikat opublikowany 6 czerwca 2025 r. przez Francję, Niemcy, Hiszpanię, Estonię, Luksemburg, Niderlandy i Portugalię w sprawie wprowadzenia znaku „Finance Europe”,</w:t>
      </w:r>
    </w:p>
    <w:p w14:paraId="5B579785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komunikat Komisji z 17 czerwca 2025 r. w sprawie pakietu zbiorczego dotyczącego gotowości obronnej (COM(2025)0820), którego celem jest uproszczenie odpowiednich ram prawnych i administracyjnych w celu zwiększenia gotowości Unii w dziedzinie obronności,</w:t>
      </w:r>
    </w:p>
    <w:p w14:paraId="4A5CB609" w14:textId="77777777" w:rsidR="00327A89" w:rsidRPr="001B06A3" w:rsidRDefault="00327A89" w:rsidP="00327A89">
      <w:pPr>
        <w:spacing w:after="240"/>
        <w:ind w:left="567" w:hanging="567"/>
        <w:jc w:val="both"/>
      </w:pPr>
      <w:r w:rsidRPr="001B06A3">
        <w:t>–</w:t>
      </w:r>
      <w:r w:rsidRPr="001B06A3">
        <w:tab/>
        <w:t>uwzględniając opublikowane w czerwcu 2025 r. dziesiąte sprawozdanie z postępów w realizacji wspólnego zestawu propozycji zatwierdzonych przez Radę UE i Radę Północnoatlantycką 6 grudnia 2016 r. i 5 grudnia 2017 r.,</w:t>
      </w:r>
    </w:p>
    <w:p w14:paraId="61C0669C" w14:textId="77777777" w:rsidR="00327A89" w:rsidRPr="001B06A3" w:rsidRDefault="00327A89" w:rsidP="00327A89">
      <w:pPr>
        <w:spacing w:after="240"/>
        <w:ind w:left="567" w:hanging="567"/>
        <w:jc w:val="both"/>
      </w:pPr>
      <w:r w:rsidRPr="001B06A3">
        <w:t>–</w:t>
      </w:r>
      <w:r w:rsidRPr="001B06A3">
        <w:tab/>
        <w:t>uwzględniając rozporządzenie Rady (UE) 2025/1106 z 27 maja 2025 r. ustanawiające Instrument na rzecz Zwiększenia Bezpieczeństwa Europy (SAFE) poprzez Wzmocnienie Europejskiego Przemysłu Obronnego</w:t>
      </w:r>
      <w:r w:rsidRPr="001B06A3">
        <w:rPr>
          <w:rStyle w:val="FootnoteReference"/>
        </w:rPr>
        <w:footnoteReference w:id="3"/>
      </w:r>
      <w:r w:rsidRPr="001B06A3">
        <w:t>,</w:t>
      </w:r>
    </w:p>
    <w:p w14:paraId="2D2D6BBB" w14:textId="77777777" w:rsidR="00327A89" w:rsidRPr="001B06A3" w:rsidRDefault="00327A89" w:rsidP="00327A89">
      <w:pPr>
        <w:spacing w:after="240"/>
        <w:ind w:left="567" w:hanging="567"/>
        <w:jc w:val="both"/>
      </w:pPr>
      <w:r w:rsidRPr="001B06A3">
        <w:t>–</w:t>
      </w:r>
      <w:r w:rsidRPr="001B06A3">
        <w:tab/>
        <w:t xml:space="preserve">uwzględniając raport Enrica </w:t>
      </w:r>
      <w:proofErr w:type="spellStart"/>
      <w:r w:rsidRPr="001B06A3">
        <w:t>Letty</w:t>
      </w:r>
      <w:proofErr w:type="spellEnd"/>
      <w:r w:rsidRPr="001B06A3">
        <w:t xml:space="preserve"> z 10 kwietnia 2024 r. na temat przyszłości europejskiego jednolitego rynku (raport </w:t>
      </w:r>
      <w:proofErr w:type="spellStart"/>
      <w:r w:rsidRPr="001B06A3">
        <w:t>Letty</w:t>
      </w:r>
      <w:proofErr w:type="spellEnd"/>
      <w:r w:rsidRPr="001B06A3">
        <w:t>),</w:t>
      </w:r>
    </w:p>
    <w:p w14:paraId="428A9E7B" w14:textId="4FDCD38B" w:rsidR="00327A89" w:rsidRPr="001B06A3" w:rsidRDefault="00327A89" w:rsidP="00327A89">
      <w:pPr>
        <w:pStyle w:val="Normal6a"/>
        <w:spacing w:after="240"/>
        <w:ind w:left="567" w:hanging="567"/>
      </w:pPr>
      <w:r w:rsidRPr="001B06A3">
        <w:t>–</w:t>
      </w:r>
      <w:r w:rsidRPr="001B06A3">
        <w:tab/>
        <w:t xml:space="preserve">uwzględniając raport </w:t>
      </w:r>
      <w:proofErr w:type="spellStart"/>
      <w:r w:rsidRPr="001B06A3">
        <w:t>Saulego</w:t>
      </w:r>
      <w:proofErr w:type="spellEnd"/>
      <w:r w:rsidRPr="001B06A3">
        <w:t xml:space="preserve"> </w:t>
      </w:r>
      <w:proofErr w:type="spellStart"/>
      <w:r w:rsidRPr="001B06A3">
        <w:t>Niinistö</w:t>
      </w:r>
      <w:proofErr w:type="spellEnd"/>
      <w:r w:rsidRPr="001B06A3">
        <w:t xml:space="preserve"> z 30 października 20</w:t>
      </w:r>
      <w:r w:rsidR="00C85EAB">
        <w:t>2</w:t>
      </w:r>
      <w:r w:rsidRPr="001B06A3">
        <w:t>4 r. pt. „</w:t>
      </w:r>
      <w:proofErr w:type="spellStart"/>
      <w:r w:rsidRPr="001B06A3">
        <w:t>Safer</w:t>
      </w:r>
      <w:proofErr w:type="spellEnd"/>
      <w:r w:rsidRPr="001B06A3">
        <w:t xml:space="preserve"> </w:t>
      </w:r>
      <w:proofErr w:type="spellStart"/>
      <w:r w:rsidRPr="001B06A3">
        <w:t>Together</w:t>
      </w:r>
      <w:proofErr w:type="spellEnd"/>
      <w:r w:rsidRPr="001B06A3">
        <w:t xml:space="preserve"> – </w:t>
      </w:r>
      <w:proofErr w:type="spellStart"/>
      <w:r w:rsidRPr="001B06A3">
        <w:t>Strengthening</w:t>
      </w:r>
      <w:proofErr w:type="spellEnd"/>
      <w:r w:rsidRPr="001B06A3">
        <w:t xml:space="preserve"> </w:t>
      </w:r>
      <w:proofErr w:type="spellStart"/>
      <w:r w:rsidRPr="001B06A3">
        <w:t>Europe’s</w:t>
      </w:r>
      <w:proofErr w:type="spellEnd"/>
      <w:r w:rsidRPr="001B06A3">
        <w:t xml:space="preserve"> </w:t>
      </w:r>
      <w:proofErr w:type="spellStart"/>
      <w:r w:rsidRPr="001B06A3">
        <w:t>Civilian</w:t>
      </w:r>
      <w:proofErr w:type="spellEnd"/>
      <w:r w:rsidRPr="001B06A3">
        <w:t xml:space="preserve"> and </w:t>
      </w:r>
      <w:proofErr w:type="spellStart"/>
      <w:r w:rsidRPr="001B06A3">
        <w:t>Military</w:t>
      </w:r>
      <w:proofErr w:type="spellEnd"/>
      <w:r w:rsidRPr="001B06A3">
        <w:t xml:space="preserve"> </w:t>
      </w:r>
      <w:proofErr w:type="spellStart"/>
      <w:r w:rsidRPr="001B06A3">
        <w:t>Preparedness</w:t>
      </w:r>
      <w:proofErr w:type="spellEnd"/>
      <w:r w:rsidRPr="001B06A3">
        <w:t xml:space="preserve"> and Readiness” [Razem bezpieczniej – zwiększenie gotowości i przygotowania cywilnego i obronnego w Europie] (raport </w:t>
      </w:r>
      <w:proofErr w:type="spellStart"/>
      <w:r w:rsidRPr="001B06A3">
        <w:t>Niinistö</w:t>
      </w:r>
      <w:proofErr w:type="spellEnd"/>
      <w:r w:rsidRPr="001B06A3">
        <w:t xml:space="preserve">), </w:t>
      </w:r>
    </w:p>
    <w:p w14:paraId="5AEE9B57" w14:textId="77777777" w:rsidR="00327A89" w:rsidRPr="001B06A3" w:rsidRDefault="00327A89" w:rsidP="00327A89">
      <w:pPr>
        <w:pStyle w:val="Normal6a"/>
        <w:spacing w:after="240"/>
        <w:ind w:left="567" w:hanging="567"/>
      </w:pPr>
      <w:r w:rsidRPr="001B06A3">
        <w:t>–</w:t>
      </w:r>
      <w:r w:rsidRPr="001B06A3">
        <w:tab/>
        <w:t>uwzględniając swoją rezolucję z 12 marca 2025 r. w sprawie białej księgi na temat przyszłości obronności europejskiej</w:t>
      </w:r>
      <w:r w:rsidRPr="001B06A3">
        <w:rPr>
          <w:rStyle w:val="FootnoteReference"/>
        </w:rPr>
        <w:footnoteReference w:id="4"/>
      </w:r>
      <w:r w:rsidRPr="001B06A3">
        <w:t>,</w:t>
      </w:r>
    </w:p>
    <w:p w14:paraId="0ECA3D76" w14:textId="77777777" w:rsidR="00327A89" w:rsidRPr="001B06A3" w:rsidRDefault="00327A89" w:rsidP="00327A89">
      <w:pPr>
        <w:pStyle w:val="Normal6a"/>
        <w:spacing w:after="240"/>
        <w:ind w:left="567" w:hanging="567"/>
      </w:pPr>
      <w:r w:rsidRPr="001B06A3">
        <w:t>–</w:t>
      </w:r>
      <w:r w:rsidRPr="001B06A3">
        <w:tab/>
        <w:t>uwzględniając swoją rezolucję z 8 lipca 2025 r. w sprawie działalności finansowej Europejskiego Banku Inwestycyjnego – sprawozdanie roczne za 2024 r.</w:t>
      </w:r>
      <w:r w:rsidRPr="001B06A3">
        <w:rPr>
          <w:rStyle w:val="FootnoteReference"/>
        </w:rPr>
        <w:footnoteReference w:id="5"/>
      </w:r>
      <w:r w:rsidRPr="001B06A3">
        <w:t>,</w:t>
      </w:r>
    </w:p>
    <w:p w14:paraId="7FA49E12" w14:textId="77777777" w:rsidR="00327A89" w:rsidRPr="001B06A3" w:rsidRDefault="00327A89" w:rsidP="00327A89">
      <w:pPr>
        <w:pStyle w:val="Normal6a"/>
        <w:spacing w:after="240"/>
        <w:ind w:left="567" w:hanging="567"/>
      </w:pPr>
      <w:r w:rsidRPr="001B06A3">
        <w:t>–</w:t>
      </w:r>
      <w:r w:rsidRPr="001B06A3">
        <w:tab/>
        <w:t>uwzględniając komunikat Komisji z 28 sierpnia 2025 r. w sprawie stosowania ram zrównoważonego finansowania i dyrektywy w sprawie należytej staranności przedsiębiorstw w zakresie zrównoważonego rozwoju w odniesieniu do sektora obronnego (C(2025)3800),</w:t>
      </w:r>
    </w:p>
    <w:p w14:paraId="6951204F" w14:textId="77777777" w:rsidR="00327A89" w:rsidRPr="001B06A3" w:rsidRDefault="00327A89" w:rsidP="00327A89">
      <w:pPr>
        <w:pStyle w:val="NormalHanging12a"/>
      </w:pPr>
      <w:r w:rsidRPr="001B06A3">
        <w:lastRenderedPageBreak/>
        <w:t>–</w:t>
      </w:r>
      <w:r w:rsidRPr="001B06A3">
        <w:tab/>
        <w:t>uwzględniając opinie przedstawione przez Komisję Gospodarczą i Monetarną, Komisję Przemysłu, Badań Naukowych i Energii oraz Komisję Budżetową,</w:t>
      </w:r>
    </w:p>
    <w:p w14:paraId="685155A2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art. 55 Regulaminu,</w:t>
      </w:r>
    </w:p>
    <w:p w14:paraId="134F0703" w14:textId="77777777" w:rsidR="00327A89" w:rsidRPr="001B06A3" w:rsidRDefault="00327A89" w:rsidP="00327A89">
      <w:pPr>
        <w:pStyle w:val="NormalHanging12a"/>
      </w:pPr>
      <w:r w:rsidRPr="001B06A3">
        <w:t>–</w:t>
      </w:r>
      <w:r w:rsidRPr="001B06A3">
        <w:tab/>
        <w:t>uwzględniając sprawozdanie Komisji Bezpieczeństwa i Obrony (A10-0243/2025),</w:t>
      </w:r>
    </w:p>
    <w:p w14:paraId="59CCCBCA" w14:textId="77777777" w:rsidR="00327A89" w:rsidRPr="001B06A3" w:rsidRDefault="00327A89" w:rsidP="00327A89">
      <w:pPr>
        <w:pStyle w:val="NormalHanging12a"/>
      </w:pPr>
      <w:r w:rsidRPr="001B06A3">
        <w:t>A.</w:t>
      </w:r>
      <w:r w:rsidRPr="001B06A3">
        <w:tab/>
        <w:t>mając na uwadze, że według Europejskiej Agencji Obrony (EDA) wydatki państw członkowskich na obronę w 2024 r. – po spadku w 2014 r. – wyniosły 343 mld EUR, co odpowiada 1,9 % PKB i stanowi wzrost o 19 % w porównaniu z 2023 r.; mając na uwadze, że według EDA wydatki państw członkowskich na obronę mogą przekroczyć w 2025 r. wytyczną NATO wynoszącą 2 %;</w:t>
      </w:r>
    </w:p>
    <w:p w14:paraId="20B2EC16" w14:textId="77777777" w:rsidR="00327A89" w:rsidRPr="001B06A3" w:rsidRDefault="00327A89" w:rsidP="00327A89">
      <w:pPr>
        <w:pStyle w:val="NormalHanging12a"/>
        <w:rPr>
          <w:bCs/>
          <w:iCs/>
        </w:rPr>
      </w:pPr>
      <w:r w:rsidRPr="001B06A3">
        <w:t>B.</w:t>
      </w:r>
      <w:r w:rsidRPr="001B06A3">
        <w:tab/>
        <w:t>mając na uwadze, że obecny poziom inwestycji w bezpieczeństwo i obronę w UE nie wystarcza do osiągnięcia celów dotyczących zdolności przez każde państwo członkowskie; mając na uwadze, że koszt samodzielnie podejmowanych działań jest znacznie wyższy niż koszt działań wspólnych; mając na uwadze, że koszt braku przygotowania i ewentualnej klęski militarnej oraz wynikającej z niej utraty autonomii jest znacznie wyższy niż koszt podjęcia zdecydowanych działań już teraz; mając na uwadze, że samo zwiększenie krajowych wydatków obronnych bez rozwiązania kwestii koordynacji, zbędnych działań i niedopasowanych strategii może przynieść efekt przeciwny do zamierzonego, ponieważ może pogłębić wyzwania związane z integracją sił i zwiększyć koszty zamówień dla wszystkich państw członkowskich ze względu na nasilenie konkurencji między nimi;</w:t>
      </w:r>
    </w:p>
    <w:p w14:paraId="0B17CA75" w14:textId="77777777" w:rsidR="00327A89" w:rsidRPr="001B06A3" w:rsidRDefault="00327A89" w:rsidP="00327A89">
      <w:pPr>
        <w:pStyle w:val="NormalHanging12a"/>
      </w:pPr>
      <w:r w:rsidRPr="001B06A3">
        <w:t>C.</w:t>
      </w:r>
      <w:r w:rsidRPr="001B06A3">
        <w:tab/>
        <w:t xml:space="preserve">mając na uwadze, że w raporcie </w:t>
      </w:r>
      <w:proofErr w:type="spellStart"/>
      <w:r w:rsidRPr="001B06A3">
        <w:t>Saulego</w:t>
      </w:r>
      <w:proofErr w:type="spellEnd"/>
      <w:r w:rsidRPr="001B06A3">
        <w:t xml:space="preserve"> </w:t>
      </w:r>
      <w:proofErr w:type="spellStart"/>
      <w:r w:rsidRPr="001B06A3">
        <w:t>Niinistö</w:t>
      </w:r>
      <w:proofErr w:type="spellEnd"/>
      <w:r w:rsidRPr="001B06A3">
        <w:t xml:space="preserve"> podkreślono, iż zwiększenie dostępnych środków finansowych na współpracę w dziedzinie obronności ma zasadnicze znaczenie dla przezwyciężenia endemicznej fragmentacji i dziesięcioleci niedoinwestowania; mając na uwadze, że Komisja zidentyfikowała lukę w inwestycjach w zdolności obronne wynoszącą 800 mld EUR, którą państwa członkowskie powinny zapełnić do 2030 r. dzięki planowi </w:t>
      </w:r>
      <w:proofErr w:type="spellStart"/>
      <w:r w:rsidRPr="001B06A3">
        <w:t>ReArm</w:t>
      </w:r>
      <w:proofErr w:type="spellEnd"/>
      <w:r w:rsidRPr="001B06A3">
        <w:t xml:space="preserve"> Europe, co oznacza roczny wzrost wydatków o 10 % – do około 575 mld EUR w 2030 r., czyli 3,15 % łącznego PKB; mając na uwadze, że jest to zgodne z raportem </w:t>
      </w:r>
      <w:proofErr w:type="spellStart"/>
      <w:r w:rsidRPr="001B06A3">
        <w:t>Draghiego</w:t>
      </w:r>
      <w:proofErr w:type="spellEnd"/>
      <w:r w:rsidRPr="001B06A3">
        <w:t xml:space="preserve"> na temat przyszłości europejskiej konkurencyjności;</w:t>
      </w:r>
    </w:p>
    <w:p w14:paraId="2ABEA267" w14:textId="77777777" w:rsidR="00327A89" w:rsidRPr="001B06A3" w:rsidRDefault="00327A89" w:rsidP="00327A89">
      <w:pPr>
        <w:pStyle w:val="NormalHanging12a"/>
      </w:pPr>
      <w:r w:rsidRPr="001B06A3">
        <w:t>D.</w:t>
      </w:r>
      <w:r w:rsidRPr="001B06A3">
        <w:tab/>
        <w:t>mając na uwadze, że we wniosku dotyczącym wieloletnich ram finansowych (WRF) na lata 2028–2034 Komisja przeznacza 115,7 mld EUR (w cenach z 2025 r.) z Europejskiego Funduszu Konkurencyjności na obronność i przestrzeń kosmiczną, pięciokrotnie więcej niż w poprzednich WRF, a także 15,7 mld EUR (w cenach z 2025 r.) z instrumentu „Łącząc Europę” na mobilność wojskową, co stanowi dziesięciokrotny wzrost w porównaniu z poprzednim okresem i służy wspieraniu rozwoju infrastruktury transportowej, która może być wykorzystywana do celów zarówno cywilnych, jak i wojskowych;</w:t>
      </w:r>
    </w:p>
    <w:p w14:paraId="6E691039" w14:textId="77777777" w:rsidR="00327A89" w:rsidRPr="001B06A3" w:rsidRDefault="00327A89" w:rsidP="00327A89">
      <w:pPr>
        <w:pStyle w:val="NormalHanging12a"/>
      </w:pPr>
      <w:r w:rsidRPr="001B06A3">
        <w:t>E.</w:t>
      </w:r>
      <w:r w:rsidRPr="001B06A3">
        <w:tab/>
        <w:t>mając na uwadze, że obywatele UE słusznie żywią większe oczekiwania wobec UE i jej budżetu, obejmujące zdolność do szybkiego i skutecznego reagowania na zmieniające się zagrożenia oraz udzielanie niezbędnego wsparcia w celu wzmocnienia zdolności obronnych, zwłaszcza w czasach kryzysu; mając na uwadze, że w następnych WRF należy wspierać kompleksowe podejście do bezpieczeństwa i odpowiednio finansować środki wzmacniające gotowość obronną i odporność;</w:t>
      </w:r>
    </w:p>
    <w:p w14:paraId="4FA04D7F" w14:textId="77777777" w:rsidR="00327A89" w:rsidRPr="001B06A3" w:rsidRDefault="00327A89" w:rsidP="00327A89">
      <w:pPr>
        <w:pStyle w:val="NormalHanging12a"/>
      </w:pPr>
      <w:r w:rsidRPr="001B06A3">
        <w:lastRenderedPageBreak/>
        <w:t>F.</w:t>
      </w:r>
      <w:r w:rsidRPr="001B06A3">
        <w:tab/>
        <w:t xml:space="preserve">mając na uwadze, że według EDA w 2024 r. państwa członkowskie przeznaczyły 31 % wydatków obronnych na inwestycje, z czego 88,2 % na zakup nowego sprzętu, a 11,8 % na badania i rozwój; mając na uwadze, że w 2024 r. wydatki na zakup sprzętu obronnego wyniosły 88 mld EUR, co stanowi wzrost o 39 % w porównaniu z 2023 r.; mając na uwadze, że zgodnie z planem </w:t>
      </w:r>
      <w:proofErr w:type="spellStart"/>
      <w:r w:rsidRPr="001B06A3">
        <w:t>ReArm</w:t>
      </w:r>
      <w:proofErr w:type="spellEnd"/>
      <w:r w:rsidRPr="001B06A3">
        <w:t xml:space="preserve"> Europe oczekuje się, że do 2030 r. wzrost ten wygeneruje dodatkowe inwestycje o wartości co najmniej 240 mld EUR; mając na uwadze, że w 2024 r. również wydatki na badania i rozwój w dziedzinie obronności w państwach członkowskich wzrosły o 20 % – do 13 mld EUR;</w:t>
      </w:r>
    </w:p>
    <w:p w14:paraId="53C9E577" w14:textId="77777777" w:rsidR="00327A89" w:rsidRPr="001B06A3" w:rsidRDefault="00327A89" w:rsidP="00327A89">
      <w:pPr>
        <w:pStyle w:val="NormalHanging12a"/>
      </w:pPr>
      <w:r w:rsidRPr="001B06A3">
        <w:t>G.</w:t>
      </w:r>
      <w:r w:rsidRPr="001B06A3">
        <w:tab/>
        <w:t>mając na uwadze, że według Komisji w okresie od lutego 2022 r. do czerwca 2023 r. 78 % zakupów państw członkowskich w dziedzinie obronności pochodziło z państw spoza UE, z czego dwie trzecie z USA, a 70 % obrotu europejskiej bazy technologiczno-przemysłowej sektora obronnego (EDTIB) zależy od europejskich zamówień publicznych;</w:t>
      </w:r>
    </w:p>
    <w:p w14:paraId="0374E864" w14:textId="77777777" w:rsidR="00327A89" w:rsidRPr="001B06A3" w:rsidRDefault="00327A89" w:rsidP="00327A89">
      <w:pPr>
        <w:pStyle w:val="NormalHanging12a"/>
      </w:pPr>
      <w:r w:rsidRPr="001B06A3">
        <w:t>H.</w:t>
      </w:r>
      <w:r w:rsidRPr="001B06A3">
        <w:tab/>
        <w:t>mając na uwadze, że według Europejskiego Stowarzyszenia Przemysłu Lotniczego, Przemysłu Bezpieczeństwa i Przemysłu Obronnego EDTIB – która w 2023 r. odpowiadała za około 580 000 bezpośrednich miejsc pracy, 1,4 mln pośrednich miejsc pracy i obroty w wysokości 160 mld EUR (z czego jedna trzecia z eksportu) – stoi w obliczu potrójnego wyzwania: w dziedzinie rekrutacji, zamówień i finansowania;</w:t>
      </w:r>
    </w:p>
    <w:p w14:paraId="3703F5DB" w14:textId="77777777" w:rsidR="00327A89" w:rsidRPr="001B06A3" w:rsidRDefault="00327A89" w:rsidP="00327A89">
      <w:pPr>
        <w:pStyle w:val="NormalHanging12a"/>
      </w:pPr>
      <w:r w:rsidRPr="001B06A3">
        <w:t>I.</w:t>
      </w:r>
      <w:r w:rsidRPr="001B06A3">
        <w:tab/>
        <w:t>mając na uwadze, że małe i średnie przedsiębiorstwa (MŚP) stanowią zasadniczy element EDTIB, zapewniający innowacje, elastyczność i odporność w całym łańcuchu wartości; mając na uwadze, że w badaniu Komisji z 2024 r. dotyczącym dostępu finansowania kapitałowego podkreślono jednak, że MŚP będące częścią EDTIB napotykają większe trudności z uzyskaniem finansowania kredytowego i kapitałowego niż przedsiębiorstwa w innych sektorach ze względu na: (i) nieregularność zamówień publicznych i terminów płatności między podwykonawcami, co zmniejsza przewidywalność zasobów finansowych, (ii) wykluczanie działalności obronnej przez niektórych inwestorów ze względów wizerunkowych, (iii) ograniczone możliwości wyjścia na europejskie rynki kapitałowe w przypadku aktywów obronnych; mając na uwadze, że usunięcie takich przeszkód finansowych jest niezbędne, aby zapewnić MŚP związanym z obronnością równy dostęp do rynków kapitałowych i inwestycji prywatnych, a tym samym poprawić ich konkurencyjność oraz odporność gospodarczą;</w:t>
      </w:r>
    </w:p>
    <w:p w14:paraId="2DFBAEDF" w14:textId="77777777" w:rsidR="00327A89" w:rsidRPr="001B06A3" w:rsidRDefault="00327A89" w:rsidP="00327A89">
      <w:pPr>
        <w:pStyle w:val="NormalHanging12a"/>
      </w:pPr>
      <w:r w:rsidRPr="001B06A3">
        <w:t>J.</w:t>
      </w:r>
      <w:r w:rsidRPr="001B06A3">
        <w:tab/>
        <w:t>mając na uwadze, że dodatkowe potrzeby finansowe EDTIB na lata 2025–2030 szacuje się na co najmniej 30–40 mld EUR, z czego według szacunków 6–18 mld EUR będzie pochodzić z wkładów kapitałowych; mając na uwadze, że podkreśla to znaczenie unii oszczędności i inwestycji w ramach UE dla mobilizacji długoterminowego kapitału prywatnego i przyciągania inwestorów instytucjonalnych;</w:t>
      </w:r>
    </w:p>
    <w:p w14:paraId="2B707276" w14:textId="77777777" w:rsidR="00327A89" w:rsidRPr="001B06A3" w:rsidRDefault="00327A89" w:rsidP="00327A89">
      <w:pPr>
        <w:pStyle w:val="NormalHanging12a"/>
      </w:pPr>
      <w:r w:rsidRPr="001B06A3">
        <w:t>K.</w:t>
      </w:r>
      <w:r w:rsidRPr="001B06A3">
        <w:tab/>
        <w:t>mając na uwadze, że sektor obronny jest nadal słabo skonsolidowany, oparty na dużych zleceniodawcach i niestabilnych łańcuchach podwykonawców oraz słabo rozwiniętych ogólnoeuropejskich łańcuchach wartości, co ogranicza płynność małych przedsiębiorstw, które często muszą finansować swoje potrzeby dotyczące kapitału obrotowego z zasobów długoterminowych;</w:t>
      </w:r>
      <w:r w:rsidRPr="001B06A3">
        <w:rPr>
          <w:b/>
          <w:i/>
        </w:rPr>
        <w:t xml:space="preserve"> </w:t>
      </w:r>
      <w:r w:rsidRPr="001B06A3">
        <w:t>mając na uwadze, że utrudnia to wzmocnienie EDTIB, która jest niezbędna do budowania zdolności obronnych;</w:t>
      </w:r>
    </w:p>
    <w:p w14:paraId="13E3DD5B" w14:textId="77777777" w:rsidR="00327A89" w:rsidRPr="001B06A3" w:rsidRDefault="00327A89" w:rsidP="00327A89">
      <w:pPr>
        <w:pStyle w:val="NormalHanging12a"/>
      </w:pPr>
      <w:r w:rsidRPr="001B06A3">
        <w:t>L.</w:t>
      </w:r>
      <w:r w:rsidRPr="001B06A3">
        <w:tab/>
        <w:t xml:space="preserve">mając na uwadze, że EBI nadał priorytet sektorowi bezpieczeństwa i obrony, dostosował swoje kryteria udzielania pożyczek oraz procesy wewnętrzne, a także utworzył punkt kompleksowej obsługi w zakresie wsparcia finansowego na rzecz </w:t>
      </w:r>
      <w:r w:rsidRPr="001B06A3">
        <w:lastRenderedPageBreak/>
        <w:t xml:space="preserve">bezpieczeństwa i obrony, tj. Biuro ds. Bezpieczeństwa i Obrony; mając na uwadze, że w 2024 r. EBI uruchomił prawie 1 mld EUR, a w 2025 r. zakładał uruchomienie kwoty 2 mld EUR, ale w rzeczywistości osiągnął już 3 mld EUR; mając na uwadze, że od 2017 r. przeznaczył na obronę już 13 mld EUR, a do 2027 r. planuje przeznaczyć na nią dodatkowe 6 mld EUR, rozszerzając swoje działania na projekty podwójnego zastosowania i nowe instrumenty finansowe; mając na uwadze, że poprawa dostępu MŚP i spółek o średniej kapitalizacji do instrumentów EBI w ekosystemie obronności i bezpieczeństwa jest kluczowa dla zapewnienia </w:t>
      </w:r>
      <w:proofErr w:type="spellStart"/>
      <w:r w:rsidRPr="001B06A3">
        <w:t>inkluzywnego</w:t>
      </w:r>
      <w:proofErr w:type="spellEnd"/>
      <w:r w:rsidRPr="001B06A3">
        <w:t xml:space="preserve"> i innowacyjnego wzrostu w całej UE;</w:t>
      </w:r>
    </w:p>
    <w:p w14:paraId="27AFA049" w14:textId="77777777" w:rsidR="00327A89" w:rsidRPr="001B06A3" w:rsidRDefault="00327A89" w:rsidP="00327A89">
      <w:pPr>
        <w:pStyle w:val="Normal6a"/>
        <w:spacing w:after="240"/>
        <w:ind w:left="567" w:hanging="567"/>
      </w:pPr>
      <w:bookmarkStart w:id="7" w:name="_Hlk215500216"/>
      <w:r w:rsidRPr="001B06A3">
        <w:t>M.</w:t>
      </w:r>
      <w:r w:rsidRPr="001B06A3">
        <w:tab/>
        <w:t>mając na uwadze, że EBI odgrywa kluczową rolę we wspieraniu spójności gospodarczej, zrównoważonego rozwoju i konkurencyjności w UE; mając na uwadze, że w białej księdze w sprawie przyszłości europejskiej obronności zaproponowano utworzenie banku obrony, bezpieczeństwa i odporności; mając na uwadze, że formalne rozszerzenie mandatu EBI o wsparcie dla EDTIB byłoby skuteczniejszym i bardziej proporcjonalnym rozwiązaniem niż utworzenie nowego banku obrony, bezpieczeństwa i odporności;</w:t>
      </w:r>
    </w:p>
    <w:bookmarkEnd w:id="7"/>
    <w:p w14:paraId="17A4DB27" w14:textId="77777777" w:rsidR="00327A89" w:rsidRPr="001B06A3" w:rsidRDefault="00327A89" w:rsidP="00327A89">
      <w:pPr>
        <w:pStyle w:val="Normal6a"/>
        <w:tabs>
          <w:tab w:val="left" w:pos="567"/>
        </w:tabs>
        <w:spacing w:after="240"/>
        <w:ind w:left="567" w:hanging="567"/>
      </w:pPr>
      <w:r w:rsidRPr="001B06A3">
        <w:t>N.</w:t>
      </w:r>
      <w:r w:rsidRPr="001B06A3">
        <w:tab/>
        <w:t>mając na uwadze, że ewentualne rozszerzenie polityki kredytowej i kryteriów kwalifikowalności EBI na sprzęt do celów obronnych należy oceniać pod kątem potrzeby zachowania stabilności finansowej EBI i jego ratingu kredytowego AAA, które pozostają podstawowymi zabezpieczeniami jego zdolności do realizacji priorytetów polityki UE, obejmujących gotowość obronną i ogólną niezależność polityczną UE;</w:t>
      </w:r>
    </w:p>
    <w:p w14:paraId="2A781759" w14:textId="77777777" w:rsidR="00327A89" w:rsidRPr="001B06A3" w:rsidRDefault="00327A89" w:rsidP="00327A89">
      <w:pPr>
        <w:pStyle w:val="NormalHanging12a"/>
      </w:pPr>
      <w:r w:rsidRPr="001B06A3">
        <w:t>O.</w:t>
      </w:r>
      <w:r w:rsidRPr="001B06A3">
        <w:tab/>
        <w:t>mając na uwadze, że w 2023 r. około 39 zgłoszonych przypadków bezpośrednich inwestycji zagranicznych (BIZ) zostało poddanych szczegółowej analizie w ramach unijnego mechanizmu współpracy w dziedzinie monitorowania BIZ, przy czym sektor obronności i aeronautyki były szczególnie dotknięte</w:t>
      </w:r>
      <w:r w:rsidRPr="001B06A3">
        <w:rPr>
          <w:rStyle w:val="FootnoteReference"/>
        </w:rPr>
        <w:footnoteReference w:id="6"/>
      </w:r>
      <w:r w:rsidRPr="001B06A3">
        <w:t>;</w:t>
      </w:r>
    </w:p>
    <w:p w14:paraId="5C24834D" w14:textId="77777777" w:rsidR="00327A89" w:rsidRPr="001B06A3" w:rsidRDefault="00327A89" w:rsidP="00327A89">
      <w:pPr>
        <w:pStyle w:val="NormalHanging12a"/>
      </w:pPr>
      <w:r w:rsidRPr="001B06A3">
        <w:t>P.</w:t>
      </w:r>
      <w:r w:rsidRPr="001B06A3">
        <w:tab/>
        <w:t>mając na uwadze, że wprawdzie w Europie powstały wyspecjalizowane fundusze, jednak w 2024 r. istniało tylko około 30 europejskich funduszy wyspecjalizowanych w dziedzinie obronności, z których 4 dysponowały aktywami o wartości ponad 500 mln EUR (podczas gdy w Stanach Zjednoczonych istnieje ponad 50 takich funduszy, w tym 30 o wspomnianej wartości), oraz że skutki tej sytuacji to mniejsza atrakcyjność rynku wtórnego, niższe wyceny podczas operacji wyjścia i ryzyko przejęcia kontroli przez inwestorów zagranicznych;</w:t>
      </w:r>
    </w:p>
    <w:p w14:paraId="7FCE163B" w14:textId="77777777" w:rsidR="00327A89" w:rsidRPr="001B06A3" w:rsidRDefault="00327A89" w:rsidP="00327A89">
      <w:pPr>
        <w:pStyle w:val="Normal6a"/>
        <w:tabs>
          <w:tab w:val="left" w:pos="567"/>
        </w:tabs>
        <w:spacing w:after="240"/>
        <w:ind w:left="567" w:hanging="567"/>
        <w:rPr>
          <w:bCs/>
          <w:iCs/>
        </w:rPr>
      </w:pPr>
      <w:r w:rsidRPr="001B06A3">
        <w:t>Q.</w:t>
      </w:r>
      <w:r w:rsidRPr="001B06A3">
        <w:tab/>
        <w:t xml:space="preserve">mając na uwadze, że pogarszające się środowisko bezpieczeństwa oraz rosnące zagrożenia hybrydowe i konwencjonalne w całej UE uwidoczniają, że potrzebne są stałe inwestycje w gotowość obronną, odporność i mobilność wojskową; mając na uwadze, że wschodnia flanka stanowi obszar o znaczeniu strategicznym dla ogólnego bezpieczeństwa Europy, wymagający udoskonalonej infrastruktury, zdolności obserwacyjnych i mechanizmów szybkiego wzmocnienia; mając na uwadze, że wzmocnienie zarządzania granicami, poprawa systemów </w:t>
      </w:r>
      <w:proofErr w:type="spellStart"/>
      <w:r w:rsidRPr="001B06A3">
        <w:t>antydronowych</w:t>
      </w:r>
      <w:proofErr w:type="spellEnd"/>
      <w:r w:rsidRPr="001B06A3">
        <w:t xml:space="preserve"> i systemów obrony powietrznej oraz rozwój regionalnych zdolności przemysłowych na potrzeby produkcji i innowacji w dziedzinie obronności są niezbędne do zapewnienia gotowości </w:t>
      </w:r>
      <w:r w:rsidRPr="001B06A3">
        <w:lastRenderedPageBreak/>
        <w:t>UE; mając na uwadze, że środki te – w tym wdrożenie kluczowych inicjatyw takich jak europejska inicjatywa na rzecz obrony przed dronami, straż wschodniej flanki, europejska tarcza powietrzna i europejska tarcza kosmiczna – powinny być wspierane odpowiednim finansowaniem unijnym; mając na uwadze, że takie wysiłki są niezbędne, by chronić najbardziej narażone państwa członkowskie, zachować integralność terytorialną UE oraz utrzymać zbiorowy potencjał odstraszający i stabilność na całym kontynencie;</w:t>
      </w:r>
    </w:p>
    <w:p w14:paraId="2037DFE7" w14:textId="77777777" w:rsidR="00327A89" w:rsidRPr="001B06A3" w:rsidRDefault="00327A89" w:rsidP="00327A89">
      <w:pPr>
        <w:pStyle w:val="Normal6a"/>
        <w:rPr>
          <w:i/>
          <w:iCs/>
        </w:rPr>
      </w:pPr>
      <w:r w:rsidRPr="001B06A3">
        <w:rPr>
          <w:rStyle w:val="Bold"/>
          <w:i/>
        </w:rPr>
        <w:t>Zapewnienie stabilnych podstaw i długoterminowej wizji inwestycji prywatnych w obronność</w:t>
      </w:r>
    </w:p>
    <w:p w14:paraId="1A956E2C" w14:textId="77777777" w:rsidR="00327A89" w:rsidRPr="001B06A3" w:rsidRDefault="00327A89" w:rsidP="00327A89">
      <w:pPr>
        <w:pStyle w:val="Normal12a24b"/>
      </w:pPr>
      <w:r w:rsidRPr="001B06A3">
        <w:rPr>
          <w:rStyle w:val="Italic"/>
        </w:rPr>
        <w:t>Wspieranie i lepsze ukierunkowanie inwestycji publicznych państw członkowskich w obronność</w:t>
      </w:r>
    </w:p>
    <w:p w14:paraId="71B04BDF" w14:textId="77777777" w:rsidR="00327A89" w:rsidRPr="001B06A3" w:rsidRDefault="00327A89" w:rsidP="00327A89">
      <w:pPr>
        <w:tabs>
          <w:tab w:val="left" w:pos="567"/>
        </w:tabs>
        <w:spacing w:after="240"/>
        <w:ind w:left="567" w:hanging="567"/>
        <w:jc w:val="both"/>
        <w:rPr>
          <w:bCs/>
          <w:iCs/>
        </w:rPr>
      </w:pPr>
      <w:r w:rsidRPr="001B06A3">
        <w:t>1.</w:t>
      </w:r>
      <w:r w:rsidRPr="001B06A3">
        <w:tab/>
        <w:t>uważa, że nadszedł czas, by ponowić zobowiązanie polityczne do uczynienia UE wiarygodnym gwarantem bezpieczeństwa przez wzmocnienie jej gotowości obronnej dzięki wspieraniu ściślejszej współpracy między państwami członkowskimi, ich siłami zbrojnymi i przemysłami; wzywa państwa członkowskie do połączenia wysiłków na rzecz osiągnięcia spójnych, ambitnych i zintegrowanych europejskich ram obrony; podkreśla w tym kontekście, że Komisja i państwa członkowskie powinny przygotować procedury nadzwyczajne dotyczące projektów realizowanych w razie poważnych kryzysów lub wojen, obejmujące szybszy przydział środków publicznych i kapitału prywatnego, co stanowi integralną część zapewniania gotowości oraz zdolności UE do szybkiego i skutecznego reagowania na pojawiające się zagrożenia bezpieczeństwa;</w:t>
      </w:r>
    </w:p>
    <w:p w14:paraId="135BAB91" w14:textId="77777777" w:rsidR="00327A89" w:rsidRPr="001B06A3" w:rsidRDefault="00327A89" w:rsidP="00327A89">
      <w:pPr>
        <w:pStyle w:val="NormalHanging12a"/>
      </w:pPr>
      <w:r w:rsidRPr="001B06A3">
        <w:t>2.</w:t>
      </w:r>
      <w:r w:rsidRPr="001B06A3">
        <w:tab/>
        <w:t xml:space="preserve">z zaniepokojeniem zauważa, że do końca lipca 2025 r. pomimo ambitnych celów planu </w:t>
      </w:r>
      <w:proofErr w:type="spellStart"/>
      <w:r w:rsidRPr="001B06A3">
        <w:t>ReArm</w:t>
      </w:r>
      <w:proofErr w:type="spellEnd"/>
      <w:r w:rsidRPr="001B06A3">
        <w:t xml:space="preserve"> Europe tylko 10 z 27 państw członkowskich wyraźnie ogłosiło, że do 2030 r. zamierza zwiększyć wydatki obronne do co najmniej 3 % PKB; wzywa wszystkie państwa członkowskie, aby sporządziły szczegółową strategiczną wizję wydatków wojskowych do 2030 r., wyraźnie odróżniającą zdolności ściśle obronne od infrastruktury podwójnego zastosowania i obejmującą etapy rozwoju zdolności, wskaźniki zapasów, dane dotyczące udziału MŚP oraz docelowy udział zamówień realizowanych na zasadzie współpracy; zaznacza, że krajowe budżety obronne muszą wyeliminować lukę w zdolnościach, odtworzyć potencjał odstraszający i zapewnić odpowiednie wsparcie na rzecz Ukrainy; podkreśla, że w przyszłych inwestycjach należy priorytetowo traktować współpracę, interoperacyjność i wspólne zamówienia, tak by współpraca na szczeblu UE stała się normą w europejskim sektorze przemysłu obronnego; w związku z tym zaznacza, że plan Gotowość 2030 należy dostosować do konkretnych celów liczbowych określonych w strategii na rzecz europejskiego przemysłu obronnego (EDIS), w szczególności przez zadbanie, aby do 2030 r. co najmniej 40 % sprzętu obronnego podlegało wspólnym zamówieniom, aby do 2030 r. co najmniej 35 % handlu na potrzeby obrony odbywało się wewnątrz UE i aby do 2030 r. co najmniej 50 %, a do 2035 r. co najmniej 60 % zamówień obronnych dotyczyło produktów wytworzonych w UE; wyraża uznanie dla tych państw członkowskich, które konsekwentnie przeznaczają ponad 3 % PKB na obronność; przypomina, że państwa członkowskie powinny regularnie aktualizować swoje cele dotyczące zdolności i doktryny wojenne w reakcji na nowe i pojawiające się zagrożenia;</w:t>
      </w:r>
    </w:p>
    <w:p w14:paraId="3ED18F66" w14:textId="77777777" w:rsidR="00327A89" w:rsidRPr="001B06A3" w:rsidRDefault="00327A89" w:rsidP="00327A89">
      <w:pPr>
        <w:pStyle w:val="NormalHanging12a"/>
        <w:rPr>
          <w:bCs/>
        </w:rPr>
      </w:pPr>
      <w:r w:rsidRPr="001B06A3">
        <w:lastRenderedPageBreak/>
        <w:t>3.</w:t>
      </w:r>
      <w:r w:rsidRPr="001B06A3">
        <w:tab/>
        <w:t>dostrzega poważne pogorszenie się kontekstu bezpieczeństwa UE, skutkujące wzrostem zagrożeń dla jej granic zewnętrznych; w związku z tym wzywa UE i państwa członkowskie, aby przyjęły kompleksowe podejście do obronności i uznały, że bezpieczeństwo wykracza poza zasoby wojskowe i obejmuje również obronę przed zagrożeniami hybrydowymi; zaznacza, że wewnętrzna stabilność polityczna jest warunkiem wstępnym wiarygodnej siły wojskowej oraz że o ile obywatele nie będą ufać instytucjom i demokracji, ogólne bezpieczeństwo i spójność UE pozostaną chwiejne; apeluje o szybką i solidarną mobilizację unijnego wsparcia finansowego, w szczególności dla państw członkowskich najbardziej narażonych na konwencjonalne zagrożenia wojskowe;</w:t>
      </w:r>
    </w:p>
    <w:p w14:paraId="08771EF7" w14:textId="77777777" w:rsidR="00327A89" w:rsidRPr="001B06A3" w:rsidRDefault="00327A89" w:rsidP="00327A89">
      <w:pPr>
        <w:pStyle w:val="NormalHanging12a"/>
      </w:pPr>
      <w:r w:rsidRPr="001B06A3">
        <w:t>4.</w:t>
      </w:r>
      <w:r w:rsidRPr="001B06A3">
        <w:tab/>
        <w:t xml:space="preserve">z zadowoleniem odnotowuje propozycje zawarte w planie </w:t>
      </w:r>
      <w:proofErr w:type="spellStart"/>
      <w:r w:rsidRPr="001B06A3">
        <w:t>ReArm</w:t>
      </w:r>
      <w:proofErr w:type="spellEnd"/>
      <w:r w:rsidRPr="001B06A3">
        <w:t xml:space="preserve"> Europe mające zapewnić państwom członkowskim większą elastyczność budżetową i zachęcić do wzrostu wydatków obronnych w celu wzmocnienia EDTIB; odnotowuje w szczególności, że w ramach instrumentu SAFE o wartości 150 mld EUR przewidziano mechanizm pożyczkowy i że z pożyczek z SAFE skorzysta 19 państw członkowskich; ubolewa jednak, że Komisja oparła ten instrument na art. 122 TFUE, z pominięciem konsultacji z Parlamentem, co uniemożliwia monitorowanie i kontrolę środków finansowych oraz grozi pogłębieniem różnic między państwami członkowskimi; zwraca uwagę na swoją funkcję kontroli budżetowej zgodnie z art. 314 TFUE i w związku z tym zdecydowanie wzywa Komisję, aby powstrzymała się od stosowania art. 122 do innych inicjatyw związanych z przemysłem obronnym lub innych kwestii związanych z finansowaniem obrony w przyszłości; w związku z tym uważa, że projekty w ramach SAFE zdecydowanie powinny odpowiadać priorytetom UE dotyczącym zdolności określonym w białej księdze w sprawie obronności europejskiej, w planie rozwoju zdolności i w Planie działania na rzecz gotowości obronnej do 2030 r.; ubolewa jednak, że zamówienia realizowane przez jedno państwo członkowskie kwalifikują się do wsparcia w ramach SAFE, o ile umowa o udzielenie zamówienia zostanie podpisana nie później niż 30 maja 2026 r., ponieważ nie zachęca to do wspólnych zamówień i defragmentacji rynku i ostatecznie grozi pogłębieniem dysproporcji między państwami członkowskimi; w związku z tym podkreśla, że finansowanie powinno opierać się również na ułatwionym dostępie do kapitału prywatnego, wkładach krajowych, istniejących marginesach budżetowych lub alternatywnych mechanizmach zapewniających odpowiedzialność budżetową; w tym celu wzywa Komisję, aby wspierała wieloletnie zakupy zbiorcze, tak by obniżyć koszty jednostkowe i zmniejszyć fragmentację systemów uzbrojenia obecnie stosowanych w UE;</w:t>
      </w:r>
    </w:p>
    <w:p w14:paraId="5CEB9437" w14:textId="77777777" w:rsidR="00327A89" w:rsidRPr="001B06A3" w:rsidRDefault="00327A89" w:rsidP="00327A89">
      <w:pPr>
        <w:pStyle w:val="NormalHanging12a"/>
      </w:pPr>
      <w:r w:rsidRPr="001B06A3">
        <w:t>5.</w:t>
      </w:r>
      <w:r w:rsidRPr="001B06A3">
        <w:tab/>
      </w:r>
      <w:bookmarkStart w:id="8" w:name="_Hlk210563278"/>
      <w:r w:rsidRPr="001B06A3">
        <w:t xml:space="preserve">zauważa, że europejski ekosystem obronny pozostaje rozdrobniony pod względem przemysłowym, finansowym i administracyjnym; zaznacza, że budżet UE pozostaje skutecznym instrumentem służącym poprawie zintegrowanego planowania, stabilnego długoterminowego finansowania i skutecznego wdrażania w dziedzinie obronności, a tym samym przezwyciężeniu tej fragmentacji; przypomina, że zwiększonym krajowym budżetom obronnym powinna towarzyszyć zwiększona koordynacja i wspólne działania na szczeblu UE; przypomina o znaczeniu zapewnienia szerokiego poparcia dla inwestycji publicznych w obronność, a tym samym o potrzebie sprawiedliwego podziału kosztów; ubolewa nad brakiem silnej klauzuli preferencji unijnej w planie </w:t>
      </w:r>
      <w:proofErr w:type="spellStart"/>
      <w:r w:rsidRPr="001B06A3">
        <w:t>ReArm</w:t>
      </w:r>
      <w:proofErr w:type="spellEnd"/>
      <w:r w:rsidRPr="001B06A3">
        <w:t xml:space="preserve"> Europe, dotyczącej zwłaszcza instrumentu SAFE, która wzmocniłaby EDTIB, stworzyłaby nowe miejsca pracy w UE, zwiększyłaby interoperacyjność i wzajemną zastępowalność produktów obronnych w UE oraz ograniczyłaby zależność od państw spoza UE, a tym samym podniosłaby potencjał odstraszający Europy i poprawiłaby bezpieczeństwo dostaw; zaznacza, że aby instrument SAFE był skuteczny finansowo, </w:t>
      </w:r>
      <w:r w:rsidRPr="001B06A3">
        <w:lastRenderedPageBreak/>
        <w:t>powinien przede wszystkim być narzędziem wspólnych zamówień, utrzymywania i obsługi strategicznych czynników wspomagających, zwłaszcza czynników umożliwiających wywiad, obserwację i rozpoznanie; wzywa Komisję, aby czyniła pełny użytek ze swojej roli, w szczególności za pośrednictwem grupy zadaniowej SAFE, tak by zapewnić zgodność krajowych planów obronnych państw członkowskich z celem SAFE zakładającym wspieranie wspólnych zamówień z myślą o skutecznej eliminacji luk w zdolnościach oraz wykorzystać wszystkie dostępne instrumenty, w tym europejskie projekty wspólnego zainteresowania w dziedzinie obronności i strukturę na rzecz europejskiego programu zbrojeniowego;</w:t>
      </w:r>
      <w:bookmarkEnd w:id="8"/>
    </w:p>
    <w:p w14:paraId="54A1DB72" w14:textId="77777777" w:rsidR="00327A89" w:rsidRPr="001B06A3" w:rsidRDefault="00327A89" w:rsidP="00327A89">
      <w:pPr>
        <w:pStyle w:val="NormalHanging12a"/>
        <w:rPr>
          <w:bCs/>
          <w:iCs/>
        </w:rPr>
      </w:pPr>
      <w:r w:rsidRPr="001B06A3">
        <w:t>6.</w:t>
      </w:r>
      <w:r w:rsidRPr="001B06A3">
        <w:tab/>
        <w:t>zauważa ograniczone i nierównomierne stosowanie krajowej klauzuli wyjścia i odnotowuje, że pomimo takiej elastyczności kilka państw członkowskich nadal boryka się z ograniczeniami w zakresie zdolności fiskalnej przy przestrzeganiu wymagań i skutecznym reagowaniu na wspólne priorytety oraz że inne państwa członkowskie powstrzymały się od ubiegania się o krajową klauzulę wyjścia z obawy przed reakcją rynków finansowych; uznaje, że krajowa klauzula wyjścia jest tymczasowym instrumentem na wypadek sytuacji nadzwyczajnych w poszczególnych krajach, podczas gdy planowanie zrównoważonych inwestycji wymaga długoterminowej przewidywalności; podkreśla, że dla przyciągnięcia inwestycji prywatnych i zapewnienia efektywnego wykorzystania zasobów publicznych w całej UE zasadnicze znaczenie mają przewidywalne warunki fiskalne i regulacyjne; uważa, że w stosownych przypadkach ramy te należy wzmocnić za pomocą instrumentów i narzędzi inwestycyjnych na szczeblu UE mających na celu minimalizację kosztu dla unijnych podatników i maksymalizację skuteczności dostarczania unijnych dóbr publicznych;</w:t>
      </w:r>
    </w:p>
    <w:p w14:paraId="606C799B" w14:textId="77777777" w:rsidR="00327A89" w:rsidRPr="001B06A3" w:rsidRDefault="00327A89" w:rsidP="00327A89">
      <w:pPr>
        <w:pStyle w:val="NormalHanging12a"/>
      </w:pPr>
      <w:r w:rsidRPr="001B06A3">
        <w:t>7.</w:t>
      </w:r>
      <w:r w:rsidRPr="001B06A3">
        <w:tab/>
      </w:r>
      <w:bookmarkStart w:id="9" w:name="_Hlk213505486"/>
      <w:bookmarkStart w:id="10" w:name="_Hlk215478332"/>
      <w:r w:rsidRPr="001B06A3">
        <w:t>z zadowoleniem odnotowuje wnioski Komisji mające na celu uproszczenie, ułatwienie i przyspieszenie zamówień publicznych w dziedzinie obronności; apeluje o wzmocnienie zasady preferencji unijnej, tak aby beneficjenci mogli decydować o określaniu, dostosowywaniu i ewolucji projektów i systemów w całym cyklu eksploatacyjnym i aby komponenty nie były pozyskiwane od państw lub podmiotów spoza UE naruszających interesy UE i jej państw członkowskich dotyczące bezpieczeństwa i obrony;</w:t>
      </w:r>
      <w:bookmarkEnd w:id="9"/>
      <w:r w:rsidRPr="001B06A3">
        <w:t xml:space="preserve"> ponadto apeluje o pełne dostosowanie kryteriów kwalifikowalności w planie </w:t>
      </w:r>
      <w:proofErr w:type="spellStart"/>
      <w:r w:rsidRPr="001B06A3">
        <w:t>ReArm</w:t>
      </w:r>
      <w:proofErr w:type="spellEnd"/>
      <w:r w:rsidRPr="001B06A3">
        <w:t xml:space="preserve"> Europe do kryteriów określonych w programie na rzecz europejskiego przemysłu obronnego (EDIP), aby zmniejszyć fragmentację, zaoszczędzić koszty i zwiększyć efektywność, wspierać interoperacyjność i wzajemną zastępowalność oraz podnieść konkurencyjność EDTIB; zaznacza, że przepisy regulujące udzielanie zamówień i udział w postępowaniach powinny być proporcjonalne i przyjazne dla MŚP, oraz apeluje, by wprowadzić minimalną obowiązkową część projektu z przeznaczeniem na udział MŚP w łańcuchu wartości, co zapewni równy dostęp nie tylko głównym wykonawcom, lecz także start-</w:t>
      </w:r>
      <w:proofErr w:type="spellStart"/>
      <w:r w:rsidRPr="001B06A3">
        <w:t>upom</w:t>
      </w:r>
      <w:proofErr w:type="spellEnd"/>
      <w:r w:rsidRPr="001B06A3">
        <w:t xml:space="preserve"> i mniejszym dostawcom oraz pozwoli uniknąć obciążeń administracyjnych, które zniechęcają MŚP do udziału; ponadto wzywa do wzmocnienia odporności europejskich łańcuchów dostaw poprzez promowanie wspólnych standardów i łańcuchów dostaw opartych na wielu dostawcach, które zmniejszają krytyczne zależności; uznaje, że potrzebna jest ścisła współpraca transatlantycka jako fundament europejskiej obronności, jednak z zaniepokojeniem odnotowuje ogłoszenie znacznego wzrostu zamówień na produkty obronne ze Stanów Zjednoczonych, gdyż będzie to sprzeczne z ambicjami określonymi w EDIS i powoduje niepewność inwestycji w EDTIB; apeluje o transatlantycką współpracę przemysłową w dziedzinie obronności opartą na zasadzie równych warunków działania, która przyniesie korzyści obu stronom; podkreśla, że udział w programach obronnych UE musi być w pełni zgodny z podstawowymi wartościami UE, interesami bezpieczeństwa i celami wspólnej </w:t>
      </w:r>
      <w:r w:rsidRPr="001B06A3">
        <w:lastRenderedPageBreak/>
        <w:t>polityki zagranicznej i bezpieczeństwa (</w:t>
      </w:r>
      <w:proofErr w:type="spellStart"/>
      <w:r w:rsidRPr="001B06A3">
        <w:t>WPZiB</w:t>
      </w:r>
      <w:proofErr w:type="spellEnd"/>
      <w:r w:rsidRPr="001B06A3">
        <w:t>) oraz wspólnej polityki bezpieczeństwa i obrony (</w:t>
      </w:r>
      <w:proofErr w:type="spellStart"/>
      <w:r w:rsidRPr="001B06A3">
        <w:t>WPBiO</w:t>
      </w:r>
      <w:proofErr w:type="spellEnd"/>
      <w:r w:rsidRPr="001B06A3">
        <w:t>);</w:t>
      </w:r>
    </w:p>
    <w:p w14:paraId="3C821D4E" w14:textId="77777777" w:rsidR="00327A89" w:rsidRPr="001B06A3" w:rsidRDefault="00327A89" w:rsidP="00327A89">
      <w:pPr>
        <w:pStyle w:val="Normal12a24b"/>
        <w:ind w:left="567" w:hanging="567"/>
      </w:pPr>
      <w:r w:rsidRPr="001B06A3">
        <w:t>8.</w:t>
      </w:r>
      <w:r w:rsidRPr="001B06A3">
        <w:tab/>
        <w:t xml:space="preserve">podkreśla, że przemysł obronny UE potrzebuje przewidywalnego, wieloletniego popytu i wspólnych wymagań, aby zapewnić szybkość, skalę i wartość; zaznacza, że interoperacyjność i standaryzacja muszą być od samego początku uwzględnione w zamówieniach publicznych i inwestycjach w dziedzinie obronności w UE poprzez wspólne testy i certyfikację oraz transgraniczną akceptację, aby ograniczyć rozprzestrzenianie się wariantów i fragmentację rynku, zgodnie z raportami </w:t>
      </w:r>
      <w:proofErr w:type="spellStart"/>
      <w:r w:rsidRPr="001B06A3">
        <w:t>Draghiego</w:t>
      </w:r>
      <w:proofErr w:type="spellEnd"/>
      <w:r w:rsidRPr="001B06A3">
        <w:t xml:space="preserve">, </w:t>
      </w:r>
      <w:proofErr w:type="spellStart"/>
      <w:r w:rsidRPr="001B06A3">
        <w:t>Letty</w:t>
      </w:r>
      <w:proofErr w:type="spellEnd"/>
      <w:r w:rsidRPr="001B06A3">
        <w:t xml:space="preserve"> i </w:t>
      </w:r>
      <w:proofErr w:type="spellStart"/>
      <w:r w:rsidRPr="001B06A3">
        <w:t>Niinistö</w:t>
      </w:r>
      <w:proofErr w:type="spellEnd"/>
      <w:r w:rsidRPr="001B06A3">
        <w:t>; zachęca państwa członkowskie, aby uzupełniły swoje zobowiązania budżetowe przejrzystymi średnioterminowymi prognozami inwestycji w obronność, obejmującymi cele w zakresie zdolności, harmonogramy zamówień i udział wydatków przeznaczonych na programy współpracy; zwraca się do EDA o zestawienie tych krajowych prognoz w corocznym przeglądzie porównawczym, aby ułatwić koordynację i wskazać możliwości realizacji wspólnych projektów;</w:t>
      </w:r>
    </w:p>
    <w:p w14:paraId="66AB05B0" w14:textId="77777777" w:rsidR="00327A89" w:rsidRPr="001B06A3" w:rsidRDefault="00327A89" w:rsidP="00327A89">
      <w:pPr>
        <w:pStyle w:val="Normal6a"/>
        <w:ind w:left="567" w:hanging="567"/>
      </w:pPr>
      <w:r w:rsidRPr="001B06A3">
        <w:t>9.</w:t>
      </w:r>
      <w:r w:rsidRPr="001B06A3">
        <w:tab/>
        <w:t xml:space="preserve">zaznacza, że należy wzmocnić EDTIB przez agregację popytu, uproszczenie i harmonizację przepisów oraz wspieranie otwartej i uczciwej konkurencji między przemysłami europejskimi, co zwiększy opłacalność i konkurencyjność europejskiego przemysłu obronnego oraz poprawi dostęp do sprzętu obronnego w całej UE; ubolewa na brakiem kompleksowych danych dotyczących unijnych zamówień na sprzęt realizowanych na zasadzie współpracy, co uniemożliwia kompleksową analizę tego rodzaju zamówień na sprzęt obronny i odpowiednią ocenę stanu obronności w UE w tym obszarze; apeluje do Komisji i Rady, aby zaradziła utrzymującym się przeszkodom w wewnątrzunijnym handlu produktami obronnymi, w tym barierom w licencjonowaniu i certyfikacji, oraz wzywa </w:t>
      </w:r>
      <w:proofErr w:type="spellStart"/>
      <w:r w:rsidRPr="001B06A3">
        <w:t>współprawodawców</w:t>
      </w:r>
      <w:proofErr w:type="spellEnd"/>
      <w:r w:rsidRPr="001B06A3">
        <w:t xml:space="preserve"> do priorytetowego potraktowania przyjęcia i skutecznego wdrożenia wniosku Komisji w sprawie pakietu zbiorczego w dziedzinie obronności w celu usprawnienia transferów i zamówień w całej UE, aby wspierać bardziej odporną i konkurencyjną EDTIB;</w:t>
      </w:r>
    </w:p>
    <w:p w14:paraId="4A060E4C" w14:textId="77777777" w:rsidR="00327A89" w:rsidRPr="001B06A3" w:rsidRDefault="00327A89" w:rsidP="00327A89">
      <w:pPr>
        <w:pStyle w:val="Normal12a24b"/>
        <w:tabs>
          <w:tab w:val="left" w:pos="567"/>
        </w:tabs>
        <w:ind w:left="567" w:hanging="567"/>
      </w:pPr>
      <w:r w:rsidRPr="001B06A3">
        <w:t>10.</w:t>
      </w:r>
      <w:r w:rsidRPr="001B06A3">
        <w:tab/>
        <w:t>podkreśla, że należy wzmocnić synergię z cywilnymi programami innowacyjnymi, takimi jak „Horyzont Europa” i Europejska Rada ds. Innowacji, aby zmaksymalizować wpływ i uniknąć powielania działań; zaznacza jednocześnie, że postępowi technologicznemu muszą towarzyszyć niezbędne zdolności ludzkie; z zaniepokojeniem odnotowuje, że w 2024 r. liczebność czynnego personelu wzrosła tylko marginalnie, i ostrzega, że rosnące inwestycje bez równoległych wysiłków na rzecz rekrutacji i zatrzymywania pracowników grożą powstaniem luk w zdolności do eksploatacji i konserwacji nowego sprzętu; wzywa państwa członkowskie, aby priorytetowo traktowały politykę rekrutacji i zatrzymywania pracowników w sektorze obronności, w tym programy wymiany i szkoleń wspierane przez UE, tak by zapewnić przełożenie zwiększonych wydatków na rzeczywistą gotowość operacyjną;</w:t>
      </w:r>
    </w:p>
    <w:p w14:paraId="655F5FE2" w14:textId="77777777" w:rsidR="00327A89" w:rsidRPr="001B06A3" w:rsidRDefault="00327A89" w:rsidP="00327A89">
      <w:pPr>
        <w:pStyle w:val="Normal12a24b"/>
      </w:pPr>
      <w:r w:rsidRPr="001B06A3">
        <w:rPr>
          <w:rStyle w:val="Italic"/>
        </w:rPr>
        <w:t>Dostosowanie unijnego budżetu i unijnych narzędzi finansowania do wyzwań w zakresie bezpieczeństwa i do potrzeb przedsiębiorstw</w:t>
      </w:r>
    </w:p>
    <w:p w14:paraId="16EE5EFC" w14:textId="77777777" w:rsidR="00327A89" w:rsidRPr="001B06A3" w:rsidRDefault="00327A89" w:rsidP="00327A89">
      <w:pPr>
        <w:pStyle w:val="NormalHanging12a"/>
      </w:pPr>
      <w:r w:rsidRPr="001B06A3">
        <w:t>11.</w:t>
      </w:r>
      <w:r w:rsidRPr="001B06A3">
        <w:tab/>
        <w:t xml:space="preserve">ponownie apeluje do Komisji o zbadanie wszystkich możliwości wspierania inwestycji państw członkowskich w obronność oraz maksymalizację synergii w istniejących mechanizmach w celu wspierania gotowości obronnej UE; ponownie apeluje o zadbanie, by następne WRF wspierały kompleksowe podejście do bezpieczeństwa dzięki odpowiednim i skoordynowanym inwestycjom; z zadowoleniem odnotowuje </w:t>
      </w:r>
      <w:r w:rsidRPr="001B06A3">
        <w:lastRenderedPageBreak/>
        <w:t>konsolidację środków na obronność zaproponowaną w WRF na lata 2028–2034; ubolewa jednak, że we wniosku dotyczącym WRF na lata 2028–2034 Komisja nie przedstawiła wystarczająco szczegółowego podziału tych środków; przypomina, że szczegółowy podział budżetu jest niezbędny, by umożliwić władzy budżetowej podejmowanie konstruktywnych i świadomych decyzji; podkreśla, że odpowiednie inwestycje na szczeblu UE w dziedzinie obronności w następnych WRF, oparte na przejrzystym zarządzaniu, mogą ograniczyć powielanie działań, zapewnić korzyści skali i zwiększyć interoperacyjność; przypomina o szczególnym charakterze sektora obronnego i wyraża opinię, że w następnych WRF należy zachować wszystkie kryteria i procedury instrumentów finansowania europejskiego przemysłu obronnego, w szczególności kryteria dotyczące Europejskiego Funduszu Obronnego i EDIP;</w:t>
      </w:r>
    </w:p>
    <w:p w14:paraId="51BEA304" w14:textId="77777777" w:rsidR="00327A89" w:rsidRPr="001B06A3" w:rsidRDefault="00327A89" w:rsidP="00327A89">
      <w:pPr>
        <w:pStyle w:val="Normal6a"/>
        <w:tabs>
          <w:tab w:val="left" w:pos="567"/>
        </w:tabs>
        <w:spacing w:after="240"/>
        <w:ind w:left="567" w:hanging="567"/>
      </w:pPr>
      <w:r w:rsidRPr="001B06A3">
        <w:t>12.</w:t>
      </w:r>
      <w:r w:rsidRPr="001B06A3">
        <w:tab/>
        <w:t>w związku z tym jest zdania, że należy zbadać wszystkie możliwości wspierania inwestycji państw członkowskich w obronność, w szczególności za pomocą istniejących mechanizmów, bez zwiększania wkładów krajowych i ogólnego obciążenia podatkowego obywateli; zaznacza, że takie instrumenty nie mogą opierać się wyłącznie na udzielaniu pożyczek gwarantowanych przez UE, na przykład za pośrednictwem SAFE;</w:t>
      </w:r>
    </w:p>
    <w:p w14:paraId="1980B682" w14:textId="77777777" w:rsidR="00327A89" w:rsidRPr="001B06A3" w:rsidRDefault="00327A89" w:rsidP="00327A89">
      <w:pPr>
        <w:tabs>
          <w:tab w:val="left" w:pos="567"/>
        </w:tabs>
        <w:spacing w:after="240"/>
        <w:ind w:left="567" w:hanging="567"/>
        <w:jc w:val="both"/>
      </w:pPr>
      <w:r w:rsidRPr="001B06A3">
        <w:t>13.</w:t>
      </w:r>
      <w:r w:rsidRPr="001B06A3">
        <w:tab/>
        <w:t xml:space="preserve">zaznacza, że finansowanie unijne powinno uzupełniać, a nie zastępować wysiłki państw członkowskich na rzecz zwiększenia krajowych wydatków obronnych; podkreśla, że instrumenty UE powinny wnosić wartość dodaną dzięki wspieraniu współpracy, interoperacyjności i skuteczności, przy czym planowanie i wymogi dotyczące zdolności muszą mieścić się w odpowiednich ramach instytucjonalnych; przypomina, że aby zaspokoić pilne potrzeby </w:t>
      </w:r>
      <w:proofErr w:type="spellStart"/>
      <w:r w:rsidRPr="001B06A3">
        <w:t>WPBiO</w:t>
      </w:r>
      <w:proofErr w:type="spellEnd"/>
      <w:r w:rsidRPr="001B06A3">
        <w:t>, należy zagwarantować dodatkowe zasoby na priorytety obronne; w związku z tym ponownie apeluje do Komisji i Rady o zadbanie, by UE była zdolna do pokrywania ogólnych wyższych potrzebnych wydatków, w tym przez ustanowienie nowych zasobów własnych;</w:t>
      </w:r>
    </w:p>
    <w:p w14:paraId="79E65BD6" w14:textId="77777777" w:rsidR="00327A89" w:rsidRPr="001B06A3" w:rsidRDefault="00327A89" w:rsidP="00327A89">
      <w:pPr>
        <w:pStyle w:val="NormalHanging12a"/>
      </w:pPr>
      <w:r w:rsidRPr="001B06A3">
        <w:t>14.</w:t>
      </w:r>
      <w:r w:rsidRPr="001B06A3">
        <w:tab/>
        <w:t xml:space="preserve">przypomina, że celem EBI jest wspieranie integracji UE, promowanie rozwoju UE i wspieranie polityk UE zgodnie z art. 309 TFUE; z zadowoleniem przyjmuje proaktywne podejście EBI do zwiększenia finansowania europejskiego bezpieczeństwa i obrony; zauważa jednak, że jego polityka inwestycyjna nadal wyklucza „broń i amunicję”, a jego interwencje dotychczas byłe niewystarczające, jeśli chodzi o szybkość, gotowość do podejmowania ryzyka i skalę, przez co nie mogły zaspokoić pilnych potrzeb w zakresie gotowości obronnej; odnotowuje postępy w poszerzaniu kryteriów, ale uważa, że są one nadal niewystarczające do realizacji celów gotowości obronnej do 2030 r. wskazanych przez podmioty przemysłowe za pośrednictwem badań i konsultacji publicznych; z myślą o spójności z planem </w:t>
      </w:r>
      <w:proofErr w:type="spellStart"/>
      <w:r w:rsidRPr="001B06A3">
        <w:t>ReArm</w:t>
      </w:r>
      <w:proofErr w:type="spellEnd"/>
      <w:r w:rsidRPr="001B06A3">
        <w:t xml:space="preserve"> Europe wzywa państwa członkowskie, jako organ zarządzający EBI, aby dostosowały mandat EBI w celu zwiększenia jego zdolności do wspierania europejskiego przemysłu obronnego oraz zmieniły wytyczne inwestycyjne, tak by umożliwić finansowanie uzasadnionych projektów związanych z bronią i amunicją zgodnych z prawem międzynarodowym i interesami bezpieczeństwa UE; wzywa grupę EBI, aby zwiększyła gotowość do podejmowania ryzyka i ambicje w celu przyciągnięcia inwestycji; ostrzega jednak, że wszelkie dostosowania kryteriów kwalifikowalności lub finansowania grupy EBI w celu dopasowania ich do nowych priorytetów muszą chronić sytuację finansową grupy i zapewniać skuteczne finansowanie innych strategicznych priorytetów UE; wzywa EBI, aby przeprowadził i przedstawił Parlamentowi dogłębną ocenę ilościową swojej polityki inwestycyjnej dotyczącej obronności, bez uszczerbku – w stosownych przypadkach – dla zawartych z inwestorami umów dotyczących poufności;</w:t>
      </w:r>
    </w:p>
    <w:p w14:paraId="155E0CF1" w14:textId="77777777" w:rsidR="00327A89" w:rsidRPr="001B06A3" w:rsidRDefault="00327A89" w:rsidP="00327A89">
      <w:pPr>
        <w:pStyle w:val="NormalHanging12a"/>
        <w:rPr>
          <w:bCs/>
          <w:iCs/>
        </w:rPr>
      </w:pPr>
      <w:r w:rsidRPr="001B06A3">
        <w:lastRenderedPageBreak/>
        <w:t>15.</w:t>
      </w:r>
      <w:r w:rsidRPr="001B06A3">
        <w:tab/>
        <w:t>sugeruje, aby EBI nieustannie analizował i oceniał swoją rolę oraz zakres kwalifikujących się inwestycji w świetle pilnej potrzeby zwiększenia potencjału europejskiego sektora obronnego oraz zapewnienia długoterminowego bezpieczeństwa i strategicznej autonomii; sugeruje formalne rozszerzenie mandatu EBI o wsparcie na rzecz EDTIB za pośrednictwem specjalnej jednostki zależnej wspieranej gwarancjami Komisji i wspomaganej przez sieć ekspertów; uważa, że taka struktura byłaby skuteczniejszym rozwiązaniem niż utworzenie nowego banku obrony, bezpieczeństwa i odporności;</w:t>
      </w:r>
    </w:p>
    <w:p w14:paraId="5423381D" w14:textId="77777777" w:rsidR="00327A89" w:rsidRPr="001B06A3" w:rsidRDefault="00327A89" w:rsidP="00327A89">
      <w:pPr>
        <w:pStyle w:val="NormalHanging12a"/>
      </w:pPr>
      <w:r w:rsidRPr="001B06A3">
        <w:t>16.</w:t>
      </w:r>
      <w:r w:rsidRPr="001B06A3">
        <w:tab/>
        <w:t>zaznacza, że istotna jest poprawa dostępności i spójności unijnych funduszy wsparcia inwestycyjnego dla przedsiębiorstw będących częścią EDTIB, w szczególności dla start-</w:t>
      </w:r>
      <w:proofErr w:type="spellStart"/>
      <w:r w:rsidRPr="001B06A3">
        <w:t>upów</w:t>
      </w:r>
      <w:proofErr w:type="spellEnd"/>
      <w:r w:rsidRPr="001B06A3">
        <w:t xml:space="preserve"> i MŚP, przez stopniowe modyfikowanie i dostosowywanie kryteriów kwalifikowalności odpowiednio do ambicji określonych w EDIS i EDIP, uproszczenie procedur składania wniosków i harmonizację celów programów prac; podkreśla znaczenie dostosowania harmonogramów i wymogów takich funduszy do różnych cykli innowacyjnych i tempa rozwoju różnych rodzajów zdolności; zwraca się do państw członkowskich i regionów o wzmocnienie roli izb handlowych i przemysłowych we wspieraniu MŚP będących częścią EDTIB, jeśli chodzi o badania naukowe i dostęp do finansowania unijnego;</w:t>
      </w:r>
    </w:p>
    <w:p w14:paraId="662CA413" w14:textId="77777777" w:rsidR="00327A89" w:rsidRPr="001B06A3" w:rsidRDefault="00327A89" w:rsidP="00327A89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1B06A3">
        <w:t>17.</w:t>
      </w:r>
      <w:r w:rsidRPr="001B06A3">
        <w:tab/>
        <w:t>wzywa Komisję do przedstawienia jasnych wytycznych i wzorów dotyczących nowych umów, koordynacji i współrealizacji przez konkurentów w sektorze obronnym, aby ułatwić przedsiębiorstwom będącym częścią EDTIB większe inwestycje w badania i rozwój;</w:t>
      </w:r>
    </w:p>
    <w:p w14:paraId="599F4A30" w14:textId="77777777" w:rsidR="00327A89" w:rsidRPr="001B06A3" w:rsidRDefault="00327A89" w:rsidP="00327A89">
      <w:pPr>
        <w:widowControl/>
        <w:spacing w:after="240"/>
        <w:ind w:left="567" w:hanging="567"/>
      </w:pPr>
      <w:r w:rsidRPr="001B06A3">
        <w:t>18.</w:t>
      </w:r>
      <w:r w:rsidRPr="001B06A3">
        <w:tab/>
        <w:t xml:space="preserve">apeluje o opracowanie instrumentu wspierającego publiczne i prywatne inwestycje w obronność w oparciu o gwarancje z budżetu UE, wzorowanego na przykładzie </w:t>
      </w:r>
      <w:proofErr w:type="spellStart"/>
      <w:r w:rsidRPr="001B06A3">
        <w:t>InvestEU</w:t>
      </w:r>
      <w:proofErr w:type="spellEnd"/>
      <w:r w:rsidRPr="001B06A3">
        <w:t xml:space="preserve">; z zadowoleniem odnotowuje, w perspektywie krótkoterminowej, wniosek Komisji dotyczący aktu delegowanego w sprawie wytycznych inwestycyjnych Funduszu </w:t>
      </w:r>
      <w:proofErr w:type="spellStart"/>
      <w:r w:rsidRPr="001B06A3">
        <w:t>InvestEU</w:t>
      </w:r>
      <w:proofErr w:type="spellEnd"/>
      <w:r w:rsidRPr="001B06A3">
        <w:t xml:space="preserve"> dotyczących inwestycji strategicznych w dziedzinie obronności</w:t>
      </w:r>
      <w:r w:rsidRPr="001B06A3">
        <w:rPr>
          <w:rStyle w:val="FootnoteReference"/>
          <w:bCs/>
          <w:iCs/>
        </w:rPr>
        <w:footnoteReference w:id="7"/>
      </w:r>
      <w:r w:rsidRPr="001B06A3">
        <w:t>, w którym zaapelowano, by usunąć niepotrzebne obciążenia administracyjne związane z wykorzystywaniem gwarancji budżetowych i instrumentów finansowych do wspierania inwestycji w dziedzinie obronności, oferując w ten sposób dodatkowe uproszczenie przy jednoczesnym poszanowaniu potrzeby ochrony bezpieczeństwa UE i państw członkowskich; uważa, że łącznie środki te zapewniłyby zarówno szybką mobilizację finansowania, jak i ustanowienie stabilnych i skalowalnych ram inwestycyjnych dla europejskiego przemysłu obronnego;</w:t>
      </w:r>
    </w:p>
    <w:p w14:paraId="4EEDF2BF" w14:textId="77777777" w:rsidR="00327A89" w:rsidRPr="001B06A3" w:rsidRDefault="00327A89" w:rsidP="00327A89">
      <w:pPr>
        <w:pStyle w:val="Normal12a24b"/>
        <w:tabs>
          <w:tab w:val="left" w:pos="567"/>
        </w:tabs>
        <w:ind w:left="567" w:hanging="567"/>
      </w:pPr>
      <w:r w:rsidRPr="001B06A3">
        <w:t>19.</w:t>
      </w:r>
      <w:r w:rsidRPr="001B06A3">
        <w:tab/>
        <w:t xml:space="preserve">uważa, że przeznaczenie środków bankowych na pożyczki, gwarancje oraz wysokiej jakości portfele płynnościowe jest niezbędne do zapewnienia długich terminów zapadalności w zakresie wydatków na obronność, które zapewnią przewidywalność i stabilność; ponownie podkreśla, że przyspieszenie utworzenia unii oszczędności i inwestycji pomogłoby zmobilizować kapitał prywatny i poprawić dostęp do </w:t>
      </w:r>
      <w:r w:rsidRPr="001B06A3">
        <w:lastRenderedPageBreak/>
        <w:t>finansowania;</w:t>
      </w:r>
    </w:p>
    <w:p w14:paraId="19866507" w14:textId="77777777" w:rsidR="00327A89" w:rsidRPr="001B06A3" w:rsidRDefault="00327A89" w:rsidP="00327A89">
      <w:pPr>
        <w:pStyle w:val="Normal12a24b"/>
        <w:rPr>
          <w:i/>
          <w:iCs/>
        </w:rPr>
      </w:pPr>
      <w:r w:rsidRPr="001B06A3">
        <w:rPr>
          <w:rStyle w:val="Bold"/>
          <w:i/>
        </w:rPr>
        <w:t>Usunięcie czynników hamujących inwestycje prywatne w obronność</w:t>
      </w:r>
    </w:p>
    <w:p w14:paraId="53DE76A3" w14:textId="77777777" w:rsidR="00327A89" w:rsidRPr="001B06A3" w:rsidRDefault="00327A89" w:rsidP="00327A89">
      <w:pPr>
        <w:pStyle w:val="Normal12a24b"/>
      </w:pPr>
      <w:r w:rsidRPr="001B06A3">
        <w:rPr>
          <w:rStyle w:val="Italic"/>
        </w:rPr>
        <w:t>Uproszczenie dostępu przedsiębiorstw będących częścią EDTIB do finansowania krótkoterminowego</w:t>
      </w:r>
    </w:p>
    <w:p w14:paraId="187A34CB" w14:textId="77777777" w:rsidR="00327A89" w:rsidRPr="001B06A3" w:rsidRDefault="00327A89" w:rsidP="00327A89">
      <w:pPr>
        <w:pStyle w:val="NormalHanging12a"/>
      </w:pPr>
      <w:r w:rsidRPr="001B06A3">
        <w:t>20.</w:t>
      </w:r>
      <w:r w:rsidRPr="001B06A3">
        <w:tab/>
        <w:t>wzywa Unijne Centrum Monitorowania Płatności, aby przeprowadziło badanie dotyczące przestrzegania terminów płatności w EDTIB w porównaniu z resztą tego sektora oraz sporządziło ranking przedsiębiorstw najbardziej rygorystycznych w tym zakresie;</w:t>
      </w:r>
    </w:p>
    <w:p w14:paraId="2348009A" w14:textId="77777777" w:rsidR="00327A89" w:rsidRPr="001B06A3" w:rsidRDefault="00327A89" w:rsidP="00327A89">
      <w:pPr>
        <w:pStyle w:val="NormalHanging12a"/>
      </w:pPr>
      <w:r w:rsidRPr="001B06A3">
        <w:t>21.</w:t>
      </w:r>
      <w:r w:rsidRPr="001B06A3">
        <w:tab/>
        <w:t>apeluje do EBI, aby przy wsparciu państw członkowskich osiągnął kwotę 4 mld EUR na pożyczki krótkoterminowe, z gwarancjami ryzyka w wysokości do 50 %, a także apeluje o złagodzenie i uproszczenie kryteriów zaangażowania EBI w dziedzinie obronności oraz rozszerzenie kwalifikowalności na podwykonawców pośrednich;</w:t>
      </w:r>
    </w:p>
    <w:p w14:paraId="1C4BD7E8" w14:textId="77777777" w:rsidR="00327A89" w:rsidRPr="001B06A3" w:rsidRDefault="00327A89" w:rsidP="00327A89">
      <w:pPr>
        <w:pStyle w:val="Normal12a24b"/>
      </w:pPr>
      <w:r w:rsidRPr="001B06A3">
        <w:rPr>
          <w:rStyle w:val="Italic"/>
        </w:rPr>
        <w:t>Zwiększenie zdolności inwestorów prywatnych do finansowania obrony przez zapewnienie zgodności z zasadami zrównoważonego finansowania</w:t>
      </w:r>
    </w:p>
    <w:p w14:paraId="24A6AF75" w14:textId="77777777" w:rsidR="00327A89" w:rsidRPr="001B06A3" w:rsidRDefault="00327A89" w:rsidP="00327A89">
      <w:pPr>
        <w:pStyle w:val="NormalHanging12a"/>
      </w:pPr>
      <w:r w:rsidRPr="001B06A3">
        <w:t>22.</w:t>
      </w:r>
      <w:r w:rsidRPr="001B06A3">
        <w:tab/>
        <w:t>zauważa, że pomimo wysiłków podejmowanych od początku wojny w Ukrainie wielu inwestorów nadal niechętnie finansuje obronę, w tym z powodu niepewności co do stosowania norm dotyczących ochrony środowiska, polityki społecznej i ładu korporacyjnego, a EDTIB pozostaje dyskryminowana na rynkach finansowych ze względu na błędnie postrzegane ryzyko wizerunkowe; przypomina, że wiele technologii obronnych ma podwójne zastosowanie i w związku z tym przynosi znaczące efekty zewnętrzne dla innowacji cywilnych i szerzej pojętej gospodarki UE; podkreśla potrzebę przeciwdziałania utrzymującym się negatywnym opiniom na temat finansowania sektora obronnego, zwłaszcza w sektorze bankowym; apeluje do Komisji i państw członkowskich, aby ulepszyły informowanie i podnoszenie świadomości w odniesieniu do finansowania EDTIB, tak aby umożliwić podmiotom finansowym doskonalenie umiejętności w zakresie analizy i obsługi finansowania związanego z obronnością; apeluje do Komisji, aby ulepszyła informowanie i podnoszenie świadomości w odniesieniu do finansowania EDTIB;</w:t>
      </w:r>
    </w:p>
    <w:p w14:paraId="29A5DC9E" w14:textId="5A1D9CA8" w:rsidR="00327A89" w:rsidRPr="001B06A3" w:rsidRDefault="00327A89" w:rsidP="00327A89">
      <w:pPr>
        <w:pStyle w:val="NormalHanging12a"/>
      </w:pPr>
      <w:r w:rsidRPr="001B06A3">
        <w:t>23.</w:t>
      </w:r>
      <w:r w:rsidRPr="001B06A3">
        <w:tab/>
        <w:t xml:space="preserve">uznaje rozporządzenie delegowane Komisji </w:t>
      </w:r>
      <w:r w:rsidR="00C85EAB">
        <w:t xml:space="preserve">(UE) 2025/1775 </w:t>
      </w:r>
      <w:r w:rsidRPr="001B06A3">
        <w:t xml:space="preserve">z </w:t>
      </w:r>
      <w:r w:rsidR="00C85EAB">
        <w:t>dnia 28 sierpnia</w:t>
      </w:r>
      <w:r w:rsidRPr="001B06A3">
        <w:t xml:space="preserve"> 2025 r. zmieniające rozporządzenie delegowane (UE) 2020/1818 w odniesieniu do definicji broni zakazanej</w:t>
      </w:r>
      <w:r w:rsidRPr="001B06A3">
        <w:rPr>
          <w:rStyle w:val="FootnoteReference"/>
        </w:rPr>
        <w:footnoteReference w:id="8"/>
      </w:r>
      <w:r w:rsidRPr="001B06A3">
        <w:t xml:space="preserve">, w którym pojęcie „broni kontrowersyjnej” zastąpiono pojęciem „broni zakazanej” i które przyjęto w ramach pakietu zbiorczego dotyczącego gotowości obronnej; podkreśla, że definicja ta ogranicza się do broni wyraźnie zakazanej przez wiążące konwencje międzynarodowe; z zadowoleniem odnotowuje doprecyzowania prawne zawarte w pakiecie zbiorczym dotyczącym gotowości obronnej i uznaje ich znaczenie dla realizacji celów UE w zakresie finansowania obronności; apeluje do prywatnych podmiotów finansowych, aby ograniczyły stosowane przez siebie wykluczenia do tego skonsolidowanego wykazu i opublikowały swoją politykę inwestycyjną; proponuje, aby ponownie indywidualnie rozpatrzyć objęcie </w:t>
      </w:r>
      <w:r w:rsidRPr="001B06A3">
        <w:lastRenderedPageBreak/>
        <w:t>finansowaniem unijnym podmiotów, których polityka inwestycyjna nie uwzględnia tego wykluczenia;</w:t>
      </w:r>
    </w:p>
    <w:p w14:paraId="5B0D6D51" w14:textId="77777777" w:rsidR="00327A89" w:rsidRPr="001B06A3" w:rsidRDefault="00327A89" w:rsidP="00327A89">
      <w:pPr>
        <w:pStyle w:val="NormalHanging12a"/>
      </w:pPr>
      <w:r w:rsidRPr="001B06A3">
        <w:t>24.</w:t>
      </w:r>
      <w:r w:rsidRPr="001B06A3">
        <w:tab/>
        <w:t>przypomina, że unijne ramy zrównoważonego finansowania mają na celu ukierunkowanie przepływów kapitału na zrównoważoną działalność bez ograniczania finansowania sektora obronnego, co Komisja potwierdziła w zawiadomieniu z 18 sierpnia 2025 r., zgodnie z którym wyłączenie działalności związanej z obronnością z systematyki UE nie uniemożliwia inwestorom prywatnym ani publicznym inwestowania w sektor obronny; wzywa Komisję do publicznego i jednoznacznego potwierdzenia, że zielona systematyka unijna nie zakazuje ani nie ogranicza inwestycji w obronę ani też do nich nie zniechęca; zaznacza, że obrona i bezpieczeństwo są warunkami wstępnymi zrównoważonego rozwoju;</w:t>
      </w:r>
    </w:p>
    <w:p w14:paraId="2D27A70D" w14:textId="77777777" w:rsidR="00327A89" w:rsidRPr="001B06A3" w:rsidRDefault="00327A89" w:rsidP="00327A89">
      <w:pPr>
        <w:pStyle w:val="Normal12a24b"/>
      </w:pPr>
      <w:r w:rsidRPr="001B06A3">
        <w:rPr>
          <w:rStyle w:val="Italic"/>
        </w:rPr>
        <w:t>Otwarcie możliwości wyjścia na rynki finansowe w przypadku aktywów obronnych przez mobilizację kapitału prywatnego</w:t>
      </w:r>
    </w:p>
    <w:p w14:paraId="65406367" w14:textId="77777777" w:rsidR="00327A89" w:rsidRPr="001B06A3" w:rsidRDefault="00327A89" w:rsidP="00327A89">
      <w:pPr>
        <w:pStyle w:val="NormalHanging12a"/>
      </w:pPr>
      <w:r w:rsidRPr="001B06A3">
        <w:t>25.</w:t>
      </w:r>
      <w:r w:rsidRPr="001B06A3">
        <w:tab/>
      </w:r>
      <w:bookmarkStart w:id="12" w:name="_Hlk215501491"/>
      <w:r w:rsidRPr="001B06A3">
        <w:t>uważa, że zasadnicze znaczenie ma wspieranie europejskiego rynku wyspecjalizowanych inwestorów oferujących ciągłość finansowania (kredyty, dług prywatny i kapitał własny) na rzecz przedsiębiorstw, zwłaszcza start-</w:t>
      </w:r>
      <w:proofErr w:type="spellStart"/>
      <w:r w:rsidRPr="001B06A3">
        <w:t>upów</w:t>
      </w:r>
      <w:proofErr w:type="spellEnd"/>
      <w:r w:rsidRPr="001B06A3">
        <w:t>, MŚP i spółek o średniej kapitalizacji, będących częścią EDTIB i ukraińskiej bazy technologiczno-przemysłowej sektora obronnego (DTIB)</w:t>
      </w:r>
      <w:bookmarkEnd w:id="12"/>
      <w:r w:rsidRPr="001B06A3">
        <w:t>; z zadowoleniem odnotowuje inicjatywę Komisji i EBI dotyczącą ustanowienia instrumentu kapitałowego w dziedzinie obronności o wartości 175 mln EUR na lata 2024–2027; uważa jednak ten fundusz za całkowicie niewystarczający w świetle potrzeb finansowych i wzywa EBI do spełnienia woli państw członkowskich, powtórzonej w konkluzjach Rady, poprzez zwiększenie tego budżetu do 1 mld EUR, aby lepiej zaspokoić potrzeby kapitałowe europejskiej bazy technologiczno-przemysłowej sektora obronnego i jej łańcucha wartości, ze szczególnym uwzględnieniem mniejszych podmiotów, borykających się z największą luką w finansowaniu; zachęca EBI do rozszerzenia tego instrumentu na ukraińską DTIB oraz do zaprojektowania go w taki sposób, aby sprzyjał on partnerstwom i wspólnym przedsięwzięciom między przedsiębiorstwami będącymi częścią EDTIB i ukraińskiej DTIB;</w:t>
      </w:r>
    </w:p>
    <w:p w14:paraId="723263C5" w14:textId="77777777" w:rsidR="00327A89" w:rsidRPr="001B06A3" w:rsidRDefault="00327A89" w:rsidP="00327A89">
      <w:pPr>
        <w:pStyle w:val="NormalHanging12a"/>
        <w:rPr>
          <w:bCs/>
          <w:iCs/>
        </w:rPr>
      </w:pPr>
      <w:r w:rsidRPr="001B06A3">
        <w:t>26.</w:t>
      </w:r>
      <w:r w:rsidRPr="001B06A3">
        <w:tab/>
        <w:t>wzywa Komisję i grupę EBI do uruchomienia wsparcia na rzecz projektów podwójnego zastosowania przez poprawę dostępu przedsięwzięć na wczesnym etapie rozwoju i MŚP do takiego wsparcia, uproszczenie procedur, zapewnienie inwestorom jasnych wytycznych oraz regularne składanie sprawozdań na temat wykorzystania środków i ich dystrybucji geograficznej; apeluje o skuteczne wdrożenie poprzez ukierunkowane zaproszenia do składania wniosków i jasne wytyczne dla instytucji zarządzających, tak aby regiony o słabiej rozwiniętych ekosystemach obronnych miały dostęp do tych możliwości; zachęca państwa członkowskie, aby uwzględniły te możliwości przy opracowywaniu programów oraz koordynowały działania z Komisją i EBI w celu rozwijania regionalnych platform inwestycyjnych, zapewniając komplementarność i unikając podwójnego finansowania;</w:t>
      </w:r>
    </w:p>
    <w:p w14:paraId="122A785A" w14:textId="77777777" w:rsidR="00327A89" w:rsidRPr="001B06A3" w:rsidRDefault="00327A89" w:rsidP="00327A89">
      <w:pPr>
        <w:pStyle w:val="NormalHanging12a"/>
      </w:pPr>
      <w:r w:rsidRPr="001B06A3">
        <w:t>27.</w:t>
      </w:r>
      <w:r w:rsidRPr="001B06A3">
        <w:tab/>
        <w:t xml:space="preserve">wzywa Komisję, aby w swojej polityce konkurencji uwzględniła gotowość obronną, bezpieczeństwo dostaw, potencjał sprzyjający innowacjom oraz zmniejszenie zależności od państw spoza UE; jednocześnie wzywa państwa członkowskie do zadbania, aby ich zamówienia na produkty obronne były otwarte i konkurencyjne dla </w:t>
      </w:r>
      <w:r w:rsidRPr="001B06A3">
        <w:lastRenderedPageBreak/>
        <w:t>EDTIB jako całości; wzywa państwa członkowskie do wzmocnienia kontroli nad inwestycjami bezpośrednimi podmiotów z państw trzecich;</w:t>
      </w:r>
    </w:p>
    <w:p w14:paraId="0257CADF" w14:textId="77777777" w:rsidR="00327A89" w:rsidRPr="001B06A3" w:rsidRDefault="00327A89" w:rsidP="00327A89">
      <w:pPr>
        <w:pStyle w:val="NormalHanging12a"/>
      </w:pPr>
      <w:r w:rsidRPr="001B06A3">
        <w:t>28.</w:t>
      </w:r>
      <w:r w:rsidRPr="001B06A3">
        <w:tab/>
        <w:t>wzywa Komisję, aby wzmocniła programy współpracy przemysłowej i partnerstwa transnarodowe, w tym platformy łańcucha dostaw i projekty wspólnego rozwoju, tak by zintegrować łańcuchy produkcji, optymalnie wykorzystywać krajową wiedzę specjalistyczną, promować korzyści skali i wzmocnić globalną konkurencyjność EDTIB;</w:t>
      </w:r>
    </w:p>
    <w:p w14:paraId="7D0E8CFF" w14:textId="77777777" w:rsidR="00327A89" w:rsidRPr="001B06A3" w:rsidRDefault="00327A89" w:rsidP="00327A89">
      <w:pPr>
        <w:pStyle w:val="NormalHanging12a"/>
      </w:pPr>
      <w:r w:rsidRPr="001B06A3">
        <w:t>29.</w:t>
      </w:r>
      <w:r w:rsidRPr="001B06A3">
        <w:tab/>
        <w:t>podkreśla znaczenie dobrze funkcjonujących rynków kapitałowych dla finansowania związanego z obroną; wzywa Komisję i państwa członkowskie do przyspieszenia postępów w realizacji programu unii rynków kapitałowych oraz unii oszczędności i inwestycji, w szczególności przez poprawę dostępu do kapitału własnego, kapitału wysokiego ryzyka i finansowania dla MŚP z sektora obronnego; podkreśla, że unia rynków kapitałowych oraz unia oszczędności i inwestycji mają kluczowe znaczenie dla zwiększenia skali finansowania związanego z obroną;</w:t>
      </w:r>
    </w:p>
    <w:p w14:paraId="3244177D" w14:textId="77777777" w:rsidR="00327A89" w:rsidRPr="001B06A3" w:rsidRDefault="00327A89" w:rsidP="00327A89">
      <w:pPr>
        <w:pStyle w:val="NormalHanging12a"/>
      </w:pPr>
      <w:r w:rsidRPr="001B06A3">
        <w:t>30.</w:t>
      </w:r>
      <w:r w:rsidRPr="001B06A3">
        <w:tab/>
        <w:t>podkreśla znaczenie przyspieszenia prac nad ukończeniem unii oszczędności i inwestycji w celu wsparcia głębszego, bardziej płynnego i zintegrowanego systemu finansowego UE, skuteczniej kierującego oszczędności na inwestycje produkcyjne, takie jak inwestycje w europejski przemysł obronny; podkreśla, że europejski przemysł obronny musi znacząco zwiększyć swoje moce produkcyjne, aby sprostać ogromnemu wzrostowi zapotrzebowania na produkty wojskowe;</w:t>
      </w:r>
    </w:p>
    <w:p w14:paraId="7945E2C2" w14:textId="77777777" w:rsidR="00327A89" w:rsidRPr="001B06A3" w:rsidRDefault="00327A89" w:rsidP="00327A89">
      <w:pPr>
        <w:pStyle w:val="NormalHanging12a"/>
      </w:pPr>
      <w:r w:rsidRPr="001B06A3">
        <w:t>31.</w:t>
      </w:r>
      <w:r w:rsidRPr="001B06A3">
        <w:tab/>
        <w:t>z zadowoleniem odnotowuje wprowadzenie znaku „Finance Europe”; zauważa, że znak ten, którego celem jest ukierunkowanie prywatnych oszczędności na inwestycje w europejską gospodarkę realną, sprzyja finansowaniu kapitałowemu przedsiębiorstw; zachęca Komisję, aby wsparła tę inicjatywę przez zaproponowanie europejskiego znaku w ramach unii oszczędności i inwestycji, a jednocześnie dopilnowała, aby nie spowodowało to dodatkowych obciążeń administracyjnych;</w:t>
      </w:r>
    </w:p>
    <w:p w14:paraId="09193034" w14:textId="77777777" w:rsidR="00327A89" w:rsidRPr="001B06A3" w:rsidRDefault="00327A89" w:rsidP="00327A89">
      <w:pPr>
        <w:pStyle w:val="NormalCenter12a"/>
        <w:ind w:left="567" w:hanging="567"/>
        <w:jc w:val="left"/>
      </w:pPr>
      <w:r w:rsidRPr="001B06A3">
        <w:t>32.</w:t>
      </w:r>
      <w:r w:rsidRPr="001B06A3">
        <w:tab/>
        <w:t>z zadowoleniem przyjmuje zalecenie Komisji dotyczące rachunków oszczędnościowo-inwestycyjnych</w:t>
      </w:r>
      <w:r w:rsidRPr="001B06A3">
        <w:rPr>
          <w:rStyle w:val="FootnoteReference"/>
        </w:rPr>
        <w:footnoteReference w:id="9"/>
      </w:r>
      <w:r w:rsidRPr="001B06A3">
        <w:t>; podkreśla, że celem rachunków oszczędnościowo-inwestycyjnych jest zwiększenie udziału inwestorów detalicznych na rynkach kapitałowych UE, co przyczyni się do wzmocnienia rynków oraz ułatwi poszerzenie bazy inwestorów w UE, co z kolei pomoże w finansowaniu strategicznych priorytetów UE, w tym obronności; zachęca Komisję do dalszego wspierania tej inicjatywy; wzywa państwa członkowskie do wdrożenia zalecenia Komisji w sprawie zwiększenia dostępności rachunków oszczędnościowo-inwestycyjnych;</w:t>
      </w:r>
    </w:p>
    <w:p w14:paraId="265AFAF5" w14:textId="77777777" w:rsidR="00327A89" w:rsidRPr="001B06A3" w:rsidRDefault="00327A89" w:rsidP="00327A89">
      <w:pPr>
        <w:pStyle w:val="NormalHanging12a"/>
      </w:pPr>
      <w:r w:rsidRPr="001B06A3">
        <w:t>33.</w:t>
      </w:r>
      <w:r w:rsidRPr="001B06A3">
        <w:tab/>
        <w:t>z zadowoleniem przyjmuje trwające prace mające na celu wykorzystanie zamrożonych aktywów rosyjskich do sfinansowania działań obronnych Ukrainy, przy jednoczesnym uwzględnieniu kwestii stabilności finansowej i sporów sądowych;</w:t>
      </w:r>
    </w:p>
    <w:p w14:paraId="0B5A4819" w14:textId="77777777" w:rsidR="00327A89" w:rsidRPr="001B06A3" w:rsidRDefault="00327A89" w:rsidP="00327A89">
      <w:pPr>
        <w:pStyle w:val="NormalCenter12a"/>
        <w:tabs>
          <w:tab w:val="left" w:pos="567"/>
        </w:tabs>
        <w:ind w:left="567" w:hanging="567"/>
        <w:jc w:val="left"/>
        <w:rPr>
          <w:bCs/>
          <w:iCs/>
        </w:rPr>
      </w:pPr>
      <w:r w:rsidRPr="001B06A3">
        <w:t>34.</w:t>
      </w:r>
      <w:r w:rsidRPr="001B06A3">
        <w:tab/>
        <w:t xml:space="preserve">apeluje o jednolite zobowiązanie państw członkowskich do zwiększenia wydatków obronnych zgodnie z wynikami szczytu NATO, który odbył się w Hadze w 2025 r. i </w:t>
      </w:r>
      <w:r w:rsidRPr="001B06A3">
        <w:lastRenderedPageBreak/>
        <w:t>podczas którego sojusznicy z NATO zobowiązali się do inwestowania 5 % PKB rocznie w podstawowe wymogi obronne oraz wydatki związane z obronnością i bezpieczeństwem do 2035 r.; wzywa państwa członkowskie, aby wspierały europejskie inicjatywy obronne, zwiększyły interoperacyjność oraz inwestowały we wspólne zamówienia dostosowane do wspólnych priorytetów strategicznych, co obejmuje produkcję amunicji;</w:t>
      </w:r>
    </w:p>
    <w:p w14:paraId="218C9850" w14:textId="77777777" w:rsidR="00327A89" w:rsidRPr="001B06A3" w:rsidRDefault="00327A89" w:rsidP="00327A89">
      <w:pPr>
        <w:pStyle w:val="NormalCenter12a"/>
      </w:pPr>
      <w:r w:rsidRPr="001B06A3">
        <w:t>°</w:t>
      </w:r>
    </w:p>
    <w:p w14:paraId="29BBF581" w14:textId="77777777" w:rsidR="00327A89" w:rsidRPr="001B06A3" w:rsidRDefault="00327A89" w:rsidP="00327A89">
      <w:pPr>
        <w:pStyle w:val="NormalCenter12a"/>
      </w:pPr>
      <w:r w:rsidRPr="001B06A3">
        <w:t>°</w:t>
      </w:r>
      <w:r w:rsidRPr="001B06A3">
        <w:tab/>
        <w:t>°</w:t>
      </w:r>
    </w:p>
    <w:p w14:paraId="2AC6116F" w14:textId="418927E9" w:rsidR="001B06A3" w:rsidRPr="001B06A3" w:rsidRDefault="00327A89" w:rsidP="001B06A3">
      <w:pPr>
        <w:pStyle w:val="NormalHanging12a"/>
      </w:pPr>
      <w:r w:rsidRPr="001B06A3">
        <w:t>35.</w:t>
      </w:r>
      <w:r w:rsidRPr="001B06A3">
        <w:tab/>
        <w:t>zobowiązuje swoją przewodniczącą do przekazania niniejszej rezolucji Radzie i Komisji.</w:t>
      </w:r>
      <w:bookmarkEnd w:id="10"/>
    </w:p>
    <w:p w14:paraId="03F0F076" w14:textId="4A5E04E4" w:rsidR="00E365E1" w:rsidRPr="001B06A3" w:rsidRDefault="00E365E1" w:rsidP="00722737"/>
    <w:sectPr w:rsidR="00E365E1" w:rsidRPr="001B06A3" w:rsidSect="001B0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B8711" w14:textId="77777777" w:rsidR="00722737" w:rsidRPr="001B06A3" w:rsidRDefault="00722737">
      <w:r w:rsidRPr="001B06A3">
        <w:separator/>
      </w:r>
    </w:p>
  </w:endnote>
  <w:endnote w:type="continuationSeparator" w:id="0">
    <w:p w14:paraId="4423ABDC" w14:textId="77777777" w:rsidR="00722737" w:rsidRPr="001B06A3" w:rsidRDefault="00722737">
      <w:r w:rsidRPr="001B06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AB9C6" w14:textId="77777777" w:rsidR="00064002" w:rsidRPr="001B06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C4DC" w14:textId="77777777" w:rsidR="00064002" w:rsidRPr="001B06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20DAB" w14:textId="77777777" w:rsidR="00064002" w:rsidRPr="001B06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3A014" w14:textId="77777777" w:rsidR="00722737" w:rsidRPr="001B06A3" w:rsidRDefault="00722737">
      <w:r w:rsidRPr="001B06A3">
        <w:separator/>
      </w:r>
    </w:p>
  </w:footnote>
  <w:footnote w:type="continuationSeparator" w:id="0">
    <w:p w14:paraId="1BADF015" w14:textId="77777777" w:rsidR="00722737" w:rsidRPr="001B06A3" w:rsidRDefault="00722737">
      <w:r w:rsidRPr="001B06A3">
        <w:continuationSeparator/>
      </w:r>
    </w:p>
  </w:footnote>
  <w:footnote w:id="1">
    <w:p w14:paraId="50D4C960" w14:textId="1B5D4071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 xml:space="preserve">Komisja Europejska: Dyrekcja Generalna ds. Przemysłu Obronnego i Przestrzeni Kosmicznej, „Access to equity </w:t>
      </w:r>
      <w:proofErr w:type="spellStart"/>
      <w:r w:rsidRPr="001B06A3">
        <w:rPr>
          <w:sz w:val="24"/>
          <w:lang w:val="pl-PL"/>
        </w:rPr>
        <w:t>financing</w:t>
      </w:r>
      <w:proofErr w:type="spellEnd"/>
      <w:r w:rsidRPr="001B06A3">
        <w:rPr>
          <w:sz w:val="24"/>
          <w:lang w:val="pl-PL"/>
        </w:rPr>
        <w:t xml:space="preserve"> for </w:t>
      </w:r>
      <w:proofErr w:type="spellStart"/>
      <w:r w:rsidRPr="001B06A3">
        <w:rPr>
          <w:sz w:val="24"/>
          <w:lang w:val="pl-PL"/>
        </w:rPr>
        <w:t>European</w:t>
      </w:r>
      <w:proofErr w:type="spellEnd"/>
      <w:r w:rsidRPr="001B06A3">
        <w:rPr>
          <w:sz w:val="24"/>
          <w:lang w:val="pl-PL"/>
        </w:rPr>
        <w:t xml:space="preserve"> </w:t>
      </w:r>
      <w:proofErr w:type="spellStart"/>
      <w:r w:rsidRPr="001B06A3">
        <w:rPr>
          <w:sz w:val="24"/>
          <w:lang w:val="pl-PL"/>
        </w:rPr>
        <w:t>defence</w:t>
      </w:r>
      <w:proofErr w:type="spellEnd"/>
      <w:r w:rsidRPr="001B06A3">
        <w:rPr>
          <w:sz w:val="24"/>
          <w:lang w:val="pl-PL"/>
        </w:rPr>
        <w:t xml:space="preserve"> </w:t>
      </w:r>
      <w:proofErr w:type="spellStart"/>
      <w:r w:rsidRPr="001B06A3">
        <w:rPr>
          <w:sz w:val="24"/>
          <w:lang w:val="pl-PL"/>
        </w:rPr>
        <w:t>SMEs</w:t>
      </w:r>
      <w:proofErr w:type="spellEnd"/>
      <w:r w:rsidRPr="001B06A3">
        <w:rPr>
          <w:sz w:val="24"/>
          <w:lang w:val="pl-PL"/>
        </w:rPr>
        <w:t xml:space="preserve">” [Dostęp do finansowania kapitałowego dla europejskich MŚP z sektora obronnego], Urząd Publikacji Unii Europejskiej, 2024, </w:t>
      </w:r>
      <w:hyperlink r:id="rId1" w:history="1">
        <w:r w:rsidRPr="001B06A3">
          <w:rPr>
            <w:rStyle w:val="Hyperlink"/>
            <w:sz w:val="24"/>
            <w:lang w:val="pl-PL"/>
          </w:rPr>
          <w:t>https://data.europa.eu/doi/10.2889/698738</w:t>
        </w:r>
      </w:hyperlink>
      <w:r w:rsidRPr="001B06A3">
        <w:rPr>
          <w:sz w:val="24"/>
          <w:lang w:val="pl-PL"/>
        </w:rPr>
        <w:t>.</w:t>
      </w:r>
    </w:p>
  </w:footnote>
  <w:footnote w:id="2">
    <w:p w14:paraId="0E3E3834" w14:textId="7430AF9E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>Teksty przyjęte, P10_TA(2025)0281.</w:t>
      </w:r>
    </w:p>
  </w:footnote>
  <w:footnote w:id="3">
    <w:p w14:paraId="03FECB95" w14:textId="26DE96B1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 xml:space="preserve">Dz.U. L, 2025/1106, </w:t>
      </w:r>
      <w:proofErr w:type="gramStart"/>
      <w:r w:rsidRPr="001B06A3">
        <w:rPr>
          <w:sz w:val="24"/>
          <w:lang w:val="pl-PL"/>
        </w:rPr>
        <w:t>28.5.2025</w:t>
      </w:r>
      <w:proofErr w:type="gramEnd"/>
      <w:r w:rsidRPr="001B06A3">
        <w:rPr>
          <w:sz w:val="24"/>
          <w:lang w:val="pl-PL"/>
        </w:rPr>
        <w:t>, ELI: http://data.europa.eu/eli/reg/2025/1106/oj.</w:t>
      </w:r>
    </w:p>
  </w:footnote>
  <w:footnote w:id="4">
    <w:p w14:paraId="60D4B871" w14:textId="12759006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>Teksty przyjęte, P10_TA(2025)0034.</w:t>
      </w:r>
    </w:p>
  </w:footnote>
  <w:footnote w:id="5">
    <w:p w14:paraId="5BB4B26C" w14:textId="2D620418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>Teksty przyjęte, P10_TA(2025)0145.</w:t>
      </w:r>
    </w:p>
  </w:footnote>
  <w:footnote w:id="6">
    <w:p w14:paraId="3E2DBE3D" w14:textId="57FA1B46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color w:val="0000FF"/>
          <w:sz w:val="24"/>
          <w:u w:val="single" w:color="0000FF"/>
          <w:lang w:val="pl-PL"/>
        </w:rPr>
        <w:t xml:space="preserve"> </w:t>
      </w:r>
      <w:r w:rsidR="001B06A3" w:rsidRPr="001B06A3">
        <w:rPr>
          <w:color w:val="0000FF"/>
          <w:sz w:val="24"/>
          <w:u w:val="single" w:color="0000FF"/>
          <w:lang w:val="pl-PL"/>
        </w:rPr>
        <w:tab/>
      </w:r>
      <w:r w:rsidRPr="001B06A3">
        <w:rPr>
          <w:color w:val="0000FF"/>
          <w:sz w:val="24"/>
          <w:u w:val="single" w:color="0000FF"/>
          <w:lang w:val="pl-PL"/>
        </w:rPr>
        <w:t xml:space="preserve">Sprawozdanie Komisji z dnia 17 października 2024 r. pt. „Czwarte sprawozdanie roczne w sprawie monitorowania bezpośrednich inwestycji zagranicznych w Unii” (COM(2024)0464). </w:t>
      </w:r>
    </w:p>
  </w:footnote>
  <w:footnote w:id="7">
    <w:p w14:paraId="7BE7FE4D" w14:textId="6B9EBA18" w:rsidR="00327A89" w:rsidRPr="001B06A3" w:rsidRDefault="00327A89" w:rsidP="001B06A3">
      <w:pPr>
        <w:pStyle w:val="FootnoteText"/>
        <w:ind w:left="567" w:hanging="567"/>
        <w:rPr>
          <w:sz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 xml:space="preserve">Rozporządzenie delegowane Komisji (UE) </w:t>
      </w:r>
      <w:r w:rsidR="00C85EAB">
        <w:rPr>
          <w:sz w:val="24"/>
          <w:lang w:val="pl-PL"/>
        </w:rPr>
        <w:t>2025</w:t>
      </w:r>
      <w:r w:rsidRPr="001B06A3">
        <w:rPr>
          <w:sz w:val="24"/>
          <w:lang w:val="pl-PL"/>
        </w:rPr>
        <w:t>/</w:t>
      </w:r>
      <w:r w:rsidR="00C85EAB">
        <w:rPr>
          <w:sz w:val="24"/>
          <w:lang w:val="pl-PL"/>
        </w:rPr>
        <w:t>1774</w:t>
      </w:r>
      <w:r w:rsidRPr="001B06A3">
        <w:rPr>
          <w:sz w:val="24"/>
          <w:lang w:val="pl-PL"/>
        </w:rPr>
        <w:t xml:space="preserve"> z dnia 28 sierpnia 2025 r. zmieniające rozporządzenie delegowane (UE) 2021/1078 w odniesieniu do inwestycji strategicznych w dziedzinie obronności określonych w wytycznych inwestycyjnych dotyczących Funduszu </w:t>
      </w:r>
      <w:proofErr w:type="spellStart"/>
      <w:r w:rsidRPr="001B06A3">
        <w:rPr>
          <w:sz w:val="24"/>
          <w:lang w:val="pl-PL"/>
        </w:rPr>
        <w:t>InvestEU</w:t>
      </w:r>
      <w:proofErr w:type="spellEnd"/>
      <w:r w:rsidRPr="001B06A3">
        <w:rPr>
          <w:sz w:val="24"/>
          <w:lang w:val="pl-PL"/>
        </w:rPr>
        <w:t xml:space="preserve"> </w:t>
      </w:r>
      <w:r w:rsidRPr="00C85EAB">
        <w:rPr>
          <w:sz w:val="24"/>
          <w:lang w:val="pl-PL"/>
        </w:rPr>
        <w:t>(</w:t>
      </w:r>
      <w:proofErr w:type="spellStart"/>
      <w:r w:rsidR="00C85EAB" w:rsidRPr="00C85EAB">
        <w:rPr>
          <w:bCs/>
          <w:iCs/>
          <w:szCs w:val="24"/>
        </w:rPr>
        <w:t>Dz.U</w:t>
      </w:r>
      <w:proofErr w:type="spellEnd"/>
      <w:r w:rsidR="00C85EAB" w:rsidRPr="00C85EAB">
        <w:rPr>
          <w:bCs/>
          <w:iCs/>
          <w:szCs w:val="24"/>
        </w:rPr>
        <w:t>.</w:t>
      </w:r>
      <w:r w:rsidR="00C85EAB" w:rsidRPr="00C85EAB">
        <w:rPr>
          <w:bCs/>
          <w:iCs/>
          <w:szCs w:val="24"/>
        </w:rPr>
        <w:t xml:space="preserve"> L, 2025/1774, 18.12.2025, ELI: </w:t>
      </w:r>
      <w:hyperlink r:id="rId2" w:tgtFrame="_blank" w:tooltip="Gives access to this document through its ELI URI." w:history="1">
        <w:r w:rsidR="00C85EAB" w:rsidRPr="00C85EAB">
          <w:rPr>
            <w:rStyle w:val="Hyperlink"/>
            <w:bCs/>
            <w:iCs/>
            <w:szCs w:val="24"/>
          </w:rPr>
          <w:t>http://data.europa.eu/eli/reg_del/2025/1774/oj</w:t>
        </w:r>
      </w:hyperlink>
      <w:r w:rsidRPr="00C85EAB">
        <w:rPr>
          <w:sz w:val="24"/>
          <w:lang w:val="pl-PL"/>
        </w:rPr>
        <w:t>).</w:t>
      </w:r>
      <w:r w:rsidRPr="001B06A3">
        <w:rPr>
          <w:sz w:val="24"/>
          <w:lang w:val="pl-PL"/>
        </w:rPr>
        <w:t xml:space="preserve"> </w:t>
      </w:r>
    </w:p>
  </w:footnote>
  <w:footnote w:id="8">
    <w:p w14:paraId="0E13CF81" w14:textId="0432D8C6" w:rsidR="00327A89" w:rsidRPr="00C85EAB" w:rsidRDefault="00327A89" w:rsidP="001B06A3">
      <w:pPr>
        <w:pStyle w:val="FootnoteText"/>
        <w:ind w:left="567" w:hanging="567"/>
        <w:rPr>
          <w:sz w:val="24"/>
          <w:szCs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C85EAB">
        <w:rPr>
          <w:sz w:val="24"/>
          <w:szCs w:val="24"/>
          <w:lang w:val="pl-PL"/>
        </w:rPr>
        <w:tab/>
      </w:r>
      <w:bookmarkStart w:id="11" w:name="_Hlk220057370"/>
      <w:proofErr w:type="spellStart"/>
      <w:r w:rsidR="00C85EAB" w:rsidRPr="00C85EAB">
        <w:rPr>
          <w:sz w:val="24"/>
          <w:szCs w:val="24"/>
          <w:lang w:val="fi-FI"/>
        </w:rPr>
        <w:t>Dz.U</w:t>
      </w:r>
      <w:proofErr w:type="spellEnd"/>
      <w:r w:rsidR="00C85EAB" w:rsidRPr="00C85EAB">
        <w:rPr>
          <w:sz w:val="24"/>
          <w:szCs w:val="24"/>
          <w:lang w:val="fi-FI"/>
        </w:rPr>
        <w:t>.</w:t>
      </w:r>
      <w:r w:rsidR="00C85EAB" w:rsidRPr="00C85EAB">
        <w:rPr>
          <w:sz w:val="24"/>
          <w:szCs w:val="24"/>
          <w:lang w:val="fi-FI"/>
        </w:rPr>
        <w:t xml:space="preserve"> L, 2025/1775, 30.12.2025, ELI: </w:t>
      </w:r>
      <w:hyperlink r:id="rId3" w:history="1">
        <w:r w:rsidR="00C85EAB" w:rsidRPr="00C85EAB">
          <w:rPr>
            <w:rStyle w:val="Hyperlink"/>
            <w:sz w:val="24"/>
            <w:szCs w:val="24"/>
            <w:lang w:val="fi-FI"/>
          </w:rPr>
          <w:t>http://data.europa.eu/eli/reg_del/2025/1775/oj</w:t>
        </w:r>
      </w:hyperlink>
      <w:bookmarkEnd w:id="11"/>
      <w:r w:rsidR="00C85EAB" w:rsidRPr="00C85EAB">
        <w:rPr>
          <w:sz w:val="24"/>
          <w:szCs w:val="24"/>
          <w:lang w:val="fi-FI"/>
        </w:rPr>
        <w:t>.</w:t>
      </w:r>
      <w:r w:rsidRPr="00C85EAB">
        <w:rPr>
          <w:sz w:val="24"/>
          <w:szCs w:val="24"/>
          <w:lang w:val="pl-PL"/>
        </w:rPr>
        <w:t xml:space="preserve"> </w:t>
      </w:r>
    </w:p>
  </w:footnote>
  <w:footnote w:id="9">
    <w:p w14:paraId="290C4156" w14:textId="381DCA03" w:rsidR="00327A89" w:rsidRPr="00C85EAB" w:rsidRDefault="00327A89" w:rsidP="001B06A3">
      <w:pPr>
        <w:pStyle w:val="FootnoteText"/>
        <w:ind w:left="567" w:hanging="567"/>
        <w:rPr>
          <w:sz w:val="24"/>
          <w:szCs w:val="24"/>
          <w:lang w:val="pl-PL"/>
        </w:rPr>
      </w:pPr>
      <w:r w:rsidRPr="001B06A3">
        <w:rPr>
          <w:rStyle w:val="FootnoteReference"/>
          <w:sz w:val="24"/>
          <w:lang w:val="pl-PL"/>
        </w:rPr>
        <w:footnoteRef/>
      </w:r>
      <w:r w:rsidR="001B06A3" w:rsidRPr="001B06A3">
        <w:rPr>
          <w:sz w:val="24"/>
          <w:lang w:val="pl-PL"/>
        </w:rPr>
        <w:t xml:space="preserve"> </w:t>
      </w:r>
      <w:r w:rsidR="001B06A3" w:rsidRPr="001B06A3">
        <w:rPr>
          <w:sz w:val="24"/>
          <w:lang w:val="pl-PL"/>
        </w:rPr>
        <w:tab/>
      </w:r>
      <w:r w:rsidRPr="001B06A3">
        <w:rPr>
          <w:sz w:val="24"/>
          <w:lang w:val="pl-PL"/>
        </w:rPr>
        <w:t xml:space="preserve">Zalecenie Komisji </w:t>
      </w:r>
      <w:r w:rsidR="00C85EAB">
        <w:rPr>
          <w:sz w:val="24"/>
          <w:lang w:val="pl-PL"/>
        </w:rPr>
        <w:t xml:space="preserve">(UE) 2025/2029 </w:t>
      </w:r>
      <w:r w:rsidRPr="001B06A3">
        <w:rPr>
          <w:sz w:val="24"/>
          <w:lang w:val="pl-PL"/>
        </w:rPr>
        <w:t xml:space="preserve">z dnia 30 września 2025 r. w sprawie zwiększenia dostępności rachunków oszczędnościowo-inwestycyjnych dzięki uproszczonemu i korzystnemu traktowaniu </w:t>
      </w:r>
      <w:r w:rsidRPr="00C85EAB">
        <w:rPr>
          <w:sz w:val="24"/>
          <w:szCs w:val="24"/>
          <w:lang w:val="pl-PL"/>
        </w:rPr>
        <w:t>podatkowemu (</w:t>
      </w:r>
      <w:proofErr w:type="spellStart"/>
      <w:r w:rsidR="00C85EAB" w:rsidRPr="00C85EAB">
        <w:rPr>
          <w:sz w:val="24"/>
          <w:szCs w:val="24"/>
        </w:rPr>
        <w:t>Dz.U</w:t>
      </w:r>
      <w:proofErr w:type="spellEnd"/>
      <w:r w:rsidR="00C85EAB" w:rsidRPr="00C85EAB">
        <w:rPr>
          <w:sz w:val="24"/>
          <w:szCs w:val="24"/>
        </w:rPr>
        <w:t>.</w:t>
      </w:r>
      <w:r w:rsidR="00C85EAB" w:rsidRPr="00C85EAB">
        <w:rPr>
          <w:sz w:val="24"/>
          <w:szCs w:val="24"/>
        </w:rPr>
        <w:t xml:space="preserve"> L, 2025/2029, 8.10.2025, ELI: </w:t>
      </w:r>
      <w:hyperlink r:id="rId4" w:history="1">
        <w:r w:rsidR="00C85EAB" w:rsidRPr="00C85EAB">
          <w:rPr>
            <w:rStyle w:val="Hyperlink"/>
            <w:sz w:val="24"/>
            <w:szCs w:val="24"/>
          </w:rPr>
          <w:t>http://data.europa.eu/eli/reco/2025/2029/oj)</w:t>
        </w:r>
      </w:hyperlink>
      <w:r w:rsidRPr="00C85EAB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B7DF" w14:textId="77777777" w:rsidR="00064002" w:rsidRPr="001B06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2962" w14:textId="77777777" w:rsidR="00064002" w:rsidRPr="001B06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65BF8" w14:textId="77777777" w:rsidR="00064002" w:rsidRPr="001B06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9013269">
    <w:abstractNumId w:val="9"/>
  </w:num>
  <w:num w:numId="2" w16cid:durableId="1054816677">
    <w:abstractNumId w:val="9"/>
  </w:num>
  <w:num w:numId="3" w16cid:durableId="1742175581">
    <w:abstractNumId w:val="7"/>
  </w:num>
  <w:num w:numId="4" w16cid:durableId="1017273098">
    <w:abstractNumId w:val="7"/>
  </w:num>
  <w:num w:numId="5" w16cid:durableId="1223365562">
    <w:abstractNumId w:val="6"/>
  </w:num>
  <w:num w:numId="6" w16cid:durableId="1324046934">
    <w:abstractNumId w:val="6"/>
  </w:num>
  <w:num w:numId="7" w16cid:durableId="1506437426">
    <w:abstractNumId w:val="5"/>
  </w:num>
  <w:num w:numId="8" w16cid:durableId="337731553">
    <w:abstractNumId w:val="5"/>
  </w:num>
  <w:num w:numId="9" w16cid:durableId="2063207591">
    <w:abstractNumId w:val="4"/>
  </w:num>
  <w:num w:numId="10" w16cid:durableId="1771048699">
    <w:abstractNumId w:val="4"/>
  </w:num>
  <w:num w:numId="11" w16cid:durableId="1646736875">
    <w:abstractNumId w:val="8"/>
  </w:num>
  <w:num w:numId="12" w16cid:durableId="145976738">
    <w:abstractNumId w:val="8"/>
  </w:num>
  <w:num w:numId="13" w16cid:durableId="1599219122">
    <w:abstractNumId w:val="3"/>
  </w:num>
  <w:num w:numId="14" w16cid:durableId="1722166097">
    <w:abstractNumId w:val="3"/>
  </w:num>
  <w:num w:numId="15" w16cid:durableId="663900788">
    <w:abstractNumId w:val="2"/>
  </w:num>
  <w:num w:numId="16" w16cid:durableId="1047489035">
    <w:abstractNumId w:val="2"/>
  </w:num>
  <w:num w:numId="17" w16cid:durableId="323247643">
    <w:abstractNumId w:val="1"/>
  </w:num>
  <w:num w:numId="18" w16cid:durableId="879559830">
    <w:abstractNumId w:val="1"/>
  </w:num>
  <w:num w:numId="19" w16cid:durableId="1653213319">
    <w:abstractNumId w:val="0"/>
  </w:num>
  <w:num w:numId="20" w16cid:durableId="849375850">
    <w:abstractNumId w:val="0"/>
  </w:num>
  <w:num w:numId="21" w16cid:durableId="240259546">
    <w:abstractNumId w:val="9"/>
  </w:num>
  <w:num w:numId="22" w16cid:durableId="1445266245">
    <w:abstractNumId w:val="7"/>
  </w:num>
  <w:num w:numId="23" w16cid:durableId="254099148">
    <w:abstractNumId w:val="6"/>
  </w:num>
  <w:num w:numId="24" w16cid:durableId="1130053811">
    <w:abstractNumId w:val="5"/>
  </w:num>
  <w:num w:numId="25" w16cid:durableId="1375427129">
    <w:abstractNumId w:val="4"/>
  </w:num>
  <w:num w:numId="26" w16cid:durableId="674575900">
    <w:abstractNumId w:val="8"/>
  </w:num>
  <w:num w:numId="27" w16cid:durableId="82531122">
    <w:abstractNumId w:val="3"/>
  </w:num>
  <w:num w:numId="28" w16cid:durableId="1654602759">
    <w:abstractNumId w:val="2"/>
  </w:num>
  <w:num w:numId="29" w16cid:durableId="1063018845">
    <w:abstractNumId w:val="1"/>
  </w:num>
  <w:num w:numId="30" w16cid:durableId="175734267">
    <w:abstractNumId w:val="0"/>
  </w:num>
  <w:num w:numId="31" w16cid:durableId="1262883195">
    <w:abstractNumId w:val="9"/>
  </w:num>
  <w:num w:numId="32" w16cid:durableId="1117024556">
    <w:abstractNumId w:val="7"/>
  </w:num>
  <w:num w:numId="33" w16cid:durableId="546184049">
    <w:abstractNumId w:val="6"/>
  </w:num>
  <w:num w:numId="34" w16cid:durableId="1827896365">
    <w:abstractNumId w:val="5"/>
  </w:num>
  <w:num w:numId="35" w16cid:durableId="1976450926">
    <w:abstractNumId w:val="4"/>
  </w:num>
  <w:num w:numId="36" w16cid:durableId="1414358081">
    <w:abstractNumId w:val="8"/>
  </w:num>
  <w:num w:numId="37" w16cid:durableId="1815219327">
    <w:abstractNumId w:val="3"/>
  </w:num>
  <w:num w:numId="38" w16cid:durableId="1477406597">
    <w:abstractNumId w:val="2"/>
  </w:num>
  <w:num w:numId="39" w16cid:durableId="1827234841">
    <w:abstractNumId w:val="1"/>
  </w:num>
  <w:num w:numId="40" w16cid:durableId="545869371">
    <w:abstractNumId w:val="0"/>
  </w:num>
  <w:num w:numId="41" w16cid:durableId="1050373909">
    <w:abstractNumId w:val="10"/>
  </w:num>
  <w:num w:numId="42" w16cid:durableId="756823560">
    <w:abstractNumId w:val="10"/>
  </w:num>
  <w:num w:numId="43" w16cid:durableId="1741324253">
    <w:abstractNumId w:val="10"/>
  </w:num>
  <w:num w:numId="44" w16cid:durableId="19459910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3/2025"/>
    <w:docVar w:name="dvlangue" w:val="PL"/>
    <w:docVar w:name="dvnumam" w:val="73"/>
    <w:docVar w:name="dvpe" w:val="776.772"/>
    <w:docVar w:name="dvrapporteur" w:val="Sprawozdawca: "/>
    <w:docVar w:name="dvtitre" w:val="Rezolucja Parlamentu Europejskiego z dnia  2025 r. w sprawie europejskiej gotowości obronnej 2030: ocena potrzeb(2025/2142(INI))"/>
  </w:docVars>
  <w:rsids>
    <w:rsidRoot w:val="00722737"/>
    <w:rsid w:val="00002272"/>
    <w:rsid w:val="00064002"/>
    <w:rsid w:val="000677B9"/>
    <w:rsid w:val="000831BA"/>
    <w:rsid w:val="000A42CC"/>
    <w:rsid w:val="000E7DD9"/>
    <w:rsid w:val="0010095E"/>
    <w:rsid w:val="001012CB"/>
    <w:rsid w:val="00125B37"/>
    <w:rsid w:val="00187494"/>
    <w:rsid w:val="001B06A3"/>
    <w:rsid w:val="001F32AE"/>
    <w:rsid w:val="002767FF"/>
    <w:rsid w:val="002B18FE"/>
    <w:rsid w:val="002B5493"/>
    <w:rsid w:val="00327A89"/>
    <w:rsid w:val="00343214"/>
    <w:rsid w:val="00361C00"/>
    <w:rsid w:val="00395FA1"/>
    <w:rsid w:val="003E15D4"/>
    <w:rsid w:val="00411CCE"/>
    <w:rsid w:val="0041666E"/>
    <w:rsid w:val="00421060"/>
    <w:rsid w:val="004224A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73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C3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EA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322B1"/>
  <w15:chartTrackingRefBased/>
  <w15:docId w15:val="{C38042F8-5E42-4B4E-9DD3-8947FF3D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7A8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327A8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327A89"/>
    <w:pPr>
      <w:spacing w:after="240"/>
      <w:jc w:val="center"/>
    </w:pPr>
  </w:style>
  <w:style w:type="paragraph" w:customStyle="1" w:styleId="Normal6a">
    <w:name w:val="Normal6a"/>
    <w:basedOn w:val="Normal"/>
    <w:rsid w:val="00327A89"/>
    <w:pPr>
      <w:spacing w:after="120"/>
    </w:pPr>
  </w:style>
  <w:style w:type="character" w:customStyle="1" w:styleId="Bold">
    <w:name w:val="Bold"/>
    <w:uiPriority w:val="1"/>
    <w:rsid w:val="00327A89"/>
    <w:rPr>
      <w:b/>
    </w:rPr>
  </w:style>
  <w:style w:type="character" w:customStyle="1" w:styleId="Italic">
    <w:name w:val="Italic"/>
    <w:uiPriority w:val="1"/>
    <w:rsid w:val="00327A89"/>
    <w:rPr>
      <w:i/>
    </w:rPr>
  </w:style>
  <w:style w:type="paragraph" w:customStyle="1" w:styleId="Normal12a24b">
    <w:name w:val="Normal12a24b"/>
    <w:basedOn w:val="Normal"/>
    <w:rsid w:val="00327A8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327A89"/>
    <w:rPr>
      <w:color w:val="0000FF"/>
      <w:u w:val="single"/>
    </w:rPr>
  </w:style>
  <w:style w:type="character" w:styleId="FollowedHyperlink">
    <w:name w:val="FollowedHyperlink"/>
    <w:basedOn w:val="DefaultParagraphFont"/>
    <w:rsid w:val="00C85E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_del/2025/1775/oj" TargetMode="External"/><Relationship Id="rId2" Type="http://schemas.openxmlformats.org/officeDocument/2006/relationships/hyperlink" Target="http://data.europa.eu/eli/reg_del/2025/1774/oj" TargetMode="External"/><Relationship Id="rId1" Type="http://schemas.openxmlformats.org/officeDocument/2006/relationships/hyperlink" Target="https://data.europa.eu/doi/10.2889/698738" TargetMode="External"/><Relationship Id="rId4" Type="http://schemas.openxmlformats.org/officeDocument/2006/relationships/hyperlink" Target="http://data.europa.eu/eli/reco/2025/2029/oj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5689</Words>
  <Characters>38206</Characters>
  <Application>Microsoft Office Word</Application>
  <DocSecurity>0</DocSecurity>
  <Lines>318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2026-01-27T16:04:00Z</dcterms:created>
  <dcterms:modified xsi:type="dcterms:W3CDTF">2026-01-27T16:04:00Z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A10-0243/2025</vt:lpwstr>
  </property>
  <property fmtid="{D5CDD505-2E9C-101B-9397-08002B2CF9AE}" pid="4" name="&lt;Type&gt;">
    <vt:lpwstr>RR</vt:lpwstr>
  </property>
</Properties>
</file>