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E0EE2" w14:paraId="60911EE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C05E1E2" w14:textId="77777777" w:rsidR="00751A4A" w:rsidRPr="00AE0EE2" w:rsidRDefault="002E2E84" w:rsidP="0010095E">
            <w:pPr>
              <w:pStyle w:val="EPName"/>
            </w:pPr>
            <w:r w:rsidRPr="00AE0EE2">
              <w:t xml:space="preserve">Parlamento </w:t>
            </w:r>
            <w:proofErr w:type="gramStart"/>
            <w:r w:rsidRPr="00AE0EE2">
              <w:t>Europeu</w:t>
            </w:r>
            <w:proofErr w:type="gramEnd"/>
          </w:p>
          <w:p w14:paraId="78B77516" w14:textId="77777777" w:rsidR="00751A4A" w:rsidRPr="00AE0EE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E0EE2">
              <w:t>2024</w:t>
            </w:r>
            <w:r w:rsidR="00817416" w:rsidRPr="00AE0EE2">
              <w:t>-202</w:t>
            </w:r>
            <w:r w:rsidRPr="00AE0EE2">
              <w:t>9</w:t>
            </w:r>
          </w:p>
        </w:tc>
        <w:tc>
          <w:tcPr>
            <w:tcW w:w="2268" w:type="dxa"/>
            <w:shd w:val="clear" w:color="auto" w:fill="auto"/>
          </w:tcPr>
          <w:p w14:paraId="3113D2F7" w14:textId="77777777" w:rsidR="00751A4A" w:rsidRPr="00AE0EE2" w:rsidRDefault="00187494" w:rsidP="0010095E">
            <w:pPr>
              <w:pStyle w:val="EPLogo"/>
            </w:pPr>
            <w:r w:rsidRPr="00AE0EE2">
              <w:rPr>
                <w:noProof/>
                <w:lang w:eastAsia="ja-JP"/>
              </w:rPr>
              <w:drawing>
                <wp:inline distT="0" distB="0" distL="0" distR="0" wp14:anchorId="50CF76BF" wp14:editId="420B597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5A6CB7" w14:textId="77777777" w:rsidR="00D058B8" w:rsidRPr="00AE0EE2" w:rsidRDefault="00D058B8" w:rsidP="004C5D52">
      <w:pPr>
        <w:pStyle w:val="LineTop"/>
      </w:pPr>
    </w:p>
    <w:p w14:paraId="3A096D31" w14:textId="77777777" w:rsidR="00680577" w:rsidRPr="00AE0EE2" w:rsidRDefault="002E2E84" w:rsidP="00680577">
      <w:pPr>
        <w:pStyle w:val="EPBodyTA1"/>
      </w:pPr>
      <w:r w:rsidRPr="00AE0EE2">
        <w:t>TEXTOS APROVADOS</w:t>
      </w:r>
    </w:p>
    <w:p w14:paraId="16AEB9EF" w14:textId="77777777" w:rsidR="00D058B8" w:rsidRPr="00AE0EE2" w:rsidRDefault="00D058B8" w:rsidP="00D058B8">
      <w:pPr>
        <w:pStyle w:val="LineBottom"/>
      </w:pPr>
    </w:p>
    <w:p w14:paraId="481FC417" w14:textId="66B0F03D" w:rsidR="002E2E84" w:rsidRPr="00AE0EE2" w:rsidRDefault="002E2E84" w:rsidP="002E2E84">
      <w:pPr>
        <w:pStyle w:val="ATHeading1"/>
      </w:pPr>
      <w:bookmarkStart w:id="0" w:name="TANumber"/>
      <w:r w:rsidRPr="00AE0EE2">
        <w:t>P10_TA(2025)0</w:t>
      </w:r>
      <w:r w:rsidR="00AE0EE2" w:rsidRPr="00AE0EE2">
        <w:t>336</w:t>
      </w:r>
      <w:bookmarkEnd w:id="0"/>
    </w:p>
    <w:p w14:paraId="05B27E07" w14:textId="77777777" w:rsidR="002E2E84" w:rsidRPr="00AE0EE2" w:rsidRDefault="002E2E84" w:rsidP="002E2E84">
      <w:pPr>
        <w:pStyle w:val="ATHeading2"/>
      </w:pPr>
      <w:bookmarkStart w:id="1" w:name="title"/>
      <w:r w:rsidRPr="00AE0EE2">
        <w:t>Preparação da defesa europeia 2030: avaliação das necessidades</w:t>
      </w:r>
      <w:bookmarkEnd w:id="1"/>
    </w:p>
    <w:p w14:paraId="2B997397" w14:textId="77777777" w:rsidR="002E2E84" w:rsidRPr="00AE0EE2" w:rsidRDefault="002E2E84" w:rsidP="002E2E84">
      <w:pPr>
        <w:rPr>
          <w:i/>
          <w:vanish/>
        </w:rPr>
      </w:pPr>
      <w:r w:rsidRPr="00AE0EE2">
        <w:rPr>
          <w:i/>
        </w:rPr>
        <w:fldChar w:fldCharType="begin"/>
      </w:r>
      <w:r w:rsidRPr="00AE0EE2">
        <w:rPr>
          <w:i/>
        </w:rPr>
        <w:instrText xml:space="preserve"> TC"(</w:instrText>
      </w:r>
      <w:bookmarkStart w:id="2" w:name="DocNumber"/>
      <w:r w:rsidRPr="00AE0EE2">
        <w:rPr>
          <w:i/>
        </w:rPr>
        <w:instrText>A10-0243/2025</w:instrText>
      </w:r>
      <w:bookmarkEnd w:id="2"/>
      <w:r w:rsidRPr="00AE0EE2">
        <w:rPr>
          <w:i/>
        </w:rPr>
        <w:instrText xml:space="preserve"> - Relator: Christophe Gomart)"\l3 \n&gt; \* MERGEFORMAT </w:instrText>
      </w:r>
      <w:r w:rsidRPr="00AE0EE2">
        <w:rPr>
          <w:i/>
        </w:rPr>
        <w:fldChar w:fldCharType="end"/>
      </w:r>
    </w:p>
    <w:p w14:paraId="38F41F4E" w14:textId="77777777" w:rsidR="002E2E84" w:rsidRPr="00AE0EE2" w:rsidRDefault="002E2E84" w:rsidP="002E2E84">
      <w:pPr>
        <w:rPr>
          <w:vanish/>
        </w:rPr>
      </w:pPr>
      <w:bookmarkStart w:id="3" w:name="Commission"/>
      <w:r w:rsidRPr="00AE0EE2">
        <w:rPr>
          <w:vanish/>
        </w:rPr>
        <w:t>Comissão da Segurança e da Defesa</w:t>
      </w:r>
      <w:bookmarkEnd w:id="3"/>
    </w:p>
    <w:p w14:paraId="0861B6B3" w14:textId="77777777" w:rsidR="002E2E84" w:rsidRPr="00AE0EE2" w:rsidRDefault="002E2E84" w:rsidP="002E2E84">
      <w:pPr>
        <w:rPr>
          <w:vanish/>
        </w:rPr>
      </w:pPr>
      <w:bookmarkStart w:id="4" w:name="PE"/>
      <w:r w:rsidRPr="00AE0EE2">
        <w:rPr>
          <w:vanish/>
        </w:rPr>
        <w:t>PE776.772</w:t>
      </w:r>
      <w:bookmarkEnd w:id="4"/>
    </w:p>
    <w:p w14:paraId="5A27C701" w14:textId="6F3E5493" w:rsidR="002E2E84" w:rsidRPr="00AE0EE2" w:rsidRDefault="002E2E84" w:rsidP="002E2E84">
      <w:pPr>
        <w:pStyle w:val="ATHeading3"/>
      </w:pPr>
      <w:bookmarkStart w:id="5" w:name="Sujet"/>
      <w:r w:rsidRPr="00AE0EE2">
        <w:t xml:space="preserve">Resolução do Parlamento Europeu, de </w:t>
      </w:r>
      <w:r w:rsidR="00462ADF" w:rsidRPr="00AE0EE2">
        <w:t xml:space="preserve">17 </w:t>
      </w:r>
      <w:r w:rsidRPr="00AE0EE2">
        <w:t xml:space="preserve">de </w:t>
      </w:r>
      <w:r w:rsidR="00462ADF" w:rsidRPr="00AE0EE2">
        <w:t xml:space="preserve">dezembro </w:t>
      </w:r>
      <w:r w:rsidRPr="00AE0EE2">
        <w:t>de 2025, sobre a preparação da defesa europeia 2030: avaliação das necessidades</w:t>
      </w:r>
      <w:bookmarkEnd w:id="5"/>
      <w:r w:rsidRPr="00AE0EE2">
        <w:t xml:space="preserve"> </w:t>
      </w:r>
      <w:bookmarkStart w:id="6" w:name="References"/>
      <w:r w:rsidRPr="00AE0EE2">
        <w:t>(2025/2142(INI))</w:t>
      </w:r>
      <w:bookmarkEnd w:id="6"/>
    </w:p>
    <w:p w14:paraId="597A4954" w14:textId="77777777" w:rsidR="008400B2" w:rsidRPr="00AE0EE2" w:rsidRDefault="008400B2" w:rsidP="008400B2">
      <w:pPr>
        <w:pStyle w:val="EPComma"/>
      </w:pPr>
      <w:r w:rsidRPr="00AE0EE2">
        <w:rPr>
          <w:rStyle w:val="Italic"/>
        </w:rPr>
        <w:t>O Parlamento Europeu</w:t>
      </w:r>
      <w:r w:rsidRPr="00AE0EE2">
        <w:t>,</w:t>
      </w:r>
    </w:p>
    <w:p w14:paraId="435C1400" w14:textId="77777777" w:rsidR="008400B2" w:rsidRPr="00AE0EE2" w:rsidRDefault="008400B2" w:rsidP="008400B2">
      <w:pPr>
        <w:pStyle w:val="NormalHanging12a"/>
      </w:pPr>
      <w:r w:rsidRPr="00AE0EE2">
        <w:t>–</w:t>
      </w:r>
      <w:r w:rsidRPr="00AE0EE2">
        <w:tab/>
        <w:t>Tendo em conta o Tratado sobre o Funcionamento da União Europeia (TFUE),</w:t>
      </w:r>
    </w:p>
    <w:p w14:paraId="3E7820D6" w14:textId="77777777" w:rsidR="008400B2" w:rsidRPr="00AE0EE2" w:rsidRDefault="008400B2" w:rsidP="008400B2">
      <w:pPr>
        <w:pStyle w:val="NormalHanging12a"/>
      </w:pPr>
      <w:r w:rsidRPr="00AE0EE2">
        <w:t>–</w:t>
      </w:r>
      <w:r w:rsidRPr="00AE0EE2">
        <w:tab/>
        <w:t>Tendo em conta o título V do Tratado da União Europeia, nomeadamente o capítulo 2, secção 2, relativo à política comum de segurança e defesa,</w:t>
      </w:r>
    </w:p>
    <w:p w14:paraId="21908D9B" w14:textId="77777777" w:rsidR="008400B2" w:rsidRPr="00AE0EE2" w:rsidRDefault="008400B2" w:rsidP="008400B2">
      <w:pPr>
        <w:pStyle w:val="NormalHanging12a"/>
      </w:pPr>
      <w:r w:rsidRPr="00AE0EE2">
        <w:t>–</w:t>
      </w:r>
      <w:r w:rsidRPr="00AE0EE2">
        <w:tab/>
        <w:t>Tendo em conta o livro branco intitulado «Livro Branco sobre a preparação da defesa europeia 2030», apresentado pela Comissão e pela alta representante da União para os Negócios Estrangeiros e a Política de Segurança, em 19 de março de 2025, e o seu plano de financiamento em cinco vertentes, intitulado «</w:t>
      </w:r>
      <w:proofErr w:type="spellStart"/>
      <w:r w:rsidRPr="00AE0EE2">
        <w:t>ReArm</w:t>
      </w:r>
      <w:proofErr w:type="spellEnd"/>
      <w:r w:rsidRPr="00AE0EE2">
        <w:t xml:space="preserve"> </w:t>
      </w:r>
      <w:proofErr w:type="spellStart"/>
      <w:r w:rsidRPr="00AE0EE2">
        <w:t>Europe</w:t>
      </w:r>
      <w:proofErr w:type="spellEnd"/>
      <w:r w:rsidRPr="00AE0EE2">
        <w:t>/Prontidão 2030»,</w:t>
      </w:r>
    </w:p>
    <w:p w14:paraId="4195414F" w14:textId="5DE58F1B" w:rsidR="008400B2" w:rsidRPr="00AE0EE2" w:rsidRDefault="008400B2" w:rsidP="008400B2">
      <w:pPr>
        <w:pStyle w:val="NormalHanging12a"/>
      </w:pPr>
      <w:r w:rsidRPr="00AE0EE2">
        <w:t>–</w:t>
      </w:r>
      <w:r w:rsidRPr="00AE0EE2">
        <w:tab/>
        <w:t>Tendo em conta a Comunicação conjunta da Comissão e do alto representante da União para os Negócios Estrangeiros e a Política de Segurança, de 18 de maio de 2022, sobre a análise dos défices de investimento na defesa e o rumo a seguir (JOIN(202</w:t>
      </w:r>
      <w:r w:rsidR="001E1DB6">
        <w:t>2</w:t>
      </w:r>
      <w:r w:rsidRPr="00AE0EE2">
        <w:t>)00</w:t>
      </w:r>
      <w:r w:rsidR="002A1392" w:rsidRPr="00AE0EE2">
        <w:t>24</w:t>
      </w:r>
      <w:r w:rsidRPr="00AE0EE2">
        <w:t>),</w:t>
      </w:r>
    </w:p>
    <w:p w14:paraId="15F750EA" w14:textId="77777777" w:rsidR="008400B2" w:rsidRPr="00AE0EE2" w:rsidRDefault="008400B2" w:rsidP="008400B2">
      <w:pPr>
        <w:pStyle w:val="NormalHanging12a"/>
      </w:pPr>
      <w:r w:rsidRPr="00AE0EE2">
        <w:t>–</w:t>
      </w:r>
      <w:r w:rsidRPr="00AE0EE2">
        <w:tab/>
        <w:t xml:space="preserve">Tendo em conta o estudo publicado em 11 de janeiro de 2024, intitulado «Access to </w:t>
      </w:r>
      <w:proofErr w:type="spellStart"/>
      <w:r w:rsidRPr="00AE0EE2">
        <w:t>equity</w:t>
      </w:r>
      <w:proofErr w:type="spellEnd"/>
      <w:r w:rsidRPr="00AE0EE2">
        <w:t xml:space="preserve"> </w:t>
      </w:r>
      <w:proofErr w:type="spellStart"/>
      <w:r w:rsidRPr="00AE0EE2">
        <w:t>financing</w:t>
      </w:r>
      <w:proofErr w:type="spellEnd"/>
      <w:r w:rsidRPr="00AE0EE2">
        <w:t xml:space="preserve"> for </w:t>
      </w:r>
      <w:proofErr w:type="spellStart"/>
      <w:r w:rsidRPr="00AE0EE2">
        <w:t>European</w:t>
      </w:r>
      <w:proofErr w:type="spellEnd"/>
      <w:r w:rsidRPr="00AE0EE2">
        <w:t xml:space="preserve"> </w:t>
      </w:r>
      <w:proofErr w:type="spellStart"/>
      <w:r w:rsidRPr="00AE0EE2">
        <w:t>defence</w:t>
      </w:r>
      <w:proofErr w:type="spellEnd"/>
      <w:r w:rsidRPr="00AE0EE2">
        <w:t xml:space="preserve"> </w:t>
      </w:r>
      <w:proofErr w:type="spellStart"/>
      <w:r w:rsidRPr="00AE0EE2">
        <w:t>SMEs</w:t>
      </w:r>
      <w:proofErr w:type="spellEnd"/>
      <w:r w:rsidRPr="00AE0EE2">
        <w:t>» [Acesso ao financiamento por capitais próprios para as PME europeias do setor da defesa]</w:t>
      </w:r>
      <w:r w:rsidRPr="00AE0EE2">
        <w:rPr>
          <w:rStyle w:val="FootnoteReference"/>
        </w:rPr>
        <w:footnoteReference w:id="1"/>
      </w:r>
      <w:r w:rsidRPr="00AE0EE2">
        <w:t>,</w:t>
      </w:r>
    </w:p>
    <w:p w14:paraId="4BE7D2FC" w14:textId="77777777" w:rsidR="008400B2" w:rsidRPr="00AE0EE2" w:rsidRDefault="008400B2" w:rsidP="008400B2">
      <w:pPr>
        <w:pStyle w:val="NormalHanging12a"/>
      </w:pPr>
      <w:r w:rsidRPr="00AE0EE2">
        <w:t>–</w:t>
      </w:r>
      <w:r w:rsidRPr="00AE0EE2">
        <w:tab/>
        <w:t>Tendo em conta a Comunicação Conjunta da Comissão e da alta representante da União para os Negócios Estrangeiros e a Política de Segurança, de 5 de março de 2024, intitulada «Uma nova Estratégia industrial de defesa europeia: alcançar a prontidão em matéria de defesa graças a uma indústria de defesa europeia mais reativa e resiliente» (JOIN(2024)0010),</w:t>
      </w:r>
    </w:p>
    <w:p w14:paraId="1795ED4F" w14:textId="77777777" w:rsidR="008400B2" w:rsidRPr="00AE0EE2" w:rsidRDefault="008400B2" w:rsidP="008400B2">
      <w:pPr>
        <w:pStyle w:val="NormalHanging12a"/>
      </w:pPr>
      <w:r w:rsidRPr="00AE0EE2">
        <w:t>–</w:t>
      </w:r>
      <w:r w:rsidRPr="00AE0EE2">
        <w:tab/>
        <w:t>Tendo em conta o Relatório de Mario </w:t>
      </w:r>
      <w:proofErr w:type="spellStart"/>
      <w:r w:rsidRPr="00AE0EE2">
        <w:t>Draghi</w:t>
      </w:r>
      <w:proofErr w:type="spellEnd"/>
      <w:r w:rsidRPr="00AE0EE2">
        <w:t xml:space="preserve">, de 9 de setembro de 2024, sobre o futuro da competitividade europeia (Relatório </w:t>
      </w:r>
      <w:proofErr w:type="spellStart"/>
      <w:r w:rsidRPr="00AE0EE2">
        <w:t>Draghi</w:t>
      </w:r>
      <w:proofErr w:type="spellEnd"/>
      <w:r w:rsidRPr="00AE0EE2">
        <w:t>),</w:t>
      </w:r>
    </w:p>
    <w:p w14:paraId="6DBDA86B" w14:textId="77777777" w:rsidR="008400B2" w:rsidRPr="00AE0EE2" w:rsidRDefault="008400B2" w:rsidP="008400B2">
      <w:pPr>
        <w:pStyle w:val="NormalHanging12a"/>
      </w:pPr>
      <w:r w:rsidRPr="00AE0EE2">
        <w:lastRenderedPageBreak/>
        <w:t>–</w:t>
      </w:r>
      <w:r w:rsidRPr="00AE0EE2">
        <w:tab/>
        <w:t>Tendo em conta o Relatório de atividades do Banco Europeu de Investimento (BEI) relativo a 2024,</w:t>
      </w:r>
    </w:p>
    <w:p w14:paraId="1FF2FDF8" w14:textId="77777777" w:rsidR="008400B2" w:rsidRPr="00AE0EE2" w:rsidRDefault="008400B2" w:rsidP="008400B2">
      <w:pPr>
        <w:pStyle w:val="NormalHanging12a"/>
      </w:pPr>
      <w:r w:rsidRPr="00AE0EE2">
        <w:t>–</w:t>
      </w:r>
      <w:r w:rsidRPr="00AE0EE2">
        <w:tab/>
        <w:t>Tendo em a sua posição em primeira leitura, de 25 de novembro de 2025, sobre a proposta de regulamento do Parlamento Europeu e do Conselho que estabelece o programa da indústria de defesa europeia e um quadro de medidas para garantir a disponibilidade e o aprovisionamento atempados dos produtos de defesa</w:t>
      </w:r>
      <w:r w:rsidRPr="00AE0EE2">
        <w:rPr>
          <w:rStyle w:val="FootnoteReference"/>
        </w:rPr>
        <w:footnoteReference w:id="2"/>
      </w:r>
      <w:r w:rsidRPr="00AE0EE2">
        <w:t>,</w:t>
      </w:r>
    </w:p>
    <w:p w14:paraId="4805D88D" w14:textId="77777777" w:rsidR="008400B2" w:rsidRPr="00AE0EE2" w:rsidRDefault="008400B2" w:rsidP="008400B2">
      <w:pPr>
        <w:pStyle w:val="NormalHanging12a"/>
      </w:pPr>
      <w:r w:rsidRPr="00AE0EE2">
        <w:t>–</w:t>
      </w:r>
      <w:r w:rsidRPr="00AE0EE2">
        <w:tab/>
        <w:t>Tendo em conta o comunicado conjunto, emitido em 6 de junho de 2025, pela França, Alemanha, Espanha, Estónia, Luxemburgo, Países Baixos e Portugal sobre o lançamento do rótulo «</w:t>
      </w:r>
      <w:proofErr w:type="spellStart"/>
      <w:r w:rsidRPr="00AE0EE2">
        <w:t>Finance</w:t>
      </w:r>
      <w:proofErr w:type="spellEnd"/>
      <w:r w:rsidRPr="00AE0EE2">
        <w:t xml:space="preserve"> </w:t>
      </w:r>
      <w:proofErr w:type="spellStart"/>
      <w:r w:rsidRPr="00AE0EE2">
        <w:t>Europe</w:t>
      </w:r>
      <w:proofErr w:type="spellEnd"/>
      <w:r w:rsidRPr="00AE0EE2">
        <w:t>»,</w:t>
      </w:r>
    </w:p>
    <w:p w14:paraId="235181AD" w14:textId="77777777" w:rsidR="008400B2" w:rsidRPr="00AE0EE2" w:rsidRDefault="008400B2" w:rsidP="008400B2">
      <w:pPr>
        <w:pStyle w:val="NormalHanging12a"/>
      </w:pPr>
      <w:r w:rsidRPr="00AE0EE2">
        <w:t>–</w:t>
      </w:r>
      <w:r w:rsidRPr="00AE0EE2">
        <w:tab/>
        <w:t xml:space="preserve">Tendo em conta a Comunicação da Comissão, de 17 de junho de 2025, sobre o pacote </w:t>
      </w:r>
      <w:proofErr w:type="spellStart"/>
      <w:r w:rsidRPr="00AE0EE2">
        <w:rPr>
          <w:i/>
          <w:iCs/>
        </w:rPr>
        <w:t>Omnibus</w:t>
      </w:r>
      <w:proofErr w:type="spellEnd"/>
      <w:r w:rsidRPr="00AE0EE2">
        <w:t xml:space="preserve"> Prontidão da Defesa (COM(2025)0820), destinada a simplificar os quadros jurídicos e administrativos pertinentes para reforçar a prontidão da UE em matéria de defesa,</w:t>
      </w:r>
    </w:p>
    <w:p w14:paraId="08E88545" w14:textId="77777777" w:rsidR="008400B2" w:rsidRPr="00AE0EE2" w:rsidRDefault="008400B2" w:rsidP="00C478F4">
      <w:pPr>
        <w:spacing w:after="240"/>
        <w:ind w:left="567" w:hanging="567"/>
      </w:pPr>
      <w:r w:rsidRPr="00AE0EE2">
        <w:t>–</w:t>
      </w:r>
      <w:r w:rsidRPr="00AE0EE2">
        <w:tab/>
        <w:t>Tendo em conta o 10.º relatório intercalar, de junho de 2025, sobre a aplicação do conjunto comum de propostas aprovado pelos Conselhos da UE e da NATO em 6 de dezembro de 2016 e 5 de dezembro de 2017,</w:t>
      </w:r>
    </w:p>
    <w:p w14:paraId="5B4D5D1D" w14:textId="77777777" w:rsidR="008400B2" w:rsidRPr="00AE0EE2" w:rsidRDefault="008400B2" w:rsidP="00C478F4">
      <w:pPr>
        <w:spacing w:after="240"/>
        <w:ind w:left="567" w:hanging="567"/>
      </w:pPr>
      <w:r w:rsidRPr="00AE0EE2">
        <w:t>–</w:t>
      </w:r>
      <w:r w:rsidRPr="00AE0EE2">
        <w:tab/>
        <w:t>Tendo em conta o Regulamento (UE) 2025/1106 do Conselho, de 27 de maio de 2025, que cria o Instrumento de Ação para a Segurança da Europa (SAFE) através do Reforço da Indústria Europeia de Defesa</w:t>
      </w:r>
      <w:r w:rsidRPr="00AE0EE2">
        <w:rPr>
          <w:rStyle w:val="FootnoteReference"/>
        </w:rPr>
        <w:footnoteReference w:id="3"/>
      </w:r>
      <w:r w:rsidRPr="00AE0EE2">
        <w:t>,</w:t>
      </w:r>
    </w:p>
    <w:p w14:paraId="41FA1274" w14:textId="77777777" w:rsidR="008400B2" w:rsidRPr="00AE0EE2" w:rsidRDefault="008400B2" w:rsidP="00C478F4">
      <w:pPr>
        <w:spacing w:after="240"/>
        <w:ind w:left="567" w:hanging="567"/>
      </w:pPr>
      <w:r w:rsidRPr="00AE0EE2">
        <w:t>–</w:t>
      </w:r>
      <w:r w:rsidRPr="00AE0EE2">
        <w:tab/>
        <w:t xml:space="preserve">Tendo em conta o Relatório de Enrico </w:t>
      </w:r>
      <w:proofErr w:type="spellStart"/>
      <w:r w:rsidRPr="00AE0EE2">
        <w:t>Letta</w:t>
      </w:r>
      <w:proofErr w:type="spellEnd"/>
      <w:r w:rsidRPr="00AE0EE2">
        <w:t xml:space="preserve">, de 10 de abril de 2024, sobre o futuro do mercado único europeu (Relatório </w:t>
      </w:r>
      <w:proofErr w:type="spellStart"/>
      <w:r w:rsidRPr="00AE0EE2">
        <w:t>Letta</w:t>
      </w:r>
      <w:proofErr w:type="spellEnd"/>
      <w:r w:rsidRPr="00AE0EE2">
        <w:t>),</w:t>
      </w:r>
    </w:p>
    <w:p w14:paraId="31A2BBB7" w14:textId="6A000821" w:rsidR="008400B2" w:rsidRPr="00AE0EE2" w:rsidRDefault="008400B2" w:rsidP="008400B2">
      <w:pPr>
        <w:pStyle w:val="Normal6a"/>
        <w:spacing w:after="240"/>
        <w:ind w:left="567" w:hanging="567"/>
      </w:pPr>
      <w:r w:rsidRPr="00AE0EE2">
        <w:t>–</w:t>
      </w:r>
      <w:r w:rsidRPr="00AE0EE2">
        <w:tab/>
        <w:t xml:space="preserve">Tendo em conta o Relatório de </w:t>
      </w:r>
      <w:proofErr w:type="spellStart"/>
      <w:r w:rsidRPr="00AE0EE2">
        <w:t>Sauli</w:t>
      </w:r>
      <w:proofErr w:type="spellEnd"/>
      <w:r w:rsidRPr="00AE0EE2">
        <w:t xml:space="preserve"> Niinistö, de 30 de outubro de 20</w:t>
      </w:r>
      <w:r w:rsidR="00921F42">
        <w:t>2</w:t>
      </w:r>
      <w:r w:rsidRPr="00AE0EE2">
        <w:t>4, intitulado «</w:t>
      </w:r>
      <w:proofErr w:type="spellStart"/>
      <w:r w:rsidRPr="00AE0EE2">
        <w:t>Safer</w:t>
      </w:r>
      <w:proofErr w:type="spellEnd"/>
      <w:r w:rsidRPr="00AE0EE2">
        <w:t xml:space="preserve"> </w:t>
      </w:r>
      <w:proofErr w:type="spellStart"/>
      <w:r w:rsidRPr="00AE0EE2">
        <w:t>together</w:t>
      </w:r>
      <w:proofErr w:type="spellEnd"/>
      <w:r w:rsidRPr="00AE0EE2">
        <w:t xml:space="preserve"> –– </w:t>
      </w:r>
      <w:proofErr w:type="spellStart"/>
      <w:r w:rsidRPr="00AE0EE2">
        <w:t>strengthening</w:t>
      </w:r>
      <w:proofErr w:type="spellEnd"/>
      <w:r w:rsidRPr="00AE0EE2">
        <w:t xml:space="preserve"> </w:t>
      </w:r>
      <w:proofErr w:type="spellStart"/>
      <w:r w:rsidRPr="00AE0EE2">
        <w:t>Europe’s</w:t>
      </w:r>
      <w:proofErr w:type="spellEnd"/>
      <w:r w:rsidRPr="00AE0EE2">
        <w:t xml:space="preserve"> </w:t>
      </w:r>
      <w:proofErr w:type="spellStart"/>
      <w:r w:rsidRPr="00AE0EE2">
        <w:t>civilian</w:t>
      </w:r>
      <w:proofErr w:type="spellEnd"/>
      <w:r w:rsidRPr="00AE0EE2">
        <w:t xml:space="preserve"> </w:t>
      </w:r>
      <w:proofErr w:type="spellStart"/>
      <w:r w:rsidRPr="00AE0EE2">
        <w:t>and</w:t>
      </w:r>
      <w:proofErr w:type="spellEnd"/>
      <w:r w:rsidRPr="00AE0EE2">
        <w:t xml:space="preserve"> </w:t>
      </w:r>
      <w:proofErr w:type="spellStart"/>
      <w:r w:rsidRPr="00AE0EE2">
        <w:t>military</w:t>
      </w:r>
      <w:proofErr w:type="spellEnd"/>
      <w:r w:rsidRPr="00AE0EE2">
        <w:t xml:space="preserve"> </w:t>
      </w:r>
      <w:proofErr w:type="spellStart"/>
      <w:r w:rsidRPr="00AE0EE2">
        <w:t>preparedness</w:t>
      </w:r>
      <w:proofErr w:type="spellEnd"/>
      <w:r w:rsidRPr="00AE0EE2">
        <w:t xml:space="preserve"> </w:t>
      </w:r>
      <w:proofErr w:type="spellStart"/>
      <w:r w:rsidRPr="00AE0EE2">
        <w:t>and</w:t>
      </w:r>
      <w:proofErr w:type="spellEnd"/>
      <w:r w:rsidRPr="00AE0EE2">
        <w:t xml:space="preserve"> </w:t>
      </w:r>
      <w:proofErr w:type="spellStart"/>
      <w:r w:rsidRPr="00AE0EE2">
        <w:t>readiness</w:t>
      </w:r>
      <w:proofErr w:type="spellEnd"/>
      <w:r w:rsidRPr="00AE0EE2">
        <w:t xml:space="preserve">» [Mais seguros juntos: reforçar a prontidão e a preparação civil e militar da Europa] (Relatório Niinistö), </w:t>
      </w:r>
    </w:p>
    <w:p w14:paraId="4B083193" w14:textId="77777777" w:rsidR="008400B2" w:rsidRPr="00AE0EE2" w:rsidRDefault="008400B2" w:rsidP="008400B2">
      <w:pPr>
        <w:pStyle w:val="Normal6a"/>
        <w:spacing w:after="240"/>
        <w:ind w:left="567" w:hanging="567"/>
      </w:pPr>
      <w:r w:rsidRPr="00AE0EE2">
        <w:t>–</w:t>
      </w:r>
      <w:r w:rsidRPr="00AE0EE2">
        <w:tab/>
        <w:t>Tendo em conta a sua Resolução, de 12 de março de 2025, sobre o Livro Branco sobre o futuro da defesa europeia</w:t>
      </w:r>
      <w:r w:rsidRPr="00AE0EE2">
        <w:rPr>
          <w:rStyle w:val="FootnoteReference"/>
        </w:rPr>
        <w:footnoteReference w:id="4"/>
      </w:r>
      <w:r w:rsidRPr="00AE0EE2">
        <w:t>,</w:t>
      </w:r>
    </w:p>
    <w:p w14:paraId="1462A2EE" w14:textId="77777777" w:rsidR="008400B2" w:rsidRPr="00AE0EE2" w:rsidRDefault="008400B2" w:rsidP="008400B2">
      <w:pPr>
        <w:pStyle w:val="Normal6a"/>
        <w:spacing w:after="240"/>
        <w:ind w:left="567" w:hanging="567"/>
      </w:pPr>
      <w:r w:rsidRPr="00AE0EE2">
        <w:t>–</w:t>
      </w:r>
      <w:r w:rsidRPr="00AE0EE2">
        <w:tab/>
        <w:t>Tendo em conta a sua Resolução, de 8 de julho de 2025, sobre as atividades financeiras do Banco Europeu de Investimento – relatório anual de 2024</w:t>
      </w:r>
      <w:r w:rsidRPr="00AE0EE2">
        <w:rPr>
          <w:rStyle w:val="FootnoteReference"/>
        </w:rPr>
        <w:footnoteReference w:id="5"/>
      </w:r>
      <w:r w:rsidRPr="00AE0EE2">
        <w:t>,</w:t>
      </w:r>
    </w:p>
    <w:p w14:paraId="271145BA" w14:textId="77777777" w:rsidR="008400B2" w:rsidRPr="00AE0EE2" w:rsidRDefault="008400B2" w:rsidP="008400B2">
      <w:pPr>
        <w:pStyle w:val="Normal6a"/>
        <w:spacing w:after="240"/>
        <w:ind w:left="567" w:hanging="567"/>
      </w:pPr>
      <w:r w:rsidRPr="00AE0EE2">
        <w:t>–</w:t>
      </w:r>
      <w:r w:rsidRPr="00AE0EE2">
        <w:tab/>
        <w:t>Tendo em conta a Comunicação da Comissão, de 28 de agosto de 2025, sobre a aplicação ao setor da defesa do quadro de financiamento sustentável e da Diretiva relativa ao dever de diligência das empresas em matéria de sustentabilidade (C(2025)3800),</w:t>
      </w:r>
    </w:p>
    <w:p w14:paraId="5CACAC10" w14:textId="77777777" w:rsidR="008400B2" w:rsidRPr="00AE0EE2" w:rsidRDefault="008400B2" w:rsidP="008400B2">
      <w:pPr>
        <w:pStyle w:val="NormalHanging12a"/>
      </w:pPr>
      <w:r w:rsidRPr="00AE0EE2">
        <w:t>–</w:t>
      </w:r>
      <w:r w:rsidRPr="00AE0EE2">
        <w:tab/>
        <w:t>Tendo em conta os pareceres da Comissão dos Assuntos Económicos e Monetários, da Comissão da Indústria, da Investigação e da Energia, e da Comissão dos Orçamentos,</w:t>
      </w:r>
    </w:p>
    <w:p w14:paraId="6751C431" w14:textId="77777777" w:rsidR="008400B2" w:rsidRPr="00AE0EE2" w:rsidRDefault="008400B2" w:rsidP="008400B2">
      <w:pPr>
        <w:pStyle w:val="NormalHanging12a"/>
      </w:pPr>
      <w:r w:rsidRPr="00AE0EE2">
        <w:lastRenderedPageBreak/>
        <w:t>–</w:t>
      </w:r>
      <w:r w:rsidRPr="00AE0EE2">
        <w:tab/>
        <w:t>Tendo em conta o artigo 55.º do seu Regimento,</w:t>
      </w:r>
    </w:p>
    <w:p w14:paraId="46E07899" w14:textId="77777777" w:rsidR="008400B2" w:rsidRPr="00AE0EE2" w:rsidRDefault="008400B2" w:rsidP="008400B2">
      <w:pPr>
        <w:pStyle w:val="NormalHanging12a"/>
      </w:pPr>
      <w:r w:rsidRPr="00AE0EE2">
        <w:t>–</w:t>
      </w:r>
      <w:r w:rsidRPr="00AE0EE2">
        <w:tab/>
        <w:t>Tendo em conta o relatório da Comissão da Segurança e da Defesa (A10</w:t>
      </w:r>
      <w:r w:rsidRPr="00AE0EE2">
        <w:noBreakHyphen/>
        <w:t>0243/2025),</w:t>
      </w:r>
    </w:p>
    <w:p w14:paraId="2C7F5588" w14:textId="52BA1B10" w:rsidR="008400B2" w:rsidRPr="00AE0EE2" w:rsidRDefault="008400B2" w:rsidP="008400B2">
      <w:pPr>
        <w:pStyle w:val="NormalHanging12a"/>
      </w:pPr>
      <w:r w:rsidRPr="00AE0EE2">
        <w:t>A.</w:t>
      </w:r>
      <w:r w:rsidRPr="00AE0EE2">
        <w:tab/>
        <w:t>Considerando que, segundo a Agência Europeia de Defesa (AED), após uma redução em 2014, as despesas de defesa dos Estados</w:t>
      </w:r>
      <w:r w:rsidRPr="00AE0EE2">
        <w:noBreakHyphen/>
        <w:t>Membros ascenderam a 343 mil milhões de EUR em 2024, representando 1,9 % do PIB, o que equivale a um aumento de 19 % em relação a 2023</w:t>
      </w:r>
      <w:r w:rsidR="00462ADF" w:rsidRPr="00AE0EE2">
        <w:t>; considerando que</w:t>
      </w:r>
      <w:r w:rsidRPr="00AE0EE2">
        <w:t>, de acordo com a AED, em 2025, as despesas de defesa dos Estados</w:t>
      </w:r>
      <w:r w:rsidRPr="00AE0EE2">
        <w:noBreakHyphen/>
        <w:t>Membros poderão superar o marco de referência de 2 % do PIB especificado na orientação da NATO;</w:t>
      </w:r>
    </w:p>
    <w:p w14:paraId="2C0114FB" w14:textId="4578DDA7" w:rsidR="008400B2" w:rsidRPr="00AE0EE2" w:rsidRDefault="008400B2" w:rsidP="008400B2">
      <w:pPr>
        <w:pStyle w:val="NormalHanging12a"/>
        <w:rPr>
          <w:bCs/>
          <w:iCs/>
        </w:rPr>
      </w:pPr>
      <w:r w:rsidRPr="00AE0EE2">
        <w:t>B.</w:t>
      </w:r>
      <w:r w:rsidRPr="00AE0EE2">
        <w:tab/>
        <w:t>Considerando que o atual nível de investimento da UE na segurança e na defesa não chega para cumprir os objetivos em matéria de capacidades de cada Estado</w:t>
      </w:r>
      <w:r w:rsidRPr="00AE0EE2">
        <w:noBreakHyphen/>
        <w:t>Membro</w:t>
      </w:r>
      <w:r w:rsidR="00462ADF" w:rsidRPr="00AE0EE2">
        <w:t>; considerando que</w:t>
      </w:r>
      <w:r w:rsidRPr="00AE0EE2">
        <w:t xml:space="preserve"> as ações isoladas têm um custo muito superior ao das ações conjuntas</w:t>
      </w:r>
      <w:r w:rsidR="00462ADF" w:rsidRPr="00AE0EE2">
        <w:t>; considerando que</w:t>
      </w:r>
      <w:r w:rsidRPr="00AE0EE2">
        <w:t xml:space="preserve"> o custo da falta de preparação e de uma eventual derrota militar, com a consequente perda de autonomia, é muito mais elevado do que o custo de uma ação decisiva neste momento</w:t>
      </w:r>
      <w:r w:rsidR="00462ADF" w:rsidRPr="00AE0EE2">
        <w:t>; considerando que</w:t>
      </w:r>
      <w:r w:rsidRPr="00AE0EE2">
        <w:t xml:space="preserve"> o aumento das despesas nacionais com a defesa sem procurar resolver os problemas da coordenação, dos esforços redundantes e do desalinhamento das estratégias pode ser contraproducente, porque pode agravar as dificuldades de integração das forças e fazer aumentar os custos de aquisição para todos os Estados</w:t>
      </w:r>
      <w:r w:rsidRPr="00AE0EE2">
        <w:noBreakHyphen/>
        <w:t>Membros devido à intensificação da concorrência entre eles;</w:t>
      </w:r>
    </w:p>
    <w:p w14:paraId="408E9B1A" w14:textId="3F1D69D3" w:rsidR="008400B2" w:rsidRPr="00AE0EE2" w:rsidRDefault="008400B2" w:rsidP="008400B2">
      <w:pPr>
        <w:pStyle w:val="NormalHanging12a"/>
      </w:pPr>
      <w:r w:rsidRPr="00AE0EE2">
        <w:t>C.</w:t>
      </w:r>
      <w:r w:rsidRPr="00AE0EE2">
        <w:tab/>
        <w:t xml:space="preserve">Considerando que o Relatório Niinistö salienta que o aumento do financiamento disponível para a cooperação no domínio da defesa é vital para superar a fragmentação endémica e décadas de </w:t>
      </w:r>
      <w:proofErr w:type="spellStart"/>
      <w:r w:rsidRPr="00AE0EE2">
        <w:t>subinvestimento</w:t>
      </w:r>
      <w:proofErr w:type="spellEnd"/>
      <w:r w:rsidR="00462ADF" w:rsidRPr="00AE0EE2">
        <w:t>; considerando que</w:t>
      </w:r>
      <w:r w:rsidRPr="00AE0EE2">
        <w:t xml:space="preserve"> a Comissão identificou um défice de investimento nas capacidades de defesa de 800 mil milhões de EUR nos Estados</w:t>
      </w:r>
      <w:r w:rsidRPr="00AE0EE2">
        <w:noBreakHyphen/>
        <w:t>Membros, que deve ser colmatado até 2030 no âmbito do plano «</w:t>
      </w:r>
      <w:proofErr w:type="spellStart"/>
      <w:r w:rsidRPr="00AE0EE2">
        <w:t>ReArm</w:t>
      </w:r>
      <w:proofErr w:type="spellEnd"/>
      <w:r w:rsidRPr="00AE0EE2">
        <w:t xml:space="preserve"> </w:t>
      </w:r>
      <w:proofErr w:type="spellStart"/>
      <w:r w:rsidRPr="00AE0EE2">
        <w:t>Europe</w:t>
      </w:r>
      <w:proofErr w:type="spellEnd"/>
      <w:r w:rsidRPr="00AE0EE2">
        <w:t>/Prontidão 2030», o que implica um aumento anual de 10 % das despesas para atingir cerca de 575 mil milhões de EUR em 2030, ou seja, 3,15 % do PIB combinado</w:t>
      </w:r>
      <w:r w:rsidR="00462ADF" w:rsidRPr="00AE0EE2">
        <w:t>; considerando que</w:t>
      </w:r>
      <w:r w:rsidRPr="00AE0EE2">
        <w:t xml:space="preserve"> tal está em consonância com o Relatório </w:t>
      </w:r>
      <w:proofErr w:type="spellStart"/>
      <w:r w:rsidRPr="00AE0EE2">
        <w:t>Draghi</w:t>
      </w:r>
      <w:proofErr w:type="spellEnd"/>
      <w:r w:rsidRPr="00AE0EE2">
        <w:t xml:space="preserve"> sobre o futuro da competitividade europeia;</w:t>
      </w:r>
    </w:p>
    <w:p w14:paraId="39E11DF2" w14:textId="77777777" w:rsidR="008400B2" w:rsidRPr="00AE0EE2" w:rsidRDefault="008400B2" w:rsidP="008400B2">
      <w:pPr>
        <w:pStyle w:val="NormalHanging12a"/>
      </w:pPr>
      <w:r w:rsidRPr="00AE0EE2">
        <w:t>D.</w:t>
      </w:r>
      <w:r w:rsidRPr="00AE0EE2">
        <w:tab/>
        <w:t>Considerando que na sua proposta relativa ao quadro financeiro plurianual (QFP) 2028</w:t>
      </w:r>
      <w:r w:rsidRPr="00AE0EE2">
        <w:noBreakHyphen/>
        <w:t>2034, a Comissão prevê 115,7 mil milhões de EUR (a preços de 2025) para a defesa e o espaço ao abrigo do Fundo Europeu de Competitividade, cinco vezes mais do que no período anterior, bem como 15,7 mil milhões de EUR (a preços de 2025) para a mobilidade militar ao abrigo do Mecanismo Interligar a Europa, um aumento 10 vezes superior ao do período anterior, com o objetivo de apoiar o desenvolvimento de infraestruturas de transporte que possam ser utilizadas tanto para fins civis como militares;</w:t>
      </w:r>
    </w:p>
    <w:p w14:paraId="0C469D2A" w14:textId="6671982B" w:rsidR="008400B2" w:rsidRPr="00AE0EE2" w:rsidRDefault="008400B2" w:rsidP="008400B2">
      <w:pPr>
        <w:pStyle w:val="NormalHanging12a"/>
      </w:pPr>
      <w:r w:rsidRPr="00AE0EE2">
        <w:t>E.</w:t>
      </w:r>
      <w:r w:rsidRPr="00AE0EE2">
        <w:tab/>
        <w:t>Considerando que, com razão, os cidadãos da UE esperam mais da União e do seu orçamento, nomeadamente a capacidade de responder rápida e eficazmente à evolução das ameaças e de prestar o apoio necessário para impulsionar as capacidades de defesa, especialmente em tempos de crise</w:t>
      </w:r>
      <w:r w:rsidR="00462ADF" w:rsidRPr="00AE0EE2">
        <w:t>; considerando que</w:t>
      </w:r>
      <w:r w:rsidRPr="00AE0EE2">
        <w:t xml:space="preserve"> o próximo QFP deve apoiar uma abordagem de segurança abrangente e financiar adequadamente medidas que reforcem a prontidão e a resiliência no domínio da defesa;</w:t>
      </w:r>
    </w:p>
    <w:p w14:paraId="0C081C58" w14:textId="661F80AA" w:rsidR="008400B2" w:rsidRPr="00AE0EE2" w:rsidRDefault="008400B2" w:rsidP="008400B2">
      <w:pPr>
        <w:pStyle w:val="NormalHanging12a"/>
      </w:pPr>
      <w:r w:rsidRPr="00AE0EE2">
        <w:t>F.</w:t>
      </w:r>
      <w:r w:rsidRPr="00AE0EE2">
        <w:tab/>
        <w:t>Considerando que, segundo dados da Agência Europeia, em 2024, os Estados</w:t>
      </w:r>
      <w:r w:rsidRPr="00AE0EE2">
        <w:noBreakHyphen/>
        <w:t xml:space="preserve">Membros destinaram 31 % das suas despesas de defesa a investimentos, dos quais 88,2 % para a aquisição de novos equipamentos e 11,8 % para a investigação e desenvolvimento </w:t>
      </w:r>
      <w:r w:rsidRPr="00AE0EE2">
        <w:lastRenderedPageBreak/>
        <w:t>(I&amp;D)</w:t>
      </w:r>
      <w:r w:rsidR="00462ADF" w:rsidRPr="00AE0EE2">
        <w:t>; considerando que</w:t>
      </w:r>
      <w:r w:rsidRPr="00AE0EE2">
        <w:t xml:space="preserve"> as despesas relacionadas com a aquisição de equipamentos de defesa ascenderam a 88 mil milhões de EUR em 2024, o que representou um aumento de 39 % em relação a 2023</w:t>
      </w:r>
      <w:r w:rsidR="00462ADF" w:rsidRPr="00AE0EE2">
        <w:t>; considerando que</w:t>
      </w:r>
      <w:r w:rsidRPr="00AE0EE2">
        <w:t>, no âmbito do plano «</w:t>
      </w:r>
      <w:proofErr w:type="spellStart"/>
      <w:r w:rsidRPr="00AE0EE2">
        <w:t>ReArm</w:t>
      </w:r>
      <w:proofErr w:type="spellEnd"/>
      <w:r w:rsidRPr="00AE0EE2">
        <w:t xml:space="preserve"> </w:t>
      </w:r>
      <w:proofErr w:type="spellStart"/>
      <w:r w:rsidRPr="00AE0EE2">
        <w:t>Europe</w:t>
      </w:r>
      <w:proofErr w:type="spellEnd"/>
      <w:r w:rsidRPr="00AE0EE2">
        <w:t>/Prontidão 2030», este aumento deverá gerar, pelo menos, 240 mil milhões de EUR em investimento adicional até 2030</w:t>
      </w:r>
      <w:r w:rsidR="00462ADF" w:rsidRPr="00AE0EE2">
        <w:t>; considerando que</w:t>
      </w:r>
      <w:r w:rsidRPr="00AE0EE2">
        <w:t xml:space="preserve"> as despesas em I&amp;D no domínio da defesa nos Estados</w:t>
      </w:r>
      <w:r w:rsidRPr="00AE0EE2">
        <w:noBreakHyphen/>
        <w:t>Membros também aumentaram 20 % em 2024, atingindo 13 mil milhões de EUR;</w:t>
      </w:r>
    </w:p>
    <w:p w14:paraId="2E340568" w14:textId="77777777" w:rsidR="008400B2" w:rsidRPr="00AE0EE2" w:rsidRDefault="008400B2" w:rsidP="008400B2">
      <w:pPr>
        <w:pStyle w:val="NormalHanging12a"/>
      </w:pPr>
      <w:r w:rsidRPr="00AE0EE2">
        <w:t>G.</w:t>
      </w:r>
      <w:r w:rsidRPr="00AE0EE2">
        <w:tab/>
        <w:t>Considerando que, segundo a Comissão, 78 % das aquisições de defesa dos Estados</w:t>
      </w:r>
      <w:r w:rsidRPr="00AE0EE2">
        <w:noBreakHyphen/>
        <w:t>Membros entre fevereiro de 2022 e junho de 2023 provieram de países terceiros e dois terços desta percentagem dos EUA, e que 70 % do volume de negócios da base tecnológica e industrial de defesa europeia (BTIDE) depende de contratos públicos europeus;</w:t>
      </w:r>
    </w:p>
    <w:p w14:paraId="1CC02B6B" w14:textId="77777777" w:rsidR="008400B2" w:rsidRPr="00AE0EE2" w:rsidRDefault="008400B2" w:rsidP="008400B2">
      <w:pPr>
        <w:pStyle w:val="NormalHanging12a"/>
      </w:pPr>
      <w:r w:rsidRPr="00AE0EE2">
        <w:t>H.</w:t>
      </w:r>
      <w:r w:rsidRPr="00AE0EE2">
        <w:tab/>
        <w:t>Considerando que, de acordo com a Associação das Indústrias Aeroespaciais, de Segurança e Defesa da Europa, a BTIDE, que em 2023 representava cerca de 580 000 postos de trabalho diretos, 1,4 milhões de postos de trabalho indiretos e um volume de negócios de 160 mil milhões de EUR (um terço dos quais provenientes de exportações), enfrenta três dificuldades, a saber: a contratação, o aprovisionamento e o financiamento;</w:t>
      </w:r>
    </w:p>
    <w:p w14:paraId="134E6A09" w14:textId="197ABC4C" w:rsidR="008400B2" w:rsidRPr="00AE0EE2" w:rsidRDefault="008400B2" w:rsidP="008400B2">
      <w:pPr>
        <w:pStyle w:val="NormalHanging12a"/>
      </w:pPr>
      <w:r w:rsidRPr="00AE0EE2">
        <w:t>I.</w:t>
      </w:r>
      <w:r w:rsidRPr="00AE0EE2">
        <w:tab/>
        <w:t>Considerando que as pequenas e médias empresas (PME) representam uma componente fundamental da BTIDE, uma vez que proporcionam inovação, flexibilidade e resiliência em toda a cadeia de valor</w:t>
      </w:r>
      <w:r w:rsidR="00462ADF" w:rsidRPr="00AE0EE2">
        <w:t>; considerando que</w:t>
      </w:r>
      <w:r w:rsidRPr="00AE0EE2">
        <w:t xml:space="preserve"> o estudo de 2024 da Comissão sobre o acesso ao financiamento por capitais próprios saliente, no entanto, que as PME da BTIDE enfrentam mais dificuldades para obter crédito e financiamento por capitais próprios do que as de outros setores, pelos seguintes motivos: i) a irregularidade dos processos de contratação pública e dos prazos de pagamento entre os subcontratantes, o que reduz a previsibilidade dos fluxos de caixa, </w:t>
      </w:r>
      <w:proofErr w:type="spellStart"/>
      <w:r w:rsidRPr="00AE0EE2">
        <w:t>ii</w:t>
      </w:r>
      <w:proofErr w:type="spellEnd"/>
      <w:r w:rsidRPr="00AE0EE2">
        <w:t xml:space="preserve">) a exclusão de alguns investidores das atividades de defesa por razões de imagem e </w:t>
      </w:r>
      <w:proofErr w:type="spellStart"/>
      <w:r w:rsidRPr="00AE0EE2">
        <w:t>iii</w:t>
      </w:r>
      <w:proofErr w:type="spellEnd"/>
      <w:r w:rsidRPr="00AE0EE2">
        <w:t>) as possibilidades limitadas de saída dos ativos de defesa nos mercados de capitais europeus</w:t>
      </w:r>
      <w:r w:rsidR="00462ADF" w:rsidRPr="00AE0EE2">
        <w:t>; considerando que</w:t>
      </w:r>
      <w:r w:rsidRPr="00AE0EE2">
        <w:t xml:space="preserve"> a eliminação desses obstáculos ao financiamento é essencial para proporcionar às PME do setor da defesa um acesso equitativo aos mercados de capitais e ao investimento privado, melhorando assim a sua competitividade e resiliência económica;</w:t>
      </w:r>
    </w:p>
    <w:p w14:paraId="42469DA8" w14:textId="14967E96" w:rsidR="008400B2" w:rsidRPr="00AE0EE2" w:rsidRDefault="008400B2" w:rsidP="008400B2">
      <w:pPr>
        <w:pStyle w:val="NormalHanging12a"/>
      </w:pPr>
      <w:r w:rsidRPr="00AE0EE2">
        <w:t>J.</w:t>
      </w:r>
      <w:r w:rsidRPr="00AE0EE2">
        <w:tab/>
        <w:t>Considerando que as necessidades de financiamento adicional para a BTIDE durante o período de 2025</w:t>
      </w:r>
      <w:r w:rsidRPr="00AE0EE2">
        <w:noBreakHyphen/>
        <w:t>2030, que se estima que sejam, pelo menos, de 30 a 40 mil milhões de EUR, incluindo 6 a 18 mil milhões de EUR, devem ser satisfeitas por capitais próprios</w:t>
      </w:r>
      <w:r w:rsidR="00462ADF" w:rsidRPr="00AE0EE2">
        <w:t>; considerando que</w:t>
      </w:r>
      <w:r w:rsidRPr="00AE0EE2">
        <w:t xml:space="preserve"> tal realça a importância da União da Poupança e do Investimento da UE para a mobilização de capital privado a longo prazo e para atrair investidores institucionais;</w:t>
      </w:r>
    </w:p>
    <w:p w14:paraId="2A1B0D53" w14:textId="280F5572" w:rsidR="008400B2" w:rsidRPr="00AE0EE2" w:rsidRDefault="008400B2" w:rsidP="008400B2">
      <w:pPr>
        <w:pStyle w:val="NormalHanging12a"/>
      </w:pPr>
      <w:r w:rsidRPr="00AE0EE2">
        <w:t>K.</w:t>
      </w:r>
      <w:r w:rsidRPr="00AE0EE2">
        <w:tab/>
        <w:t>Considerando que o setor da defesa carece de robustez e está estruturado em torno de grandes contratantes, de cadeias de subcontratação vulneráveis e de cadeias de valor pan</w:t>
      </w:r>
      <w:r w:rsidRPr="00AE0EE2">
        <w:noBreakHyphen/>
        <w:t>europeias pouco desenvolvidas, o que limita a liquidez das pequenas empresas, que muitas vezes têm de financiar as suas necessidades de fundo de maneio com recursos a longo prazo</w:t>
      </w:r>
      <w:r w:rsidR="00462ADF" w:rsidRPr="00AE0EE2">
        <w:t>; considerando que</w:t>
      </w:r>
      <w:r w:rsidRPr="00AE0EE2">
        <w:t xml:space="preserve"> tal dificulta o reforço da BTIDE, que é essencial para o reforço das capacidades de defesa;</w:t>
      </w:r>
    </w:p>
    <w:p w14:paraId="6ADAF414" w14:textId="4278781F" w:rsidR="008400B2" w:rsidRPr="00AE0EE2" w:rsidRDefault="008400B2" w:rsidP="008400B2">
      <w:pPr>
        <w:pStyle w:val="NormalHanging12a"/>
      </w:pPr>
      <w:r w:rsidRPr="00AE0EE2">
        <w:t>L.</w:t>
      </w:r>
      <w:r w:rsidRPr="00AE0EE2">
        <w:tab/>
        <w:t xml:space="preserve">Considerando que o BEI deu prioridade ao setor da segurança e da defesa, adaptou os seus critérios de concessão de empréstimos e os processos internos e criou um balcão único para o apoio financeiro em matéria de segurança e defesa, o seu Gabinete de </w:t>
      </w:r>
      <w:r w:rsidRPr="00AE0EE2">
        <w:lastRenderedPageBreak/>
        <w:t>Segurança e Defesa</w:t>
      </w:r>
      <w:r w:rsidR="00462ADF" w:rsidRPr="00AE0EE2">
        <w:t>; considerando que</w:t>
      </w:r>
      <w:r w:rsidRPr="00AE0EE2">
        <w:t xml:space="preserve"> o BEI mobilizou quase mil milhões de euros em 2024 e tinha como objetivo atingir um valor de 2 mil milhões de EUR em 2025, mas que, efetivamente, já atingiu 3 mil milhões de EUR</w:t>
      </w:r>
      <w:r w:rsidR="00462ADF" w:rsidRPr="00AE0EE2">
        <w:t>; considerando que</w:t>
      </w:r>
      <w:r w:rsidRPr="00AE0EE2">
        <w:t>, desde 2017, já disponibilizou 13 mil milhões de EUR para a defesa e que tenciona afetar um montante adicional de 6 mil milhões de EUR até 2027, alargando a sua ação a projetos de dupla utilização e a novos instrumentos financeiros</w:t>
      </w:r>
      <w:r w:rsidR="00462ADF" w:rsidRPr="00AE0EE2">
        <w:t>; considerando que</w:t>
      </w:r>
      <w:r w:rsidRPr="00AE0EE2">
        <w:t xml:space="preserve"> melhorar o acesso das PME e das empresas de média capitalização que exercem a sua atividade no ecossistema de defesa e segurança aos instrumentos do BEI é fundamental para garantir um crescimento inclusivo e inovador em toda a União;</w:t>
      </w:r>
    </w:p>
    <w:p w14:paraId="6CD295AE" w14:textId="313AC037" w:rsidR="008400B2" w:rsidRPr="00AE0EE2" w:rsidRDefault="008400B2" w:rsidP="008400B2">
      <w:pPr>
        <w:pStyle w:val="Normal6a"/>
        <w:spacing w:after="240"/>
        <w:ind w:left="567" w:hanging="567"/>
      </w:pPr>
      <w:bookmarkStart w:id="7" w:name="_Hlk215500216"/>
      <w:r w:rsidRPr="00AE0EE2">
        <w:t>M.</w:t>
      </w:r>
      <w:r w:rsidRPr="00AE0EE2">
        <w:tab/>
        <w:t>Considerando que o BEI desempenha um papel fundamental na promoção da coesão económica, do desenvolvimento sustentável e da competitividade na UE</w:t>
      </w:r>
      <w:r w:rsidR="00462ADF" w:rsidRPr="00AE0EE2">
        <w:t>; considerando que</w:t>
      </w:r>
      <w:r w:rsidRPr="00AE0EE2">
        <w:t xml:space="preserve"> a criação de um banco de defesa, segurança e resiliência foi proposta no Livro Branco sobre o Futuro da Defesa Europeia</w:t>
      </w:r>
      <w:r w:rsidR="00462ADF" w:rsidRPr="00AE0EE2">
        <w:t>; considerando que</w:t>
      </w:r>
      <w:r w:rsidRPr="00AE0EE2">
        <w:t xml:space="preserve"> o alargamento formal do mandato do BEI de modo a incluir o apoio à BTIDE seria uma solução mais eficaz e proporcionada do que a criação de um novo banco de defesa, segurança e resiliência;</w:t>
      </w:r>
    </w:p>
    <w:bookmarkEnd w:id="7"/>
    <w:p w14:paraId="65C51C22" w14:textId="77777777" w:rsidR="008400B2" w:rsidRPr="00AE0EE2" w:rsidRDefault="008400B2" w:rsidP="008400B2">
      <w:pPr>
        <w:pStyle w:val="Normal6a"/>
        <w:tabs>
          <w:tab w:val="left" w:pos="567"/>
        </w:tabs>
        <w:spacing w:after="240"/>
        <w:ind w:left="567" w:hanging="567"/>
      </w:pPr>
      <w:r w:rsidRPr="00AE0EE2">
        <w:t>N.</w:t>
      </w:r>
      <w:r w:rsidRPr="00AE0EE2">
        <w:tab/>
        <w:t>Considerando que qualquer alargamento da política de concessão de empréstimos e dos critérios de elegibilidade do BEI para incluir equipamentos relacionados com a defesa deve ser avaliado em função da necessidade de preservar a estabilidade financeira do BEI e a sua notação de risco AAA, que continuam a ser salvaguardas essenciais para a sua capacidade de concretizar as prioridades políticas da UE, incluindo a prontidão no domínio da defesa e a independência política global da UE;</w:t>
      </w:r>
    </w:p>
    <w:p w14:paraId="55D54228" w14:textId="77777777" w:rsidR="008400B2" w:rsidRPr="00AE0EE2" w:rsidRDefault="008400B2" w:rsidP="008400B2">
      <w:pPr>
        <w:pStyle w:val="NormalHanging12a"/>
      </w:pPr>
      <w:r w:rsidRPr="00AE0EE2">
        <w:t>O.</w:t>
      </w:r>
      <w:r w:rsidRPr="00AE0EE2">
        <w:tab/>
        <w:t>Considerando que, em 2023, cerca de 39 casos de investimentos diretos estrangeiros (IDE) notificados foram submetidos a uma apreciação aprofundada no âmbito do mecanismo de cooperação da UE em matéria de análise de IDE, tendo os setores da defesa e da aeronáutica sido particularmente afetados</w:t>
      </w:r>
      <w:r w:rsidRPr="00AE0EE2">
        <w:rPr>
          <w:rStyle w:val="FootnoteReference"/>
        </w:rPr>
        <w:footnoteReference w:id="6"/>
      </w:r>
      <w:r w:rsidRPr="00AE0EE2">
        <w:t>;</w:t>
      </w:r>
    </w:p>
    <w:p w14:paraId="7157D165" w14:textId="0A7B7148" w:rsidR="008400B2" w:rsidRPr="00AE0EE2" w:rsidRDefault="008400B2" w:rsidP="008400B2">
      <w:pPr>
        <w:pStyle w:val="NormalHanging12a"/>
      </w:pPr>
      <w:r w:rsidRPr="00AE0EE2">
        <w:t>P.</w:t>
      </w:r>
      <w:r w:rsidRPr="00AE0EE2">
        <w:tab/>
        <w:t xml:space="preserve">Considerando que, apesar da criação de fundos especializados na Europa, em 2024, existiam apenas </w:t>
      </w:r>
      <w:r w:rsidR="00BA72B2" w:rsidRPr="00AE0EE2">
        <w:t xml:space="preserve">30 </w:t>
      </w:r>
      <w:r w:rsidRPr="00AE0EE2">
        <w:t>fundos de defesa europeus, quatro dos quais com ativos superiores a 500 milhões de EUR, em comparação com mais de 50 fundos deste tipo nos Estados Unidos, 30 dos quais desta mesma dimensão, e que esta situação conduz a um mercado secundário menos atrativo, a avaliações mais baixas nas operações de saída e ao risco de que os investidores estrangeiros assumam o controlo;</w:t>
      </w:r>
    </w:p>
    <w:p w14:paraId="5108F9DD" w14:textId="5DECB3C4" w:rsidR="008400B2" w:rsidRPr="00AE0EE2" w:rsidRDefault="008400B2" w:rsidP="008400B2">
      <w:pPr>
        <w:pStyle w:val="Normal6a"/>
        <w:tabs>
          <w:tab w:val="left" w:pos="567"/>
        </w:tabs>
        <w:spacing w:after="240"/>
        <w:ind w:left="567" w:hanging="567"/>
        <w:rPr>
          <w:bCs/>
          <w:iCs/>
        </w:rPr>
      </w:pPr>
      <w:r w:rsidRPr="00AE0EE2">
        <w:t>Q.</w:t>
      </w:r>
      <w:r w:rsidRPr="00AE0EE2">
        <w:tab/>
        <w:t>Considerando que a deterioração do ambiente de segurança e o aumento das ameaças híbridas e convencionais em toda a UE salientam a necessidade de um investimento sustentado na prontidão em matéria de defesa, na resiliência e na mobilidade militar</w:t>
      </w:r>
      <w:r w:rsidR="00462ADF" w:rsidRPr="00AE0EE2">
        <w:t>; considerando que</w:t>
      </w:r>
      <w:r w:rsidRPr="00AE0EE2">
        <w:t xml:space="preserve"> o flanco oriental constitui uma zona estratégica para a segurança global da Europa, o que exige infraestruturas reforçadas, capacidades de vigilância e mecanismos de reforço rápido</w:t>
      </w:r>
      <w:r w:rsidR="00462ADF" w:rsidRPr="00AE0EE2">
        <w:t>; considerando que</w:t>
      </w:r>
      <w:r w:rsidRPr="00AE0EE2">
        <w:t xml:space="preserve"> o reforço da gestão das fronteiras, a melhoria dos sistemas </w:t>
      </w:r>
      <w:proofErr w:type="spellStart"/>
      <w:r w:rsidRPr="00AE0EE2">
        <w:t>antidrones</w:t>
      </w:r>
      <w:proofErr w:type="spellEnd"/>
      <w:r w:rsidRPr="00AE0EE2">
        <w:t xml:space="preserve"> e de defesa aérea, bem como o desenvolvimento de capacidades industriais regionais para a produção e a inovação no domínio da defesa são essenciais para garantir a preparação da UE</w:t>
      </w:r>
      <w:r w:rsidR="00462ADF" w:rsidRPr="00AE0EE2">
        <w:t>; considerando que</w:t>
      </w:r>
      <w:r w:rsidRPr="00AE0EE2">
        <w:t xml:space="preserve"> estas medidas, incluindo a execução de iniciativas fundamentais, como a Iniciativa de Defesa Europeia </w:t>
      </w:r>
      <w:proofErr w:type="spellStart"/>
      <w:r w:rsidRPr="00AE0EE2">
        <w:t>Antidrones</w:t>
      </w:r>
      <w:proofErr w:type="spellEnd"/>
      <w:r w:rsidRPr="00AE0EE2">
        <w:t>, a iniciativa Vigilância do Flanco Oriental, o Escudo Aéreo Europeu e o Escudo Espacial Europeu, devem ser apoiadas por um financiamento adequado da UE</w:t>
      </w:r>
      <w:r w:rsidR="00462ADF" w:rsidRPr="00AE0EE2">
        <w:t xml:space="preserve">; </w:t>
      </w:r>
      <w:r w:rsidR="00462ADF" w:rsidRPr="00AE0EE2">
        <w:lastRenderedPageBreak/>
        <w:t>considerando que</w:t>
      </w:r>
      <w:r w:rsidRPr="00AE0EE2">
        <w:t xml:space="preserve"> esses esforços são essenciais para proteger os Estados</w:t>
      </w:r>
      <w:r w:rsidRPr="00AE0EE2">
        <w:noBreakHyphen/>
        <w:t>Membros mais expostos, preservar a integridade territorial da UE e defender a dissuasão coletiva e a estabilidade em todo o continente;</w:t>
      </w:r>
    </w:p>
    <w:p w14:paraId="60667BF5" w14:textId="77777777" w:rsidR="008400B2" w:rsidRPr="00AE0EE2" w:rsidRDefault="008400B2" w:rsidP="008400B2">
      <w:pPr>
        <w:pStyle w:val="Normal6a"/>
        <w:rPr>
          <w:i/>
          <w:iCs/>
        </w:rPr>
      </w:pPr>
      <w:r w:rsidRPr="00AE0EE2">
        <w:rPr>
          <w:rStyle w:val="Bold"/>
          <w:i/>
        </w:rPr>
        <w:t>Proporcionar uma base estável e uma visão a longo prazo para os investimentos privados no setor da defesa</w:t>
      </w:r>
    </w:p>
    <w:p w14:paraId="56AE5CB0" w14:textId="77777777" w:rsidR="008400B2" w:rsidRPr="00AE0EE2" w:rsidRDefault="008400B2" w:rsidP="008400B2">
      <w:pPr>
        <w:pStyle w:val="Normal12a24b"/>
      </w:pPr>
      <w:r w:rsidRPr="00AE0EE2">
        <w:rPr>
          <w:rStyle w:val="Italic"/>
        </w:rPr>
        <w:t>Apoiar e orientar melhor o investimento público dos Estados</w:t>
      </w:r>
      <w:r w:rsidRPr="00AE0EE2">
        <w:rPr>
          <w:rStyle w:val="Italic"/>
        </w:rPr>
        <w:noBreakHyphen/>
        <w:t>Membros na defesa</w:t>
      </w:r>
    </w:p>
    <w:p w14:paraId="7A26C159" w14:textId="77777777" w:rsidR="008400B2" w:rsidRPr="00AE0EE2" w:rsidRDefault="008400B2" w:rsidP="00C478F4">
      <w:pPr>
        <w:tabs>
          <w:tab w:val="left" w:pos="567"/>
        </w:tabs>
        <w:spacing w:after="240"/>
        <w:ind w:left="567" w:hanging="567"/>
        <w:rPr>
          <w:bCs/>
          <w:iCs/>
        </w:rPr>
      </w:pPr>
      <w:r w:rsidRPr="00AE0EE2">
        <w:t>1.</w:t>
      </w:r>
      <w:r w:rsidRPr="00AE0EE2">
        <w:tab/>
        <w:t>Considera que chegou o momento de renovar o compromisso político de tornar a UE um garante credível da segurança, reforçando a sua preparação em matéria de defesa, através da promoção de uma cooperação mais aprofundada entre os Estados</w:t>
      </w:r>
      <w:r w:rsidRPr="00AE0EE2">
        <w:noBreakHyphen/>
        <w:t>Membros, as suas forças armadas e as suas indústrias; insta os Estados</w:t>
      </w:r>
      <w:r w:rsidRPr="00AE0EE2">
        <w:noBreakHyphen/>
        <w:t>Membros a unirem esforços para alcançar um quadro europeu de defesa coerente, ambicioso e integrado; destaca, neste contexto, a necessidade de a Comissão e de os Estados</w:t>
      </w:r>
      <w:r w:rsidRPr="00AE0EE2">
        <w:noBreakHyphen/>
        <w:t>Membros prepararem procedimentos de emergência para projetos criados em resposta a crises graves ou guerras, incluindo uma afetação mais rápida de fundos públicos e de capital privado, como elemento integrante da garantia de prontidão e da capacidade da UE para responder rápida e eficazmente a ameaças emergentes à segurança;</w:t>
      </w:r>
    </w:p>
    <w:p w14:paraId="3BD46560" w14:textId="77777777" w:rsidR="008400B2" w:rsidRPr="00AE0EE2" w:rsidRDefault="008400B2" w:rsidP="008400B2">
      <w:pPr>
        <w:pStyle w:val="NormalHanging12a"/>
      </w:pPr>
      <w:r w:rsidRPr="00AE0EE2">
        <w:t>2.</w:t>
      </w:r>
      <w:r w:rsidRPr="00AE0EE2">
        <w:tab/>
        <w:t>Manifesta a sua preocupação pelo facto de, até ao final de julho de 2025, apesar dos objetivos do plano «</w:t>
      </w:r>
      <w:proofErr w:type="spellStart"/>
      <w:r w:rsidRPr="00AE0EE2">
        <w:t>ReArm</w:t>
      </w:r>
      <w:proofErr w:type="spellEnd"/>
      <w:r w:rsidRPr="00AE0EE2">
        <w:t xml:space="preserve"> </w:t>
      </w:r>
      <w:proofErr w:type="spellStart"/>
      <w:r w:rsidRPr="00AE0EE2">
        <w:t>Europe</w:t>
      </w:r>
      <w:proofErr w:type="spellEnd"/>
      <w:r w:rsidRPr="00AE0EE2">
        <w:t>/Prontidão 2030», apenas 10 dos 27 Estados</w:t>
      </w:r>
      <w:r w:rsidRPr="00AE0EE2">
        <w:noBreakHyphen/>
        <w:t>Membros terem anunciado de forma inequívoca que pretendem aumentar as suas despesas de defesa para, pelo menos, 3 % do seu PIB até 2030; insta cada Estado</w:t>
      </w:r>
      <w:r w:rsidRPr="00AE0EE2">
        <w:noBreakHyphen/>
        <w:t xml:space="preserve">Membro a elaborar uma visão estratégica pormenorizada das suas despesas militares até 2030, fazendo uma distinção clara entre as capacidades de defesa tangíveis («hard </w:t>
      </w:r>
      <w:proofErr w:type="spellStart"/>
      <w:r w:rsidRPr="00AE0EE2">
        <w:t>defence</w:t>
      </w:r>
      <w:proofErr w:type="spellEnd"/>
      <w:r w:rsidRPr="00AE0EE2">
        <w:t>») e as infraestruturas de dupla utilização, incluindo os seus marcos em termos de capacidades, as métricas de constituição de reservas, os valores relativos à participação das PME e uma percentagem</w:t>
      </w:r>
      <w:r w:rsidRPr="00AE0EE2">
        <w:noBreakHyphen/>
        <w:t xml:space="preserve">alvo para a aquisição conjunta; salienta a necessidade de os orçamentos nacionais de defesa colmatarem as lacunas de capacidades, restabelecerem a dissuasão e assegurarem um apoio adequado à Ucrânia; sublinha que os investimentos futuros devem dar prioridade à cooperação, à interoperabilidade e à contratação conjunta, tornando a colaboração a nível da UE a norma no setor industrial europeu da defesa; salienta, a este respeito, a necessidade de alinhar a Prontidão 2030 com os objetivos numéricos concretos estabelecidos na Estratégia Industrial de Defesa Europeia (EIDEUR), nomeadamente assegurando que, pelo menos, 40 % dos equipamentos de defesa sejam adquiridos conjuntamente até 2030, que, pelo menos, 35 % das relações comerciais no domínio da defesa sejam </w:t>
      </w:r>
      <w:proofErr w:type="spellStart"/>
      <w:r w:rsidRPr="00AE0EE2">
        <w:t>intra</w:t>
      </w:r>
      <w:r w:rsidRPr="00AE0EE2">
        <w:noBreakHyphen/>
        <w:t>UE</w:t>
      </w:r>
      <w:proofErr w:type="spellEnd"/>
      <w:r w:rsidRPr="00AE0EE2">
        <w:t xml:space="preserve"> até 2030 e que, pelo menos, 50 % dos contratos públicos no setor da defesa sejam relativos a produtos fabricados na UE até 2030 e 60 % até 2035; louva os Estados</w:t>
      </w:r>
      <w:r w:rsidRPr="00AE0EE2">
        <w:noBreakHyphen/>
        <w:t>Membros que atribuem sistematicamente mais de 3 % do PIB à defesa; recorda que, para enfrentar ameaças novas e emergentes, os Estados</w:t>
      </w:r>
      <w:r w:rsidRPr="00AE0EE2">
        <w:noBreakHyphen/>
        <w:t>Membros devem atualizar regularmente os seus objetivos em termos de capacidades e as suas doutrinas militares;</w:t>
      </w:r>
    </w:p>
    <w:p w14:paraId="5E41D908" w14:textId="77777777" w:rsidR="008400B2" w:rsidRPr="00AE0EE2" w:rsidRDefault="008400B2" w:rsidP="008400B2">
      <w:pPr>
        <w:pStyle w:val="NormalHanging12a"/>
        <w:rPr>
          <w:bCs/>
        </w:rPr>
      </w:pPr>
      <w:r w:rsidRPr="00AE0EE2">
        <w:t>3.</w:t>
      </w:r>
      <w:r w:rsidRPr="00AE0EE2">
        <w:tab/>
        <w:t>Reconhece a grave deterioração do contexto de segurança da UE, de que decorrem ameaças crescentes para as fronteiras externas da UE; insta, por conseguinte, a UE e os seus Estados</w:t>
      </w:r>
      <w:r w:rsidRPr="00AE0EE2">
        <w:noBreakHyphen/>
        <w:t xml:space="preserve">Membros a adotarem uma abordagem abrangente em matéria de defesa, que reconheça que a segurança vai além dos meios militares e abrange, igualmente, a defesa contra ameaças híbridas; salienta que a estabilidade política interna é uma condição prévia para uma força militar credível e que, sem a confiança dos cidadãos nas </w:t>
      </w:r>
      <w:r w:rsidRPr="00AE0EE2">
        <w:lastRenderedPageBreak/>
        <w:t>instituições e na democracia, a segurança e a coesão globais da UE continuariam a ser frágeis; apela a uma mobilização rápida e solidária do apoio financeiro da UE, em particular para os Estados</w:t>
      </w:r>
      <w:r w:rsidRPr="00AE0EE2">
        <w:noBreakHyphen/>
        <w:t>Membros mais expostos a ameaças militares convencionais;</w:t>
      </w:r>
    </w:p>
    <w:p w14:paraId="1F2FFAD9" w14:textId="77C3DBFA" w:rsidR="008400B2" w:rsidRPr="00AE0EE2" w:rsidRDefault="008400B2" w:rsidP="008400B2">
      <w:pPr>
        <w:pStyle w:val="NormalHanging12a"/>
      </w:pPr>
      <w:r w:rsidRPr="00AE0EE2">
        <w:t>4.</w:t>
      </w:r>
      <w:r w:rsidRPr="00AE0EE2">
        <w:tab/>
        <w:t>Congratula</w:t>
      </w:r>
      <w:r w:rsidRPr="00AE0EE2">
        <w:noBreakHyphen/>
        <w:t xml:space="preserve">se com as propostas do plano </w:t>
      </w:r>
      <w:proofErr w:type="spellStart"/>
      <w:r w:rsidRPr="00AE0EE2">
        <w:t>ReArm</w:t>
      </w:r>
      <w:proofErr w:type="spellEnd"/>
      <w:r w:rsidRPr="00AE0EE2">
        <w:t xml:space="preserve"> </w:t>
      </w:r>
      <w:proofErr w:type="spellStart"/>
      <w:r w:rsidRPr="00AE0EE2">
        <w:t>Europe</w:t>
      </w:r>
      <w:proofErr w:type="spellEnd"/>
      <w:r w:rsidR="00BA72B2" w:rsidRPr="00AE0EE2">
        <w:t xml:space="preserve"> (</w:t>
      </w:r>
      <w:r w:rsidRPr="00AE0EE2">
        <w:t>Prontidão 2030</w:t>
      </w:r>
      <w:r w:rsidR="00BA72B2" w:rsidRPr="00AE0EE2">
        <w:t>)</w:t>
      </w:r>
      <w:r w:rsidRPr="00AE0EE2">
        <w:t xml:space="preserve"> destinadas a proporcionar aos Estados</w:t>
      </w:r>
      <w:r w:rsidRPr="00AE0EE2">
        <w:noBreakHyphen/>
        <w:t>Membros uma maior flexibilidade orçamental e a incentivar um aumento das despesas com a defesa, a fim de reforçar a BTIDE; regista, em particular, o mecanismo de crédito ao abrigo do Instrumento SAFE, dotado de 150 mil milhões de EUR, e que 19 Estados</w:t>
      </w:r>
      <w:r w:rsidRPr="00AE0EE2">
        <w:noBreakHyphen/>
        <w:t>Membros irão recorrer a empréstimos SAFE; lamenta, no entanto, que a Comissão tenha baseado este instrumento no artigo 122.º do TFUE, que exclui a consulta do Parlamento, impedindo assim o acompanhamento e o controlo dos fundos e criando o risco de aumentar as disparidades entre os Estados</w:t>
      </w:r>
      <w:r w:rsidRPr="00AE0EE2">
        <w:noBreakHyphen/>
        <w:t>Membros; realça a sua função de controlo orçamental, em conformidade com o artigo 314.º do TFUE, pelo que solicita firmemente à Comissão que deixe de aplicar o artigo 122.º do TFUE às outras iniciativas relacionadas com a indústria da defesa, bem como a outras questões futuras relacionadas com o financiamento da defesa; considera, a este respeito, que é fundamental que os projetos no âmbito do Instrumento SAFE reflitam as prioridades da UE em matéria de capacidades, tal como identificadas no livro branco sobre a defesa europeia, no plano de desenvolvimento de capacidades e no roteiro sobre a prontidão no domínio da defesa 2030; lamenta, no entanto, o facto de os contratos públicos realizados por um Estado</w:t>
      </w:r>
      <w:r w:rsidRPr="00AE0EE2">
        <w:noBreakHyphen/>
        <w:t>Membro serem elegíveis para apoio ao abrigo do instrumento SAFE, desde que o contrato público seja assinado até 30 de maio de 2026, uma vez que tal não incentiva a contratação pública conjunta e a desfragmentação do mercado, correndo o risco de, em última análise, agravar as disparidades entre os Estados</w:t>
      </w:r>
      <w:r w:rsidRPr="00AE0EE2">
        <w:noBreakHyphen/>
        <w:t>Membros; salienta, a este respeito, que o financiamento se deve também basear num acesso facilitado ao capital privado, às contribuições nacionais, às margens orçamentais existentes ou a mecanismos alternativos que garantam a responsabilidade orçamental; solicita à Comissão que, para o efeito, promova aquisições plurianuais em bloco, a fim de reduzir os custos unitários e a fragmentação dos sistemas de armas atualmente em uso em toda a UE;</w:t>
      </w:r>
    </w:p>
    <w:p w14:paraId="0EB722BD" w14:textId="7D9D474A" w:rsidR="008400B2" w:rsidRPr="00AE0EE2" w:rsidRDefault="008400B2" w:rsidP="008400B2">
      <w:pPr>
        <w:pStyle w:val="NormalHanging12a"/>
      </w:pPr>
      <w:r w:rsidRPr="00AE0EE2">
        <w:t>5.</w:t>
      </w:r>
      <w:r w:rsidRPr="00AE0EE2">
        <w:tab/>
      </w:r>
      <w:bookmarkStart w:id="8" w:name="_Hlk210563278"/>
      <w:r w:rsidRPr="00AE0EE2">
        <w:t xml:space="preserve">Assinala que o ecossistema de defesa da Europa continua fragmentado entre as dimensões industrial, financeira e de governação; salienta que o orçamento da UE continua a ser um instrumento mais eficaz para melhorar o planeamento integrado, o financiamento estável a longo prazo e a execução eficaz no domínio da defesa, ultrapassando assim essa fragmentação; reitera que o aumento dos orçamentos nacionais de defesa devem ser acompanhados de uma maior coordenação e de uma ação conjunta a nível da UE; recorda a importância de assegurar um amplo apoio ao investimento público no domínio da defesa e, por conseguinte, a necessidade de uma distribuição equitativa dos custos; lamenta que o plano </w:t>
      </w:r>
      <w:proofErr w:type="spellStart"/>
      <w:r w:rsidRPr="00AE0EE2">
        <w:t>ReArm</w:t>
      </w:r>
      <w:proofErr w:type="spellEnd"/>
      <w:r w:rsidRPr="00AE0EE2">
        <w:t xml:space="preserve"> </w:t>
      </w:r>
      <w:proofErr w:type="spellStart"/>
      <w:r w:rsidRPr="00AE0EE2">
        <w:t>Europe</w:t>
      </w:r>
      <w:proofErr w:type="spellEnd"/>
      <w:r w:rsidRPr="00AE0EE2">
        <w:t xml:space="preserve"> não contenha uma cláusula de preferência da UE forte, em particular no que diz respeito ao instrumento SAFE, que reforçaria a BTIDE, criaria novos postos de trabalho na UE, aumentaria a interoperabilidade e a permutabilidade dos produtos de defesa na UE e reduziria a dependência em relação a países terceiros, reforçando assim a dissuasão da Europa e aumentando a segurança do aprovisionamento; salienta que, para que o Instrumento SAFE seja eficaz do ponto de vista financeiro, deve constituir principalmente um veículo para a aquisição, a manutenção e o funcionamento conjuntos de meios estratégicos, em particular os que fornecem serviços de informação, vigilância e reconhecimento; insta a Comissão a cumprir plenamente o seu papel, em particular através do grupo de trabalho SAFE, para assegurar que os planos nacionais de defesa dos Estados</w:t>
      </w:r>
      <w:r w:rsidRPr="00AE0EE2">
        <w:noBreakHyphen/>
        <w:t xml:space="preserve">Membros respeitem o objetivo do SAFE de promover a contratação pública </w:t>
      </w:r>
      <w:r w:rsidRPr="00AE0EE2">
        <w:lastRenderedPageBreak/>
        <w:t>conjunta para colmatar as lacunas de capacidades de forma eficaz, bem como a utilizar todos os instrumentos disponíveis, incluindo os projetos europeus de interesse comum no domínio da defesa e a estrutura para programas de armamento europeus;</w:t>
      </w:r>
      <w:bookmarkEnd w:id="8"/>
    </w:p>
    <w:p w14:paraId="22BC6037" w14:textId="77777777" w:rsidR="008400B2" w:rsidRPr="00AE0EE2" w:rsidRDefault="008400B2" w:rsidP="008400B2">
      <w:pPr>
        <w:pStyle w:val="NormalHanging12a"/>
        <w:rPr>
          <w:bCs/>
          <w:iCs/>
        </w:rPr>
      </w:pPr>
      <w:r w:rsidRPr="00AE0EE2">
        <w:t>6.</w:t>
      </w:r>
      <w:r w:rsidRPr="00AE0EE2">
        <w:tab/>
        <w:t>Constata a utilização limitada e desigual da cláusula de derrogação nacional e observa que, não obstante essa flexibilidade, vários Estados</w:t>
      </w:r>
      <w:r w:rsidRPr="00AE0EE2">
        <w:noBreakHyphen/>
        <w:t>Membros continuam a ter uma capacidade orçamental com limitações e, por conseguinte, têm dificuldade em satisfazer as exigências e em dar uma resposta eficaz às prioridades comuns; regista, por outro lado, que alguns Estados</w:t>
      </w:r>
      <w:r w:rsidRPr="00AE0EE2">
        <w:noBreakHyphen/>
        <w:t>Membros se abstiveram de aplicar a cláusula de derrogação nacional por receio da reação dos mercados financeiros; reconhece que a cláusula de derrogação nacional é um instrumento temporário aplicável em situações de emergência específicas dos países, ao passo que o planeamento sustentável do investimento exige uma previsibilidade a longo prazo; salienta que a previsibilidade orçamental e os requisitos regulamentares são fundamentais para atrair o investimento privado e garantir uma utilização eficiente dos recursos públicos em toda a UE; considera que, se for caso disso, este quadro deve ser reforçado mediante o recurso a instrumentos e ferramentas de investimento ao nível da UE concebidos para reduzir ao mínimo os custos para os contribuintes da UE e maximizar a eficiência no fornecimento de bens públicos da UE;</w:t>
      </w:r>
    </w:p>
    <w:p w14:paraId="2FC3D042" w14:textId="77777777" w:rsidR="008400B2" w:rsidRPr="00AE0EE2" w:rsidRDefault="008400B2" w:rsidP="008400B2">
      <w:pPr>
        <w:pStyle w:val="NormalHanging12a"/>
      </w:pPr>
      <w:r w:rsidRPr="00AE0EE2">
        <w:t>7.</w:t>
      </w:r>
      <w:r w:rsidRPr="00AE0EE2">
        <w:tab/>
      </w:r>
      <w:bookmarkStart w:id="9" w:name="_Hlk213505486"/>
      <w:bookmarkStart w:id="10" w:name="_Hlk215478332"/>
      <w:r w:rsidRPr="00AE0EE2">
        <w:t>Congratula</w:t>
      </w:r>
      <w:r w:rsidRPr="00AE0EE2">
        <w:noBreakHyphen/>
        <w:t>se com as propostas da Comissão para simplificar, facilitar e acelerar os contratos públicos no setor da defesa; apela ao reforço do princípio da preferência da UE, garantindo que os beneficiários tenham capacidade para decidir sobre a definição, a adaptação e a evolução dos desenhos e sistemas ao longo dos seus ciclos de vida, e que nenhum componente provenha de países terceiros ou de entidades que contrariem os interesses da UE e dos seus Estados</w:t>
      </w:r>
      <w:r w:rsidRPr="00AE0EE2">
        <w:noBreakHyphen/>
        <w:t>Membros em matéria de segurança e defesa;</w:t>
      </w:r>
      <w:bookmarkEnd w:id="9"/>
      <w:r w:rsidRPr="00AE0EE2">
        <w:t xml:space="preserve"> solicita, ademais, que os critérios de elegibilidade no âmbito do plano </w:t>
      </w:r>
      <w:proofErr w:type="spellStart"/>
      <w:r w:rsidRPr="00AE0EE2">
        <w:t>ReArm</w:t>
      </w:r>
      <w:proofErr w:type="spellEnd"/>
      <w:r w:rsidRPr="00AE0EE2">
        <w:t xml:space="preserve"> </w:t>
      </w:r>
      <w:proofErr w:type="spellStart"/>
      <w:r w:rsidRPr="00AE0EE2">
        <w:t>Europe</w:t>
      </w:r>
      <w:proofErr w:type="spellEnd"/>
      <w:r w:rsidRPr="00AE0EE2">
        <w:t xml:space="preserve"> sejam plenamente alinhados com os estabelecidos no Programa da Indústria de Defesa Europeia (PIDEUR), a fim de diminuir a fragmentação, reduzir os custos e aumentar a eficácia, promover a interoperabilidade e a permutabilidade e impulsionar a competitividade da BTIDE; salienta que as regras de adjudicação e de participação devem ser proporcionadas e favoráveis às PME e solicita a introdução de uma disposição que preveja a atribuição de uma parte obrigatória mínima do valor do projeto às PME na cadeia de abastecimento, assegurando a igualdade de acesso entre as empresas em fase de arranque e os fornecedores de menor dimensão e, por outro lado, os contratantes de grande dimensão, e evitando encargos administrativos que desencorajem a participação das PME; apela, ademais, ao reforço da resiliência europeia nas cadeias de abastecimento, promovendo normas comuns e cadeias de valor mistas que reduzam as dependências críticas; reconhece a necessidade de uma forte cooperação transatlântica como base para a defesa europeia, mas manifesta preocupação com o anúncio de um aumento substancial da aquisição de produtos de defesa provenientes dos Estados Unidos, uma vez que tal contraria a ambição definida na EIDEUR e gera incerteza quanto aos investimentos na BTIDE; apela a uma cooperação industrial transatlântica no domínio da defesa, com base em condições de concorrência equitativas que beneficiem ambas as partes; sublinha que a participação nos programas de defesa da UE deve ser plenamente coerente com os valores fundamentais da União, os interesses relativos à segurança e os objetivos da política externa e de segurança comum (PESC) e da política comum de segurança e defesa (PCSD);</w:t>
      </w:r>
    </w:p>
    <w:p w14:paraId="06194940" w14:textId="77777777" w:rsidR="008400B2" w:rsidRPr="00AE0EE2" w:rsidRDefault="008400B2" w:rsidP="008400B2">
      <w:pPr>
        <w:pStyle w:val="Normal12a24b"/>
        <w:ind w:left="567" w:hanging="567"/>
      </w:pPr>
      <w:r w:rsidRPr="00AE0EE2">
        <w:t>8.</w:t>
      </w:r>
      <w:r w:rsidRPr="00AE0EE2">
        <w:tab/>
        <w:t xml:space="preserve">Sublinha que a indústria de defesa da UE necessita de uma procura previsível e plurianual e de requisitos comuns para proporcionar celeridade, escala e valor; salienta </w:t>
      </w:r>
      <w:r w:rsidRPr="00AE0EE2">
        <w:lastRenderedPageBreak/>
        <w:t xml:space="preserve">que a interoperabilidade e a normalização devem ser incorporadas, desde o início, nas aquisições e investimentos no setor da defesa na UE, através de ensaios e certificações conjuntos e da aceitação transfronteiriça, a fim de travar a proliferação de variantes e a fragmentação do mercado, em consonância com o disposto nos relatórios </w:t>
      </w:r>
      <w:proofErr w:type="spellStart"/>
      <w:r w:rsidRPr="00AE0EE2">
        <w:t>Draghi</w:t>
      </w:r>
      <w:proofErr w:type="spellEnd"/>
      <w:r w:rsidRPr="00AE0EE2">
        <w:t xml:space="preserve">, </w:t>
      </w:r>
      <w:proofErr w:type="spellStart"/>
      <w:r w:rsidRPr="00AE0EE2">
        <w:t>Letta</w:t>
      </w:r>
      <w:proofErr w:type="spellEnd"/>
      <w:r w:rsidRPr="00AE0EE2">
        <w:t xml:space="preserve"> e Niinistö; incentiva os Estados</w:t>
      </w:r>
      <w:r w:rsidRPr="00AE0EE2">
        <w:noBreakHyphen/>
        <w:t>Membros a complementarem os seus compromissos orçamentais com perspetivas transparentes, a médio prazo, de investimento no setor da defesa, abrangendo os objetivos em termos de capacidades, os calendários da adjudicação de contratos e a parte das despesas afetada aos programas de cooperação; insta a AED a compilar estas perspetivas nacionais numa panorâmica comparativa anual, a fim de facilitar a coordenação e identificar oportunidades de projetos conjuntos;</w:t>
      </w:r>
    </w:p>
    <w:p w14:paraId="131BC47D" w14:textId="77777777" w:rsidR="008400B2" w:rsidRPr="00AE0EE2" w:rsidRDefault="008400B2" w:rsidP="008400B2">
      <w:pPr>
        <w:pStyle w:val="Normal6a"/>
        <w:ind w:left="567" w:hanging="567"/>
      </w:pPr>
      <w:r w:rsidRPr="00AE0EE2">
        <w:t>9.</w:t>
      </w:r>
      <w:r w:rsidRPr="00AE0EE2">
        <w:tab/>
        <w:t xml:space="preserve">Salienta a necessidade de reforçar a BTIDE, agregando a procura, simplificando e harmonizando as regras e promovendo uma concorrência aberta e leal entre as indústrias europeias, o que dará lugar a uma indústria europeia da defesa mais eficaz em termos de custos e mais competitiva e a um melhor acesso aos equipamentos de defesa em toda a UE; lamenta a falta de dados abrangentes sobre a aquisição colaborativa de equipamento da UE, impossibilitando assim quer a análise exaustiva das aquisições colaborativas de equipamentos de defesa da UE quer uma avaliação adequada da situação da UE neste domínio; exorta a Comissão e o Conselho a eliminarem os obstáculos persistentes à comercialização </w:t>
      </w:r>
      <w:proofErr w:type="spellStart"/>
      <w:r w:rsidRPr="00AE0EE2">
        <w:t>intra</w:t>
      </w:r>
      <w:r w:rsidRPr="00AE0EE2">
        <w:noBreakHyphen/>
        <w:t>UE</w:t>
      </w:r>
      <w:proofErr w:type="spellEnd"/>
      <w:r w:rsidRPr="00AE0EE2">
        <w:t xml:space="preserve"> de produtos de defesa, incluindo os obstáculos ao licenciamento e à certificação, e insta os colegisladores a darem prioridade à adoção e à aplicação efetiva da proposta </w:t>
      </w:r>
      <w:proofErr w:type="spellStart"/>
      <w:r w:rsidRPr="00AE0EE2">
        <w:rPr>
          <w:i/>
          <w:iCs/>
        </w:rPr>
        <w:t>omnibus</w:t>
      </w:r>
      <w:proofErr w:type="spellEnd"/>
      <w:r w:rsidRPr="00AE0EE2">
        <w:t xml:space="preserve"> da Comissão em matéria de defesa, a fim de simplificar as transferências e a contratação pública em toda a UE para apoiar uma BTIDE mais resiliente e competitiva;</w:t>
      </w:r>
    </w:p>
    <w:p w14:paraId="2B4DB7A5" w14:textId="77777777" w:rsidR="008400B2" w:rsidRPr="00AE0EE2" w:rsidRDefault="008400B2" w:rsidP="008400B2">
      <w:pPr>
        <w:pStyle w:val="Normal12a24b"/>
        <w:tabs>
          <w:tab w:val="left" w:pos="567"/>
        </w:tabs>
        <w:ind w:left="567" w:hanging="567"/>
      </w:pPr>
      <w:r w:rsidRPr="00AE0EE2">
        <w:t>10.</w:t>
      </w:r>
      <w:r w:rsidRPr="00AE0EE2">
        <w:tab/>
        <w:t>Sublinha que cumpre reforçar as sinergias com programas civis de inovação, como o programa Horizonte Europa e o Conselho Europeu da Inovação, a fim de maximizar o impacto e evitar duplicações; salienta, ao mesmo tempo, que o progresso tecnológico deve ser acompanhado das capacidades humanas necessárias; manifesta a sua preocupação por o número de pessoal ativo ter aumentado apenas marginalmente em 2024 e adverte que o aumento do investimento sem esforços paralelos de recrutamento e retenção pode criar lacunas de capacidades no funcionamento e na manutenção de novos equipamentos; insta os Estados</w:t>
      </w:r>
      <w:r w:rsidRPr="00AE0EE2">
        <w:noBreakHyphen/>
        <w:t>Membros a darem prioridade às políticas de recrutamento e retenção no setor da defesa, incluindo programas de intercâmbio e de formação apoiados pela UE, a fim de assegurar que o aumento das despesas se traduza numa verdadeira prontidão operacional;</w:t>
      </w:r>
    </w:p>
    <w:p w14:paraId="5F8AEC50" w14:textId="77777777" w:rsidR="008400B2" w:rsidRPr="00AE0EE2" w:rsidRDefault="008400B2" w:rsidP="008400B2">
      <w:pPr>
        <w:pStyle w:val="Normal12a24b"/>
      </w:pPr>
      <w:r w:rsidRPr="00AE0EE2">
        <w:rPr>
          <w:rStyle w:val="Italic"/>
        </w:rPr>
        <w:t>Adaptar o orçamento e os instrumentos de financiamento da UE aos problemas de segurança e às necessidades das empresas</w:t>
      </w:r>
    </w:p>
    <w:p w14:paraId="6F989BD1" w14:textId="77777777" w:rsidR="008400B2" w:rsidRPr="00AE0EE2" w:rsidRDefault="008400B2" w:rsidP="008400B2">
      <w:pPr>
        <w:pStyle w:val="NormalHanging12a"/>
      </w:pPr>
      <w:r w:rsidRPr="00AE0EE2">
        <w:t>11.</w:t>
      </w:r>
      <w:r w:rsidRPr="00AE0EE2">
        <w:tab/>
        <w:t>Reitera os seus anteriores apelos à Comissão para que explore todas as opções possíveis de apoio aos investimentos dos Estados</w:t>
      </w:r>
      <w:r w:rsidRPr="00AE0EE2">
        <w:noBreakHyphen/>
        <w:t>Membros na defesa e maximize as sinergias nos mecanismos existentes para apoiar a prontidão da UE em matéria de defesa; recorda o seu apelo para que se garanta que o próximo QFP apoie uma estratégia global de segurança através de um investimento coordenado e adequado; congratula</w:t>
      </w:r>
      <w:r w:rsidRPr="00AE0EE2">
        <w:noBreakHyphen/>
        <w:t>se com a consolidação da dotação para a defesa proposta no QFP 2028</w:t>
      </w:r>
      <w:r w:rsidRPr="00AE0EE2">
        <w:noBreakHyphen/>
        <w:t>2034; lamenta, porém, que a Comissão não tenha fornecido, na sua proposta relativa ao QFP 2028</w:t>
      </w:r>
      <w:r w:rsidRPr="00AE0EE2">
        <w:noBreakHyphen/>
        <w:t xml:space="preserve">2034, uma discriminação suficientemente detalhada desta dotação; recorda que é necessária uma repartição orçamental detalhada para permitir que a autoridade orçamental tome decisões significativas e informadas; salienta que um investimento compatível na defesa </w:t>
      </w:r>
      <w:r w:rsidRPr="00AE0EE2">
        <w:lastRenderedPageBreak/>
        <w:t>a nível da UE no próximo QFP, apoiado por uma governação transparente, pode reduzir a duplicação, gerar economias de escala e melhorar a interoperabilidade; recorda a natureza específica do setor da defesa e considera que o próximo QFP deve manter todos os critérios e procedimentos dos instrumentos de financiamento da indústria europeia da defesa, em particular os critérios relativos ao Fundo Europeu de Defesa e ao PIDEUR;</w:t>
      </w:r>
    </w:p>
    <w:p w14:paraId="4C9E8A33" w14:textId="77777777" w:rsidR="008400B2" w:rsidRPr="00AE0EE2" w:rsidRDefault="008400B2" w:rsidP="008400B2">
      <w:pPr>
        <w:pStyle w:val="Normal6a"/>
        <w:tabs>
          <w:tab w:val="left" w:pos="567"/>
        </w:tabs>
        <w:spacing w:after="240"/>
        <w:ind w:left="567" w:hanging="567"/>
      </w:pPr>
      <w:r w:rsidRPr="00AE0EE2">
        <w:t>12.</w:t>
      </w:r>
      <w:r w:rsidRPr="00AE0EE2">
        <w:tab/>
        <w:t>Entende, a este respeito, que devem ser exploradas todas as opções para apoiar o investimento dos Estados</w:t>
      </w:r>
      <w:r w:rsidRPr="00AE0EE2">
        <w:noBreakHyphen/>
        <w:t>Membros na defesa, em particular através dos mecanismos existentes, sem aumentar as contribuições nacionais nem a carga fiscal global sobre os cidadãos; frisa que esses instrumentos não devem depender unicamente da emissão de empréstimos garantidos pela UE, por exemplo através do Instrumento SAFE;</w:t>
      </w:r>
    </w:p>
    <w:p w14:paraId="7928A84E" w14:textId="77777777" w:rsidR="008400B2" w:rsidRPr="00AE0EE2" w:rsidRDefault="008400B2" w:rsidP="00C478F4">
      <w:pPr>
        <w:tabs>
          <w:tab w:val="left" w:pos="567"/>
        </w:tabs>
        <w:spacing w:after="240"/>
        <w:ind w:left="567" w:hanging="567"/>
      </w:pPr>
      <w:r w:rsidRPr="00AE0EE2">
        <w:t>13.</w:t>
      </w:r>
      <w:r w:rsidRPr="00AE0EE2">
        <w:tab/>
        <w:t>Salienta que o financiamento da UE não deve substituir, mas complementar os esforços que os Estados</w:t>
      </w:r>
      <w:r w:rsidRPr="00AE0EE2">
        <w:noBreakHyphen/>
        <w:t>Membros envidam para aumentar as suas despesas nacionais com a defesa; sublinha que os instrumentos da UE devem proporcionar um valor acrescentado através da promoção da cooperação, da interoperabilidade e da eficácia, ao passo que o planeamento e os requisitos de capacidades devem permanecer dentro dos quadros institucionais adequados; reitera que, para satisfazer as necessidades urgentes da PCSD, devem ser garantidos recursos adicionais para as prioridades no domínio da defesa; reitera, por conseguinte, o seu apelo à Comissão e ao Conselho para que assegurem que a UE disponha do que precisa para suprir as suas necessidades globais de despesas mais elevadas, nomeadamente através da adoção de novos recursos próprios;</w:t>
      </w:r>
    </w:p>
    <w:p w14:paraId="27CDBA1D" w14:textId="4B75F5EB" w:rsidR="008400B2" w:rsidRPr="00AE0EE2" w:rsidRDefault="008400B2" w:rsidP="008400B2">
      <w:pPr>
        <w:pStyle w:val="NormalHanging12a"/>
      </w:pPr>
      <w:r w:rsidRPr="00AE0EE2">
        <w:t>14.</w:t>
      </w:r>
      <w:r w:rsidRPr="00AE0EE2">
        <w:tab/>
        <w:t>Relembra que o objetivo do BEI é fomentar a integração da UE, promover o desenvolvimento da UE e apoiar as políticas da UE, em conformidade com o artigo 309.º do TFUE; saúda a forma pró</w:t>
      </w:r>
      <w:r w:rsidRPr="00AE0EE2">
        <w:noBreakHyphen/>
        <w:t xml:space="preserve">ativa como o BEI está a intensificar o financiamento no domínio da segurança e da defesa; assinala, porém, que a sua política de investimento continua a excluir as «armas e munições» e que, até à data, as suas intervenções foram insuficientes em termos de celeridade, propensão para o risco e escala para suprir as necessidades em matéria de prontidão no domínio da defesa; assinala os progressos realizados no que toca ao alargamento dos seus critérios, embora considere que estes continuam a ser insuficientes para alcançar os objetivos de prontidão no domínio da defesa 2030, como manifestaram as partes interessadas do setor através de estudos e de consultas públicas; solicita que, em conformidade com o plano </w:t>
      </w:r>
      <w:proofErr w:type="spellStart"/>
      <w:r w:rsidRPr="00AE0EE2">
        <w:t>ReArm</w:t>
      </w:r>
      <w:proofErr w:type="spellEnd"/>
      <w:r w:rsidRPr="00AE0EE2">
        <w:t xml:space="preserve"> </w:t>
      </w:r>
      <w:proofErr w:type="spellStart"/>
      <w:r w:rsidRPr="00AE0EE2">
        <w:t>Europe</w:t>
      </w:r>
      <w:proofErr w:type="spellEnd"/>
      <w:r w:rsidRPr="00AE0EE2">
        <w:t>, os Estados</w:t>
      </w:r>
      <w:r w:rsidRPr="00AE0EE2">
        <w:noBreakHyphen/>
        <w:t>Membros, enquanto órgão diretor do BEI, adaptem o mandato do BEI a fim de reforçar a sua capacidade para apoiar a indústria europeia da defesa e rever a suas orientações em matéria de investimento, de modo a permitir o financiamento de projetos legítimos relacionados com armas e munições que estejam em consonância com o direito internacional e com os interesses da UE no que toca à segurança; insta o Grupo BEI a aumentar a sua propensão para o risco e a sua ambição, a fim de atrair investimento; adverte, no entanto, que a adaptação dos critérios de elegibilidade ou do financiamento do Grupo BEI às novas prioridades deve salvaguardar a situação financeira do Grupo BEI e garantir o financiamento eficaz das demais prioridades estratégicas da UE; insta o BEI a realizar e a fornecer ao Parlamento uma avaliação quantitativa e exaustiva da sua política de investimento na defesa, sem comprometer, se for caso disso, os acordos de confidencialidade que celebrou com os seus investidores;</w:t>
      </w:r>
    </w:p>
    <w:p w14:paraId="1A69B517" w14:textId="77777777" w:rsidR="008400B2" w:rsidRPr="00AE0EE2" w:rsidRDefault="008400B2" w:rsidP="008400B2">
      <w:pPr>
        <w:pStyle w:val="NormalHanging12a"/>
        <w:rPr>
          <w:bCs/>
          <w:iCs/>
        </w:rPr>
      </w:pPr>
      <w:r w:rsidRPr="00AE0EE2">
        <w:t>15.</w:t>
      </w:r>
      <w:r w:rsidRPr="00AE0EE2">
        <w:tab/>
        <w:t xml:space="preserve">Sugere que o BEI analise e avalie continuamente o seu papel, bem como o âmbito dos investimentos elegíveis, à luz da necessidade premente de expandir o setor europeu da </w:t>
      </w:r>
      <w:r w:rsidRPr="00AE0EE2">
        <w:lastRenderedPageBreak/>
        <w:t>defesa e de garantir a segurança e a autonomia estratégica a longo prazo; sugere que o mandato do BEI seja formalmente alargado de modo a incluir o apoio à BTIDE e que, para o efeito, seja criada uma filial específica, apoiada por garantias da Comissão e por uma rede de peritos; considera que tal estrutura seria uma solução mais eficaz do que a criação de um novo «banco de defesa, segurança e resiliência»;</w:t>
      </w:r>
    </w:p>
    <w:p w14:paraId="645502ED" w14:textId="77777777" w:rsidR="008400B2" w:rsidRPr="00AE0EE2" w:rsidRDefault="008400B2" w:rsidP="008400B2">
      <w:pPr>
        <w:pStyle w:val="NormalHanging12a"/>
      </w:pPr>
      <w:r w:rsidRPr="00AE0EE2">
        <w:t>16.</w:t>
      </w:r>
      <w:r w:rsidRPr="00AE0EE2">
        <w:tab/>
        <w:t>Salienta a importância de melhorar a acessibilidade e a coerência dos fundos da UE de apoio ao investimento para as empresas da BTIDE, em particular as empresas em fase de arranque e as PME, adaptando e ajustando gradualmente os critérios de elegibilidade à luz da ambição estabelecida na EIDEUR e no PIDEUR, simplificando os procedimentos de candidatura e harmonizando os objetivos dos programas de trabalho; realça a importância de ajustar os prazos e os requisitos desses fundos aos diferentes ciclos e ritmos de inovação dos diferentes tipos de domínios de capacidades; insta os Estados</w:t>
      </w:r>
      <w:r w:rsidRPr="00AE0EE2">
        <w:noBreakHyphen/>
        <w:t>Membros e as regiões a reforçar o papel das suas câmaras de comércio e indústria no apoio às PME da BITDE para a investigação e o acesso ao financiamento da UE;</w:t>
      </w:r>
    </w:p>
    <w:p w14:paraId="2C5E3A8E" w14:textId="77777777" w:rsidR="008400B2" w:rsidRPr="00AE0EE2" w:rsidRDefault="008400B2" w:rsidP="008400B2">
      <w:pPr>
        <w:pStyle w:val="Normal12a24b"/>
        <w:tabs>
          <w:tab w:val="left" w:pos="567"/>
        </w:tabs>
        <w:ind w:left="567" w:hanging="567"/>
        <w:rPr>
          <w:bCs/>
          <w:iCs/>
        </w:rPr>
      </w:pPr>
      <w:r w:rsidRPr="00AE0EE2">
        <w:t>17.</w:t>
      </w:r>
      <w:r w:rsidRPr="00AE0EE2">
        <w:tab/>
        <w:t xml:space="preserve">Insta a Comissão a fornecer orientações e modelos claros sobre novos tipos de acordos, coordenação e </w:t>
      </w:r>
      <w:proofErr w:type="spellStart"/>
      <w:r w:rsidRPr="00AE0EE2">
        <w:t>coimplantação</w:t>
      </w:r>
      <w:proofErr w:type="spellEnd"/>
      <w:r w:rsidRPr="00AE0EE2">
        <w:t xml:space="preserve"> por concorrentes no setor da defesa, a fim de promover mais investimentos em I&amp;D por parte das empresas da BTIDE;</w:t>
      </w:r>
    </w:p>
    <w:p w14:paraId="35F9281D" w14:textId="77777777" w:rsidR="008400B2" w:rsidRPr="00AE0EE2" w:rsidRDefault="008400B2" w:rsidP="008400B2">
      <w:pPr>
        <w:widowControl/>
        <w:spacing w:after="240"/>
        <w:ind w:left="567" w:hanging="567"/>
      </w:pPr>
      <w:r w:rsidRPr="00AE0EE2">
        <w:t>18.</w:t>
      </w:r>
      <w:r w:rsidRPr="00AE0EE2">
        <w:tab/>
        <w:t xml:space="preserve">Apela à criação de um instrumento de apoio ao investimento público e privado no setor da defesa, com base em garantias do orçamento da UE, seguindo o exemplo do </w:t>
      </w:r>
      <w:proofErr w:type="spellStart"/>
      <w:r w:rsidRPr="00AE0EE2">
        <w:t>InvestEU</w:t>
      </w:r>
      <w:proofErr w:type="spellEnd"/>
      <w:r w:rsidRPr="00AE0EE2">
        <w:t>; congratula</w:t>
      </w:r>
      <w:r w:rsidRPr="00AE0EE2">
        <w:noBreakHyphen/>
        <w:t>se, a curto prazo, com o ato delegado, proposto pela Comissão, relativo aos investimentos estratégicos no domínio da defesa</w:t>
      </w:r>
      <w:r w:rsidRPr="00AE0EE2">
        <w:rPr>
          <w:rStyle w:val="FootnoteReference"/>
          <w:bCs/>
          <w:iCs/>
        </w:rPr>
        <w:footnoteReference w:id="7"/>
      </w:r>
      <w:r w:rsidRPr="00AE0EE2">
        <w:t xml:space="preserve"> estabelecidos nas diretrizes em matéria de investimento para o Fundo </w:t>
      </w:r>
      <w:proofErr w:type="spellStart"/>
      <w:r w:rsidRPr="00AE0EE2">
        <w:t>InvestEU</w:t>
      </w:r>
      <w:proofErr w:type="spellEnd"/>
      <w:r w:rsidRPr="00AE0EE2">
        <w:t>, que apela à eliminação dos encargos administrativos desnecessários relacionados com a utilização de garantias orçamentais e instrumentos financeiros para apoiar o investimento na defesa, o que ofereceria uma simplificação adicional, respeitando ao mesmo tempo a necessidade de proteger a segurança da UE e dos seus Estados</w:t>
      </w:r>
      <w:r w:rsidRPr="00AE0EE2">
        <w:noBreakHyphen/>
        <w:t>Membros; considera que, no seu conjunto, estas medidas assegurariam tanto a rápida mobilização de financiamento como a criação de um quadro de investimento estável e evolutivo para a indústria europeia da defesa;</w:t>
      </w:r>
    </w:p>
    <w:p w14:paraId="3284A1CD" w14:textId="77777777" w:rsidR="008400B2" w:rsidRPr="00AE0EE2" w:rsidRDefault="008400B2" w:rsidP="008400B2">
      <w:pPr>
        <w:pStyle w:val="Normal12a24b"/>
        <w:tabs>
          <w:tab w:val="left" w:pos="567"/>
        </w:tabs>
        <w:ind w:left="567" w:hanging="567"/>
      </w:pPr>
      <w:r w:rsidRPr="00AE0EE2">
        <w:t>19.</w:t>
      </w:r>
      <w:r w:rsidRPr="00AE0EE2">
        <w:tab/>
        <w:t>Considera que a aplicação de fundos bancários em empréstimos, garantias e carteiras de liquidez de elevada qualidade é essencial para garantir prazos de vencimento longos nas despesas com a defesa, o que proporcionará previsibilidade e estabilidade; reitera que acelerar a conclusão da União da Poupança e do Investimento contribuiria para mobilizar capital privado e melhorar o acesso ao financiamento;</w:t>
      </w:r>
    </w:p>
    <w:p w14:paraId="253FF0F8" w14:textId="77777777" w:rsidR="008400B2" w:rsidRPr="00AE0EE2" w:rsidRDefault="008400B2" w:rsidP="008400B2">
      <w:pPr>
        <w:pStyle w:val="Normal12a24b"/>
        <w:rPr>
          <w:i/>
          <w:iCs/>
        </w:rPr>
      </w:pPr>
      <w:r w:rsidRPr="00AE0EE2">
        <w:rPr>
          <w:rStyle w:val="Bold"/>
          <w:i/>
        </w:rPr>
        <w:t>Eliminar os entraves ao investimento privado na defesa</w:t>
      </w:r>
    </w:p>
    <w:p w14:paraId="210C161D" w14:textId="77777777" w:rsidR="008400B2" w:rsidRPr="00AE0EE2" w:rsidRDefault="008400B2" w:rsidP="008400B2">
      <w:pPr>
        <w:pStyle w:val="Normal12a24b"/>
      </w:pPr>
      <w:r w:rsidRPr="00AE0EE2">
        <w:rPr>
          <w:rStyle w:val="Italic"/>
        </w:rPr>
        <w:t>Simplificar o acesso das empresas da BITDE ao financiamento de curto prazo</w:t>
      </w:r>
    </w:p>
    <w:p w14:paraId="67B91CF7" w14:textId="77777777" w:rsidR="008400B2" w:rsidRPr="00AE0EE2" w:rsidRDefault="008400B2" w:rsidP="008400B2">
      <w:pPr>
        <w:pStyle w:val="NormalHanging12a"/>
      </w:pPr>
      <w:r w:rsidRPr="00AE0EE2">
        <w:lastRenderedPageBreak/>
        <w:t>20.</w:t>
      </w:r>
      <w:r w:rsidRPr="00AE0EE2">
        <w:tab/>
        <w:t>Solicita ao Observatório dos Pagamentos da UE que realize um estudo sobre o cumprimento dos prazos de pagamento na BTIDE comparativamente ao resto do setor, bem como uma classificação das empresas mais cumpridoras;</w:t>
      </w:r>
    </w:p>
    <w:p w14:paraId="4399260B" w14:textId="77777777" w:rsidR="008400B2" w:rsidRPr="00AE0EE2" w:rsidRDefault="008400B2" w:rsidP="008400B2">
      <w:pPr>
        <w:pStyle w:val="NormalHanging12a"/>
      </w:pPr>
      <w:r w:rsidRPr="00AE0EE2">
        <w:t>21.</w:t>
      </w:r>
      <w:r w:rsidRPr="00AE0EE2">
        <w:tab/>
        <w:t>Insta o BEI, com o apoio dos Estados</w:t>
      </w:r>
      <w:r w:rsidRPr="00AE0EE2">
        <w:noBreakHyphen/>
        <w:t>Membros, a procurar atingir um volume de 4 mil milhões de EUR para empréstimos de curto prazo, com garantias de risco até 50 %, e solicita que os critérios de compromisso do BEI em matéria de defesa sejam mais simples e flexíveis e que a elegibilidade seja alargada aos subcontratantes indiretos;</w:t>
      </w:r>
    </w:p>
    <w:p w14:paraId="65554691" w14:textId="77777777" w:rsidR="008400B2" w:rsidRPr="00AE0EE2" w:rsidRDefault="008400B2" w:rsidP="008400B2">
      <w:pPr>
        <w:pStyle w:val="Normal12a24b"/>
      </w:pPr>
      <w:r w:rsidRPr="00AE0EE2">
        <w:rPr>
          <w:rStyle w:val="Italic"/>
        </w:rPr>
        <w:t>Aumentar a capacidade dos investidores privados para financiar a defesa, garantindo a sua compatibilidade com o financiamento sustentável</w:t>
      </w:r>
    </w:p>
    <w:p w14:paraId="138108F6" w14:textId="77777777" w:rsidR="008400B2" w:rsidRPr="00AE0EE2" w:rsidRDefault="008400B2" w:rsidP="008400B2">
      <w:pPr>
        <w:pStyle w:val="NormalHanging12a"/>
      </w:pPr>
      <w:r w:rsidRPr="00AE0EE2">
        <w:t>22.</w:t>
      </w:r>
      <w:r w:rsidRPr="00AE0EE2">
        <w:tab/>
        <w:t>Observa que, apesar dos esforços envidados desde o início da guerra na Ucrânia, muitos investidores continuam relutantes em financiar a defesa, nomeadamente devido à incerteza quanto à aplicação das normas ambientais, sociais e de governação, e que a BTIDE continua a ser discriminada nos mercados financeiros devido à perceção errónea do risco associado à imagem; recorda que muitas das tecnologias de defesa são de dupla utilização e, por conseguinte, geram benefícios indiretos significativos para a inovação civil e a economia da UE em geral; salienta a necessidade de dar resposta às persistentes perceções negativas em torno do financiamento da defesa, em particular no setor bancário; insta a Comissão e os Estados</w:t>
      </w:r>
      <w:r w:rsidRPr="00AE0EE2">
        <w:noBreakHyphen/>
        <w:t>Membros a aumentarem a informação e a sensibilização relativamente ao financiamento da BTIDE, a fim de permitir aos intervenientes financeiros melhorar os seus conhecimentos especializados em análise e tratamento do financiamento relacionado com a defesa; incentiva a Comissão a aumentar a informação e a sensibilização para o financiamento da BITDE;</w:t>
      </w:r>
    </w:p>
    <w:p w14:paraId="58418880" w14:textId="6B613463" w:rsidR="008400B2" w:rsidRPr="00AE0EE2" w:rsidRDefault="008400B2" w:rsidP="008400B2">
      <w:pPr>
        <w:pStyle w:val="NormalHanging12a"/>
      </w:pPr>
      <w:r w:rsidRPr="00AE0EE2">
        <w:t>23.</w:t>
      </w:r>
      <w:r w:rsidRPr="00AE0EE2">
        <w:tab/>
        <w:t>Regista o Regulamento Delegado da Comissão</w:t>
      </w:r>
      <w:r w:rsidR="00921F42">
        <w:t xml:space="preserve"> </w:t>
      </w:r>
      <w:r w:rsidR="00921F42" w:rsidRPr="00921F42">
        <w:t>(</w:t>
      </w:r>
      <w:r w:rsidR="00921F42">
        <w:t>UE</w:t>
      </w:r>
      <w:r w:rsidR="00921F42" w:rsidRPr="00921F42">
        <w:t>) 2025/1775</w:t>
      </w:r>
      <w:r w:rsidR="00921F42">
        <w:t>,</w:t>
      </w:r>
      <w:r w:rsidR="00921F42" w:rsidRPr="00921F42">
        <w:t xml:space="preserve"> </w:t>
      </w:r>
      <w:r w:rsidR="00921F42">
        <w:t>de</w:t>
      </w:r>
      <w:r w:rsidR="00921F42" w:rsidRPr="00921F42">
        <w:t xml:space="preserve"> 28 </w:t>
      </w:r>
      <w:r w:rsidR="00921F42">
        <w:t xml:space="preserve">de agosto de </w:t>
      </w:r>
      <w:r w:rsidR="00921F42" w:rsidRPr="00921F42">
        <w:t>2025</w:t>
      </w:r>
      <w:r w:rsidRPr="00AE0EE2">
        <w:t>, que altera o Regulamento Delegado (UE) 2020/1818 no que respeita à definição de «armas proibidas»</w:t>
      </w:r>
      <w:r w:rsidRPr="00AE0EE2">
        <w:rPr>
          <w:rStyle w:val="FootnoteReference"/>
        </w:rPr>
        <w:footnoteReference w:id="8"/>
      </w:r>
      <w:r w:rsidRPr="00AE0EE2">
        <w:t xml:space="preserve">, que substitui o conceito de «armas controversas» pelo de «armas proibidas», e foi adotado como parte do pacote </w:t>
      </w:r>
      <w:proofErr w:type="spellStart"/>
      <w:r w:rsidRPr="00AE0EE2">
        <w:rPr>
          <w:i/>
          <w:iCs/>
        </w:rPr>
        <w:t>omnibus</w:t>
      </w:r>
      <w:proofErr w:type="spellEnd"/>
      <w:r w:rsidRPr="00AE0EE2">
        <w:t xml:space="preserve"> Prontidão da Defesa; realça que esta definição se limita às armas expressamente proibidas por tratados internacionais vinculativos; congratula</w:t>
      </w:r>
      <w:r w:rsidRPr="00AE0EE2">
        <w:noBreakHyphen/>
        <w:t xml:space="preserve">se com os esclarecimentos jurídicos incluídos no pacote </w:t>
      </w:r>
      <w:proofErr w:type="spellStart"/>
      <w:r w:rsidRPr="00AE0EE2">
        <w:rPr>
          <w:i/>
          <w:iCs/>
        </w:rPr>
        <w:t>omnibus</w:t>
      </w:r>
      <w:proofErr w:type="spellEnd"/>
      <w:r w:rsidRPr="00AE0EE2">
        <w:t xml:space="preserve"> Prontidão da Defesa e reconhece a sua importância para a concretização dos objetivos da UE em matéria de financiamento da defesa; insta os intervenientes financeiros privados a limitarem as suas exclusões a esta lista consolidada e a publicarem a sua política de investimento; propõe que a inclusão no financiamento da UE de intervenientes cuja política de investimento vá além desta exclusão seja revista caso a caso;</w:t>
      </w:r>
    </w:p>
    <w:p w14:paraId="651E8D1C" w14:textId="77777777" w:rsidR="008400B2" w:rsidRPr="00AE0EE2" w:rsidRDefault="008400B2" w:rsidP="008400B2">
      <w:pPr>
        <w:pStyle w:val="NormalHanging12a"/>
      </w:pPr>
      <w:r w:rsidRPr="00AE0EE2">
        <w:t>24.</w:t>
      </w:r>
      <w:r w:rsidRPr="00AE0EE2">
        <w:tab/>
        <w:t>Recorda que o quadro de financiamento sustentável da UE foi concebido para orientar os fluxos de capitais para atividades sustentáveis sem limitar o financiamento do setor da defesa, tal como reafirmado pela Comissão na sua comunicação de 18 de agosto de 2025, que confirma que a exclusão das atividades relacionadas com a defesa da taxonomia da UE não impede os investidores privados ou públicos de investirem no setor da defesa; exorta a Comissão a confirmar inequívoca e publicamente que a taxonomia ecológica da UE não proíbe nem restringe ou desincentiva o investimento no setor da defesa; salienta que a defesa e a segurança são condições prévias para o desenvolvimento sustentável;</w:t>
      </w:r>
    </w:p>
    <w:p w14:paraId="6018599D" w14:textId="77777777" w:rsidR="008400B2" w:rsidRPr="00AE0EE2" w:rsidRDefault="008400B2" w:rsidP="008400B2">
      <w:pPr>
        <w:pStyle w:val="Normal12a24b"/>
      </w:pPr>
      <w:r w:rsidRPr="00AE0EE2">
        <w:rPr>
          <w:rStyle w:val="Italic"/>
        </w:rPr>
        <w:lastRenderedPageBreak/>
        <w:t>Abrir oportunidades de saída para ativos de defesa nos mercados financeiros atraindo capital privado</w:t>
      </w:r>
    </w:p>
    <w:p w14:paraId="2132D233" w14:textId="77777777" w:rsidR="008400B2" w:rsidRPr="00AE0EE2" w:rsidRDefault="008400B2" w:rsidP="008400B2">
      <w:pPr>
        <w:pStyle w:val="NormalHanging12a"/>
      </w:pPr>
      <w:r w:rsidRPr="00AE0EE2">
        <w:t>25.</w:t>
      </w:r>
      <w:r w:rsidRPr="00AE0EE2">
        <w:tab/>
      </w:r>
      <w:bookmarkStart w:id="11" w:name="_Hlk215501491"/>
      <w:r w:rsidRPr="00AE0EE2">
        <w:t>Considera essencial apoiar um mercado europeu de investidores especializados que ofereça um continuum de financiamento (crédito, dívida privada e capital próprio) às empresas, sobretudo às empresas em fase de arranque, às PME e às empresas de média capitalização, da BTIDE e da BTID ucraniana</w:t>
      </w:r>
      <w:bookmarkEnd w:id="11"/>
      <w:r w:rsidRPr="00AE0EE2">
        <w:t>; saúda a iniciativa da Comissão e do BEI de criarem o Mecanismo de Capital Próprio no Setor da Defesa, no valor de 175 milhões de EUR, para o período de 2024</w:t>
      </w:r>
      <w:r w:rsidRPr="00AE0EE2">
        <w:noBreakHyphen/>
        <w:t>2027; entende, porém, que este fundo é insuficiente, tendo em conta as necessidades de financiamento, e insta o BEI a atender aos pedidos dos Estados</w:t>
      </w:r>
      <w:r w:rsidRPr="00AE0EE2">
        <w:noBreakHyphen/>
        <w:t>Membros, conforme reiterados nas conclusões do Conselho, aumentando este orçamento para mil milhões de euros, a fim de melhor satisfazer as necessidades de capital próprio da BITDE e da sua cadeia de valor, prestando especial atenção aos intervenientes de menor dimensão cujo défice de financiamento é o mais elevado; incentiva o BEI a alargar este instrumento à BTID ucraniana e a concebê</w:t>
      </w:r>
      <w:r w:rsidRPr="00AE0EE2">
        <w:noBreakHyphen/>
        <w:t>lo de modo que promova parcerias e empreendimentos conjuntos entre a BTIDE e as empresas da BTID ucraniana;</w:t>
      </w:r>
    </w:p>
    <w:p w14:paraId="35B6B32A" w14:textId="77777777" w:rsidR="008400B2" w:rsidRPr="00AE0EE2" w:rsidRDefault="008400B2" w:rsidP="008400B2">
      <w:pPr>
        <w:pStyle w:val="NormalHanging12a"/>
        <w:rPr>
          <w:bCs/>
          <w:iCs/>
        </w:rPr>
      </w:pPr>
      <w:r w:rsidRPr="00AE0EE2">
        <w:t>26.</w:t>
      </w:r>
      <w:r w:rsidRPr="00AE0EE2">
        <w:tab/>
        <w:t>Insta a Comissão e o Grupo BEI a concretizarem o apoio a projetos de dupla utilização, melhorando o acesso das empresas em fase inicial e das PME a esse apoio, simplificando os procedimentos, fornecendo orientações claras aos investidores e apresentando relatórios regulares sobre a utilização dos fundos e a sua distribuição geográfica; solicita uma aplicação eficaz através de convites específicos e de orientações claras para as autoridades de gestão, para que as regiões com ecossistemas de defesa menos desenvolvidos possam aceder a estas oportunidades; exorta os Estados</w:t>
      </w:r>
      <w:r w:rsidRPr="00AE0EE2">
        <w:noBreakHyphen/>
        <w:t>Membros a terem em conta estas possibilidades na conceção dos programas e a coordenarem</w:t>
      </w:r>
      <w:r w:rsidRPr="00AE0EE2">
        <w:noBreakHyphen/>
        <w:t>se com a Comissão e o BEI para desenvolver plataformas regionais de investimento, assegurando a complementaridade e evitando o duplo financiamento;</w:t>
      </w:r>
    </w:p>
    <w:p w14:paraId="3D04146C" w14:textId="77777777" w:rsidR="008400B2" w:rsidRPr="00AE0EE2" w:rsidRDefault="008400B2" w:rsidP="008400B2">
      <w:pPr>
        <w:pStyle w:val="NormalHanging12a"/>
      </w:pPr>
      <w:r w:rsidRPr="00AE0EE2">
        <w:t>27.</w:t>
      </w:r>
      <w:r w:rsidRPr="00AE0EE2">
        <w:tab/>
        <w:t>Exorta a Comissão a ter em conta, na sua política de concorrência, a prontidão em matéria de defesa, a segurança do aprovisionamento, o potencial de reforço da inovação e a redução das dependências em relação a países terceiros; insta, ao mesmo tempo, os Estados</w:t>
      </w:r>
      <w:r w:rsidRPr="00AE0EE2">
        <w:noBreakHyphen/>
        <w:t>Membros a assegurarem que a sua aquisição de produtos de defesa seja aberta e competitiva para a BTIDE no seu conjunto; exorta os Estados</w:t>
      </w:r>
      <w:r w:rsidRPr="00AE0EE2">
        <w:noBreakHyphen/>
        <w:t>Membros a reforçarem os seus controlos sobre o investimento direto realizado por agentes de países terceiros;</w:t>
      </w:r>
    </w:p>
    <w:p w14:paraId="6090359F" w14:textId="77777777" w:rsidR="008400B2" w:rsidRPr="00AE0EE2" w:rsidRDefault="008400B2" w:rsidP="008400B2">
      <w:pPr>
        <w:pStyle w:val="NormalHanging12a"/>
      </w:pPr>
      <w:r w:rsidRPr="00AE0EE2">
        <w:t>28.</w:t>
      </w:r>
      <w:r w:rsidRPr="00AE0EE2">
        <w:tab/>
        <w:t>Insta a Comissão a reforçar os programas de cooperação industrial e as parcerias transnacionais, incluindo as plataformas da cadeia de abastecimento e os projetos de codesenvolvimento, a fim de integrar as cadeias de produção, tirar partido dos conhecimentos especializados nacionais, promover economias de escala e melhorar a competitividade global da BTIDE;</w:t>
      </w:r>
    </w:p>
    <w:p w14:paraId="1765EC0E" w14:textId="77777777" w:rsidR="008400B2" w:rsidRPr="00AE0EE2" w:rsidRDefault="008400B2" w:rsidP="008400B2">
      <w:pPr>
        <w:pStyle w:val="NormalHanging12a"/>
      </w:pPr>
      <w:r w:rsidRPr="00AE0EE2">
        <w:t>29.</w:t>
      </w:r>
      <w:r w:rsidRPr="00AE0EE2">
        <w:tab/>
        <w:t>Salienta a importância do bom funcionamento dos mercados de capitais para o financiamento da defesa; insta a Comissão e os Estados</w:t>
      </w:r>
      <w:r w:rsidRPr="00AE0EE2">
        <w:noBreakHyphen/>
        <w:t>Membros a acelerarem os progressos relativos à união dos mercados de capitais e à União da Poupança e do Investimento, nomeadamente melhorando o acesso das PME do setor da defesa a capital próprio, capital de risco e financiamento; realça que a união dos mercados de capitais e a União da Poupança e do Investimento são fundamentais para reforçar o financiamento da defesa;</w:t>
      </w:r>
    </w:p>
    <w:p w14:paraId="3C1DA004" w14:textId="77777777" w:rsidR="008400B2" w:rsidRPr="00AE0EE2" w:rsidRDefault="008400B2" w:rsidP="008400B2">
      <w:pPr>
        <w:pStyle w:val="NormalHanging12a"/>
      </w:pPr>
      <w:r w:rsidRPr="00AE0EE2">
        <w:lastRenderedPageBreak/>
        <w:t>30.</w:t>
      </w:r>
      <w:r w:rsidRPr="00AE0EE2">
        <w:tab/>
        <w:t>Salienta a importância de acelerar os avanços para a conclusão da União da Poupança e do Investimento, com o objetivo de apoiar um sistema financeiro da UE com mais espessura, liquidez e integração, que canalize de forma mais eficiente as poupanças para investimentos produtivos, como os da indústria de defesa da UE; frisa que a indústria de defesa da UE tem de aumentar substancialmente a sua capacidade para satisfazer o enorme aumento da procura de produtos militares;</w:t>
      </w:r>
    </w:p>
    <w:p w14:paraId="57908581" w14:textId="77777777" w:rsidR="008400B2" w:rsidRPr="00AE0EE2" w:rsidRDefault="008400B2" w:rsidP="008400B2">
      <w:pPr>
        <w:pStyle w:val="NormalHanging12a"/>
      </w:pPr>
      <w:r w:rsidRPr="00AE0EE2">
        <w:t>31.</w:t>
      </w:r>
      <w:r w:rsidRPr="00AE0EE2">
        <w:tab/>
        <w:t>Congratula</w:t>
      </w:r>
      <w:r w:rsidRPr="00AE0EE2">
        <w:noBreakHyphen/>
        <w:t>se com o lançamento do rótulo «</w:t>
      </w:r>
      <w:proofErr w:type="spellStart"/>
      <w:r w:rsidRPr="00AE0EE2">
        <w:t>Finance</w:t>
      </w:r>
      <w:proofErr w:type="spellEnd"/>
      <w:r w:rsidRPr="00AE0EE2">
        <w:t xml:space="preserve"> </w:t>
      </w:r>
      <w:proofErr w:type="spellStart"/>
      <w:r w:rsidRPr="00AE0EE2">
        <w:t>Europe</w:t>
      </w:r>
      <w:proofErr w:type="spellEnd"/>
      <w:r w:rsidRPr="00AE0EE2">
        <w:t>»; observa que este rótulo, que visa canalizar as poupanças privadas para investimentos na economia real europeia, promove o financiamento de capitais próprios para as empresas; incentiva a Comissão a apoiar esta iniciativa propondo um rótulo europeu no âmbito da União da Poupança e dos Investimentos, garantindo, simultaneamente, que não sejam criados encargos administrativos adicionais;</w:t>
      </w:r>
    </w:p>
    <w:p w14:paraId="5E5E8DB6" w14:textId="77777777" w:rsidR="008400B2" w:rsidRPr="00AE0EE2" w:rsidRDefault="008400B2" w:rsidP="008400B2">
      <w:pPr>
        <w:pStyle w:val="NormalCenter12a"/>
        <w:ind w:left="567" w:hanging="567"/>
        <w:jc w:val="left"/>
      </w:pPr>
      <w:r w:rsidRPr="00AE0EE2">
        <w:t>32.</w:t>
      </w:r>
      <w:r w:rsidRPr="00AE0EE2">
        <w:tab/>
        <w:t>Congratula</w:t>
      </w:r>
      <w:r w:rsidRPr="00AE0EE2">
        <w:noBreakHyphen/>
        <w:t>se com a Recomendação da Comissão relativa às contas de poupança e de investimento</w:t>
      </w:r>
      <w:r w:rsidRPr="00AE0EE2">
        <w:rPr>
          <w:rStyle w:val="FootnoteReference"/>
        </w:rPr>
        <w:footnoteReference w:id="9"/>
      </w:r>
      <w:r w:rsidRPr="00AE0EE2">
        <w:t>; salienta que as contas de poupança e de investimento visam impulsionar a participação dos investidores não profissionais nos mercados de capitais da UE, o que, contribuindo para o reforço dos mercados e a promoção de um aumento da base de investidores da UE, ajudaria a financiar as prioridades estratégicas da UE, entre as quais, a defesa; incentiva a Comissão a continuar a apoiar esta iniciativa; insta os Estados</w:t>
      </w:r>
      <w:r w:rsidRPr="00AE0EE2">
        <w:noBreakHyphen/>
        <w:t>Membros a seguirem a recomendação da Comissão relativa ao aumento da disponibilidade das contas de poupança e de investimento;</w:t>
      </w:r>
    </w:p>
    <w:p w14:paraId="6C6F75E0" w14:textId="77777777" w:rsidR="008400B2" w:rsidRPr="00AE0EE2" w:rsidRDefault="008400B2" w:rsidP="008400B2">
      <w:pPr>
        <w:pStyle w:val="NormalHanging12a"/>
      </w:pPr>
      <w:r w:rsidRPr="00AE0EE2">
        <w:t>33.</w:t>
      </w:r>
      <w:r w:rsidRPr="00AE0EE2">
        <w:tab/>
        <w:t>Congratula</w:t>
      </w:r>
      <w:r w:rsidRPr="00AE0EE2">
        <w:noBreakHyphen/>
        <w:t xml:space="preserve">se com o trabalho em curso que visa utilizar os ativos russos congelados para financiar os esforços de defesa da Ucrânia, </w:t>
      </w:r>
      <w:proofErr w:type="gramStart"/>
      <w:r w:rsidRPr="00AE0EE2">
        <w:t>ao mesmo tempo que</w:t>
      </w:r>
      <w:proofErr w:type="gramEnd"/>
      <w:r w:rsidRPr="00AE0EE2">
        <w:t xml:space="preserve"> atende às preocupações relacionadas com a estabilidade financeira e os litígios;</w:t>
      </w:r>
    </w:p>
    <w:p w14:paraId="0B0A0EC2" w14:textId="77777777" w:rsidR="008400B2" w:rsidRPr="00AE0EE2" w:rsidRDefault="008400B2" w:rsidP="008400B2">
      <w:pPr>
        <w:pStyle w:val="NormalCenter12a"/>
        <w:tabs>
          <w:tab w:val="left" w:pos="567"/>
        </w:tabs>
        <w:ind w:left="567" w:hanging="567"/>
        <w:jc w:val="left"/>
        <w:rPr>
          <w:bCs/>
          <w:iCs/>
        </w:rPr>
      </w:pPr>
      <w:r w:rsidRPr="00AE0EE2">
        <w:t>34.</w:t>
      </w:r>
      <w:r w:rsidRPr="00AE0EE2">
        <w:tab/>
        <w:t>Apela a um compromisso comum entre os Estados</w:t>
      </w:r>
      <w:r w:rsidRPr="00AE0EE2">
        <w:noBreakHyphen/>
        <w:t>Membros no sentido de aumentar as despesas com a defesa, em consonância com as conclusões da Cimeira da OTAN de 2025 na Haia, durante a qual os aliados da OTAN se comprometeram a consagrar 5 % do PIB ao financiamento de necessidades essenciais de defesa e a despesas relacionadas com a defesa e a segurança até 2035; insta os Estados</w:t>
      </w:r>
      <w:r w:rsidRPr="00AE0EE2">
        <w:noBreakHyphen/>
        <w:t>Membros a promoverem iniciativas europeias no domínio da defesa, a reforçarem a interoperabilidade e a investirem em aquisições conjuntas em consonância com as prioridades estratégicas comuns, incluindo a produção de munições;</w:t>
      </w:r>
    </w:p>
    <w:p w14:paraId="1BE4F009" w14:textId="77777777" w:rsidR="008400B2" w:rsidRPr="00AE0EE2" w:rsidRDefault="008400B2" w:rsidP="008400B2">
      <w:pPr>
        <w:pStyle w:val="NormalCenter12a"/>
      </w:pPr>
      <w:r w:rsidRPr="00AE0EE2">
        <w:t>°</w:t>
      </w:r>
    </w:p>
    <w:p w14:paraId="38D94EA7" w14:textId="77777777" w:rsidR="008400B2" w:rsidRPr="00AE0EE2" w:rsidRDefault="008400B2" w:rsidP="008400B2">
      <w:pPr>
        <w:pStyle w:val="NormalCenter12a"/>
      </w:pPr>
      <w:r w:rsidRPr="00AE0EE2">
        <w:t>°</w:t>
      </w:r>
      <w:r w:rsidRPr="00AE0EE2">
        <w:tab/>
        <w:t>°</w:t>
      </w:r>
    </w:p>
    <w:p w14:paraId="03AB3E27" w14:textId="6DB06618" w:rsidR="00576A58" w:rsidRPr="00AE0EE2" w:rsidRDefault="008400B2" w:rsidP="00576A58">
      <w:pPr>
        <w:pStyle w:val="NormalHanging12a"/>
      </w:pPr>
      <w:r w:rsidRPr="00AE0EE2">
        <w:t>35.</w:t>
      </w:r>
      <w:r w:rsidRPr="00AE0EE2">
        <w:tab/>
        <w:t>Encarrega a sua Presidente de transmitir a presente resolução ao Conselho e à Comissão.</w:t>
      </w:r>
      <w:bookmarkEnd w:id="10"/>
    </w:p>
    <w:p w14:paraId="7C538BBB" w14:textId="44AD83AA" w:rsidR="00E365E1" w:rsidRPr="00AE0EE2" w:rsidRDefault="00E365E1" w:rsidP="002E2E84"/>
    <w:sectPr w:rsidR="00E365E1" w:rsidRPr="00AE0EE2" w:rsidSect="00576A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1116A" w14:textId="77777777" w:rsidR="002E2E84" w:rsidRPr="00576A58" w:rsidRDefault="002E2E84">
      <w:r w:rsidRPr="00576A58">
        <w:separator/>
      </w:r>
    </w:p>
  </w:endnote>
  <w:endnote w:type="continuationSeparator" w:id="0">
    <w:p w14:paraId="401ECE0A" w14:textId="77777777" w:rsidR="002E2E84" w:rsidRPr="00576A58" w:rsidRDefault="002E2E84">
      <w:r w:rsidRPr="00576A5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16166" w14:textId="77777777" w:rsidR="00064002" w:rsidRPr="00576A5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2339" w14:textId="77777777" w:rsidR="00064002" w:rsidRPr="00576A5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3943F" w14:textId="77777777" w:rsidR="00064002" w:rsidRPr="00576A5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84422" w14:textId="77777777" w:rsidR="002E2E84" w:rsidRPr="00576A58" w:rsidRDefault="002E2E84">
      <w:r w:rsidRPr="00576A58">
        <w:separator/>
      </w:r>
    </w:p>
  </w:footnote>
  <w:footnote w:type="continuationSeparator" w:id="0">
    <w:p w14:paraId="56C8181E" w14:textId="77777777" w:rsidR="002E2E84" w:rsidRPr="00576A58" w:rsidRDefault="002E2E84">
      <w:r w:rsidRPr="00576A58">
        <w:continuationSeparator/>
      </w:r>
    </w:p>
  </w:footnote>
  <w:footnote w:id="1">
    <w:p w14:paraId="438C83CB" w14:textId="5ABAD678" w:rsidR="008400B2" w:rsidRPr="00576A58" w:rsidRDefault="008400B2" w:rsidP="00576A58">
      <w:pPr>
        <w:pStyle w:val="FootnoteText"/>
        <w:ind w:left="567" w:hanging="567"/>
        <w:rPr>
          <w:sz w:val="24"/>
          <w:lang w:val="pt-PT"/>
        </w:rPr>
      </w:pPr>
      <w:r w:rsidRPr="00576A58">
        <w:rPr>
          <w:rStyle w:val="FootnoteReference"/>
          <w:sz w:val="24"/>
          <w:lang w:val="pt-PT"/>
        </w:rPr>
        <w:footnoteRef/>
      </w:r>
      <w:r w:rsidR="00576A58" w:rsidRPr="00576A58">
        <w:rPr>
          <w:sz w:val="24"/>
          <w:lang w:val="pt-PT"/>
        </w:rPr>
        <w:t xml:space="preserve"> </w:t>
      </w:r>
      <w:r w:rsidR="00576A58" w:rsidRPr="00576A58">
        <w:rPr>
          <w:sz w:val="24"/>
          <w:lang w:val="pt-PT"/>
        </w:rPr>
        <w:tab/>
      </w:r>
      <w:r w:rsidRPr="00576A58">
        <w:rPr>
          <w:sz w:val="24"/>
          <w:lang w:val="pt-PT"/>
        </w:rPr>
        <w:t xml:space="preserve">Comissão </w:t>
      </w:r>
      <w:proofErr w:type="gramStart"/>
      <w:r w:rsidRPr="00576A58">
        <w:rPr>
          <w:sz w:val="24"/>
          <w:lang w:val="pt-PT"/>
        </w:rPr>
        <w:t>Europeia</w:t>
      </w:r>
      <w:proofErr w:type="gramEnd"/>
      <w:r w:rsidRPr="00576A58">
        <w:rPr>
          <w:sz w:val="24"/>
          <w:lang w:val="pt-PT"/>
        </w:rPr>
        <w:t>: Direção</w:t>
      </w:r>
      <w:r w:rsidRPr="00576A58">
        <w:rPr>
          <w:sz w:val="24"/>
          <w:lang w:val="pt-PT"/>
        </w:rPr>
        <w:noBreakHyphen/>
        <w:t xml:space="preserve">Geral da Indústria da Defesa e do Espaço, </w:t>
      </w:r>
      <w:r w:rsidRPr="00576A58">
        <w:rPr>
          <w:i/>
          <w:iCs/>
          <w:sz w:val="24"/>
          <w:lang w:val="pt-PT"/>
        </w:rPr>
        <w:t xml:space="preserve">Access to </w:t>
      </w:r>
      <w:proofErr w:type="spellStart"/>
      <w:r w:rsidRPr="00576A58">
        <w:rPr>
          <w:i/>
          <w:iCs/>
          <w:sz w:val="24"/>
          <w:lang w:val="pt-PT"/>
        </w:rPr>
        <w:t>equity</w:t>
      </w:r>
      <w:proofErr w:type="spellEnd"/>
      <w:r w:rsidRPr="00576A58">
        <w:rPr>
          <w:i/>
          <w:iCs/>
          <w:sz w:val="24"/>
          <w:lang w:val="pt-PT"/>
        </w:rPr>
        <w:t xml:space="preserve"> </w:t>
      </w:r>
      <w:proofErr w:type="spellStart"/>
      <w:r w:rsidRPr="00576A58">
        <w:rPr>
          <w:i/>
          <w:iCs/>
          <w:sz w:val="24"/>
          <w:lang w:val="pt-PT"/>
        </w:rPr>
        <w:t>financing</w:t>
      </w:r>
      <w:proofErr w:type="spellEnd"/>
      <w:r w:rsidRPr="00576A58">
        <w:rPr>
          <w:i/>
          <w:iCs/>
          <w:sz w:val="24"/>
          <w:lang w:val="pt-PT"/>
        </w:rPr>
        <w:t xml:space="preserve"> for </w:t>
      </w:r>
      <w:proofErr w:type="spellStart"/>
      <w:r w:rsidRPr="00576A58">
        <w:rPr>
          <w:i/>
          <w:iCs/>
          <w:sz w:val="24"/>
          <w:lang w:val="pt-PT"/>
        </w:rPr>
        <w:t>European</w:t>
      </w:r>
      <w:proofErr w:type="spellEnd"/>
      <w:r w:rsidRPr="00576A58">
        <w:rPr>
          <w:i/>
          <w:iCs/>
          <w:sz w:val="24"/>
          <w:lang w:val="pt-PT"/>
        </w:rPr>
        <w:t xml:space="preserve"> </w:t>
      </w:r>
      <w:proofErr w:type="spellStart"/>
      <w:r w:rsidRPr="00576A58">
        <w:rPr>
          <w:i/>
          <w:iCs/>
          <w:sz w:val="24"/>
          <w:lang w:val="pt-PT"/>
        </w:rPr>
        <w:t>defence</w:t>
      </w:r>
      <w:proofErr w:type="spellEnd"/>
      <w:r w:rsidRPr="00576A58">
        <w:rPr>
          <w:i/>
          <w:iCs/>
          <w:sz w:val="24"/>
          <w:lang w:val="pt-PT"/>
        </w:rPr>
        <w:t xml:space="preserve"> </w:t>
      </w:r>
      <w:proofErr w:type="spellStart"/>
      <w:r w:rsidRPr="00576A58">
        <w:rPr>
          <w:i/>
          <w:iCs/>
          <w:sz w:val="24"/>
          <w:lang w:val="pt-PT"/>
        </w:rPr>
        <w:t>SMEs</w:t>
      </w:r>
      <w:proofErr w:type="spellEnd"/>
      <w:r w:rsidRPr="00576A58">
        <w:rPr>
          <w:sz w:val="24"/>
          <w:lang w:val="pt-PT"/>
        </w:rPr>
        <w:t xml:space="preserve">, Serviço das Publicações da União Europeia, 2024, </w:t>
      </w:r>
      <w:hyperlink r:id="rId1" w:history="1">
        <w:r w:rsidRPr="00576A58">
          <w:rPr>
            <w:rStyle w:val="Hyperlink"/>
            <w:sz w:val="24"/>
            <w:lang w:val="pt-PT"/>
          </w:rPr>
          <w:t>https://data.europa.eu/doi/10.2889/698738</w:t>
        </w:r>
      </w:hyperlink>
      <w:r w:rsidRPr="00576A58">
        <w:rPr>
          <w:sz w:val="24"/>
          <w:lang w:val="pt-PT"/>
        </w:rPr>
        <w:t>.</w:t>
      </w:r>
    </w:p>
  </w:footnote>
  <w:footnote w:id="2">
    <w:p w14:paraId="00A8D0D3" w14:textId="60179590" w:rsidR="008400B2" w:rsidRPr="00576A58" w:rsidRDefault="008400B2" w:rsidP="00576A58">
      <w:pPr>
        <w:pStyle w:val="FootnoteText"/>
        <w:ind w:left="567" w:hanging="567"/>
        <w:rPr>
          <w:sz w:val="24"/>
          <w:lang w:val="pt-PT"/>
        </w:rPr>
      </w:pPr>
      <w:r w:rsidRPr="00576A58">
        <w:rPr>
          <w:rStyle w:val="FootnoteReference"/>
          <w:sz w:val="24"/>
          <w:lang w:val="pt-PT"/>
        </w:rPr>
        <w:footnoteRef/>
      </w:r>
      <w:r w:rsidR="00576A58" w:rsidRPr="00576A58">
        <w:rPr>
          <w:sz w:val="24"/>
          <w:lang w:val="pt-PT"/>
        </w:rPr>
        <w:t xml:space="preserve"> </w:t>
      </w:r>
      <w:r w:rsidR="00576A58" w:rsidRPr="00576A58">
        <w:rPr>
          <w:sz w:val="24"/>
          <w:lang w:val="pt-PT"/>
        </w:rPr>
        <w:tab/>
      </w:r>
      <w:r w:rsidRPr="00576A58">
        <w:rPr>
          <w:sz w:val="24"/>
          <w:lang w:val="pt-PT"/>
        </w:rPr>
        <w:t>Textos Aprovados, P10_TA(2025)0281.</w:t>
      </w:r>
    </w:p>
  </w:footnote>
  <w:footnote w:id="3">
    <w:p w14:paraId="675FEC77" w14:textId="306F981A" w:rsidR="008400B2" w:rsidRPr="00576A58" w:rsidRDefault="008400B2" w:rsidP="00576A58">
      <w:pPr>
        <w:pStyle w:val="FootnoteText"/>
        <w:ind w:left="567" w:hanging="567"/>
        <w:rPr>
          <w:sz w:val="24"/>
          <w:lang w:val="pt-PT"/>
        </w:rPr>
      </w:pPr>
      <w:r w:rsidRPr="00576A58">
        <w:rPr>
          <w:rStyle w:val="FootnoteReference"/>
          <w:sz w:val="24"/>
          <w:lang w:val="pt-PT"/>
        </w:rPr>
        <w:footnoteRef/>
      </w:r>
      <w:r w:rsidR="00576A58" w:rsidRPr="00576A58">
        <w:rPr>
          <w:sz w:val="24"/>
          <w:lang w:val="pt-PT"/>
        </w:rPr>
        <w:t xml:space="preserve"> </w:t>
      </w:r>
      <w:r w:rsidR="00576A58" w:rsidRPr="00576A58">
        <w:rPr>
          <w:sz w:val="24"/>
          <w:lang w:val="pt-PT"/>
        </w:rPr>
        <w:tab/>
      </w:r>
      <w:r w:rsidRPr="00576A58">
        <w:rPr>
          <w:sz w:val="24"/>
          <w:lang w:val="pt-PT"/>
        </w:rPr>
        <w:t xml:space="preserve">JO L, 2025/1106, 28.5.2025, ELI: </w:t>
      </w:r>
      <w:hyperlink r:id="rId2" w:history="1">
        <w:r w:rsidRPr="00C478F4">
          <w:rPr>
            <w:rStyle w:val="Hyperlink"/>
            <w:sz w:val="24"/>
            <w:lang w:val="pt-PT"/>
          </w:rPr>
          <w:t>http://data.europa.eu/eli/reg/2025/1106/oj</w:t>
        </w:r>
      </w:hyperlink>
      <w:r w:rsidRPr="00576A58">
        <w:rPr>
          <w:sz w:val="24"/>
          <w:lang w:val="pt-PT"/>
        </w:rPr>
        <w:t>.</w:t>
      </w:r>
    </w:p>
  </w:footnote>
  <w:footnote w:id="4">
    <w:p w14:paraId="65FF8BD0" w14:textId="16FCF0D7" w:rsidR="008400B2" w:rsidRPr="00576A58" w:rsidRDefault="008400B2" w:rsidP="00576A58">
      <w:pPr>
        <w:pStyle w:val="FootnoteText"/>
        <w:ind w:left="567" w:hanging="567"/>
        <w:rPr>
          <w:sz w:val="24"/>
          <w:lang w:val="pt-PT"/>
        </w:rPr>
      </w:pPr>
      <w:r w:rsidRPr="00576A58">
        <w:rPr>
          <w:rStyle w:val="FootnoteReference"/>
          <w:sz w:val="24"/>
          <w:lang w:val="pt-PT"/>
        </w:rPr>
        <w:footnoteRef/>
      </w:r>
      <w:r w:rsidR="00576A58" w:rsidRPr="00576A58">
        <w:rPr>
          <w:sz w:val="24"/>
          <w:lang w:val="pt-PT"/>
        </w:rPr>
        <w:t xml:space="preserve"> </w:t>
      </w:r>
      <w:r w:rsidR="00576A58" w:rsidRPr="00576A58">
        <w:rPr>
          <w:sz w:val="24"/>
          <w:lang w:val="pt-PT"/>
        </w:rPr>
        <w:tab/>
      </w:r>
      <w:r w:rsidRPr="00576A58">
        <w:rPr>
          <w:sz w:val="24"/>
          <w:lang w:val="pt-PT"/>
        </w:rPr>
        <w:t>Textos Aprovados, P10_TA(2025)0034.</w:t>
      </w:r>
    </w:p>
  </w:footnote>
  <w:footnote w:id="5">
    <w:p w14:paraId="17A3962A" w14:textId="0077E549" w:rsidR="008400B2" w:rsidRPr="00576A58" w:rsidRDefault="008400B2" w:rsidP="00576A58">
      <w:pPr>
        <w:pStyle w:val="FootnoteText"/>
        <w:ind w:left="567" w:hanging="567"/>
        <w:rPr>
          <w:sz w:val="24"/>
          <w:lang w:val="pt-PT"/>
        </w:rPr>
      </w:pPr>
      <w:r w:rsidRPr="00576A58">
        <w:rPr>
          <w:rStyle w:val="FootnoteReference"/>
          <w:sz w:val="24"/>
          <w:lang w:val="pt-PT"/>
        </w:rPr>
        <w:footnoteRef/>
      </w:r>
      <w:r w:rsidR="00576A58" w:rsidRPr="00576A58">
        <w:rPr>
          <w:sz w:val="24"/>
          <w:lang w:val="pt-PT"/>
        </w:rPr>
        <w:t xml:space="preserve"> </w:t>
      </w:r>
      <w:r w:rsidR="00576A58" w:rsidRPr="00576A58">
        <w:rPr>
          <w:sz w:val="24"/>
          <w:lang w:val="pt-PT"/>
        </w:rPr>
        <w:tab/>
      </w:r>
      <w:r w:rsidRPr="00576A58">
        <w:rPr>
          <w:sz w:val="24"/>
          <w:lang w:val="pt-PT"/>
        </w:rPr>
        <w:t>Textos Aprovados, P10_TA(2025)0145.</w:t>
      </w:r>
    </w:p>
  </w:footnote>
  <w:footnote w:id="6">
    <w:p w14:paraId="79C47670" w14:textId="32BED158" w:rsidR="008400B2" w:rsidRPr="00576A58" w:rsidRDefault="008400B2" w:rsidP="00576A58">
      <w:pPr>
        <w:pStyle w:val="FootnoteText"/>
        <w:ind w:left="567" w:hanging="567"/>
        <w:rPr>
          <w:sz w:val="24"/>
          <w:lang w:val="pt-PT"/>
        </w:rPr>
      </w:pPr>
      <w:r w:rsidRPr="00576A58">
        <w:rPr>
          <w:rStyle w:val="FootnoteReference"/>
          <w:sz w:val="24"/>
          <w:lang w:val="pt-PT"/>
        </w:rPr>
        <w:footnoteRef/>
      </w:r>
      <w:r w:rsidR="00576A58" w:rsidRPr="00AE0EE2">
        <w:rPr>
          <w:sz w:val="24"/>
          <w:u w:color="0000FF"/>
          <w:lang w:val="pt-PT"/>
        </w:rPr>
        <w:t xml:space="preserve"> </w:t>
      </w:r>
      <w:r w:rsidR="00576A58" w:rsidRPr="00AE0EE2">
        <w:rPr>
          <w:sz w:val="24"/>
          <w:u w:color="0000FF"/>
          <w:lang w:val="pt-PT"/>
        </w:rPr>
        <w:tab/>
      </w:r>
      <w:r w:rsidRPr="00AE0EE2">
        <w:rPr>
          <w:sz w:val="24"/>
          <w:u w:color="0000FF"/>
          <w:lang w:val="pt-PT"/>
        </w:rPr>
        <w:t>Relatório da Comissão, de 17 de outubro de 2024, intitulado «Quarto relatório anual sobre a análise dos investimentos diretos estrangeiros na União» (COM(2024)0464)</w:t>
      </w:r>
      <w:r w:rsidRPr="00576A58">
        <w:rPr>
          <w:sz w:val="24"/>
          <w:lang w:val="pt-PT"/>
        </w:rPr>
        <w:t>.</w:t>
      </w:r>
      <w:r w:rsidRPr="00576A58">
        <w:rPr>
          <w:color w:val="0000FF"/>
          <w:sz w:val="24"/>
          <w:u w:val="single" w:color="0000FF"/>
          <w:lang w:val="pt-PT"/>
        </w:rPr>
        <w:t xml:space="preserve"> </w:t>
      </w:r>
    </w:p>
  </w:footnote>
  <w:footnote w:id="7">
    <w:p w14:paraId="010094D6" w14:textId="4DEB09E4" w:rsidR="008400B2" w:rsidRPr="00576A58" w:rsidRDefault="008400B2" w:rsidP="00576A58">
      <w:pPr>
        <w:pStyle w:val="FootnoteText"/>
        <w:ind w:left="567" w:hanging="567"/>
        <w:rPr>
          <w:sz w:val="24"/>
          <w:lang w:val="pt-PT"/>
        </w:rPr>
      </w:pPr>
      <w:r w:rsidRPr="00576A58">
        <w:rPr>
          <w:rStyle w:val="FootnoteReference"/>
          <w:sz w:val="24"/>
          <w:lang w:val="pt-PT"/>
        </w:rPr>
        <w:footnoteRef/>
      </w:r>
      <w:r w:rsidR="00576A58" w:rsidRPr="00576A58">
        <w:rPr>
          <w:sz w:val="24"/>
          <w:lang w:val="pt-PT"/>
        </w:rPr>
        <w:t xml:space="preserve"> </w:t>
      </w:r>
      <w:r w:rsidR="00576A58" w:rsidRPr="00576A58">
        <w:rPr>
          <w:sz w:val="24"/>
          <w:lang w:val="pt-PT"/>
        </w:rPr>
        <w:tab/>
      </w:r>
      <w:r w:rsidRPr="00576A58">
        <w:rPr>
          <w:sz w:val="24"/>
          <w:lang w:val="pt-PT"/>
        </w:rPr>
        <w:t xml:space="preserve">Regulamento Delegado (UE) </w:t>
      </w:r>
      <w:r w:rsidR="00921F42">
        <w:rPr>
          <w:sz w:val="24"/>
          <w:lang w:val="pt-PT"/>
        </w:rPr>
        <w:t>2025</w:t>
      </w:r>
      <w:r w:rsidRPr="00576A58">
        <w:rPr>
          <w:sz w:val="24"/>
          <w:lang w:val="pt-PT"/>
        </w:rPr>
        <w:t>/</w:t>
      </w:r>
      <w:r w:rsidR="00921F42">
        <w:rPr>
          <w:sz w:val="24"/>
          <w:lang w:val="pt-PT"/>
        </w:rPr>
        <w:t>1774</w:t>
      </w:r>
      <w:r w:rsidRPr="00576A58">
        <w:rPr>
          <w:sz w:val="24"/>
          <w:lang w:val="pt-PT"/>
        </w:rPr>
        <w:t xml:space="preserve"> da Comissão, de 28 de agosto de 2025, que altera o Regulamento Delegado (UE) 2021/1078 no que diz respeito aos investimentos estratégicos no domínio da defesa estabelecidos nas diretrizes em matéria de investimento para o Fundo </w:t>
      </w:r>
      <w:proofErr w:type="spellStart"/>
      <w:r w:rsidRPr="00576A58">
        <w:rPr>
          <w:sz w:val="24"/>
          <w:lang w:val="pt-PT"/>
        </w:rPr>
        <w:t>InvestEU</w:t>
      </w:r>
      <w:proofErr w:type="spellEnd"/>
      <w:r w:rsidRPr="00576A58">
        <w:rPr>
          <w:sz w:val="24"/>
          <w:lang w:val="pt-PT"/>
        </w:rPr>
        <w:t xml:space="preserve"> </w:t>
      </w:r>
      <w:r w:rsidR="00921F42" w:rsidRPr="00921F42">
        <w:rPr>
          <w:sz w:val="24"/>
          <w:lang w:val="pt-PT"/>
        </w:rPr>
        <w:t>(J</w:t>
      </w:r>
      <w:r w:rsidR="00921F42">
        <w:rPr>
          <w:sz w:val="24"/>
          <w:lang w:val="pt-PT"/>
        </w:rPr>
        <w:t>O</w:t>
      </w:r>
      <w:r w:rsidR="00921F42" w:rsidRPr="00921F42">
        <w:rPr>
          <w:sz w:val="24"/>
          <w:lang w:val="pt-PT"/>
        </w:rPr>
        <w:t xml:space="preserve"> L, 2025/1774</w:t>
      </w:r>
      <w:r w:rsidR="001E1DB6">
        <w:rPr>
          <w:sz w:val="24"/>
          <w:lang w:val="pt-PT"/>
        </w:rPr>
        <w:t>,</w:t>
      </w:r>
      <w:r w:rsidR="00921F42" w:rsidRPr="00921F42">
        <w:rPr>
          <w:sz w:val="24"/>
          <w:lang w:val="pt-PT"/>
        </w:rPr>
        <w:t xml:space="preserve"> 18.12.2025, ELI: http://data.europa.eu/eli/reg_del/2025/1774/oj)</w:t>
      </w:r>
      <w:r w:rsidRPr="00576A58">
        <w:rPr>
          <w:sz w:val="24"/>
          <w:lang w:val="pt-PT"/>
        </w:rPr>
        <w:t xml:space="preserve">. </w:t>
      </w:r>
    </w:p>
  </w:footnote>
  <w:footnote w:id="8">
    <w:p w14:paraId="0E5A89D2" w14:textId="7845B1FF" w:rsidR="008400B2" w:rsidRPr="00576A58" w:rsidRDefault="008400B2" w:rsidP="00576A58">
      <w:pPr>
        <w:pStyle w:val="FootnoteText"/>
        <w:ind w:left="567" w:hanging="567"/>
        <w:rPr>
          <w:sz w:val="24"/>
          <w:lang w:val="pt-PT"/>
        </w:rPr>
      </w:pPr>
      <w:r w:rsidRPr="00576A58">
        <w:rPr>
          <w:rStyle w:val="FootnoteReference"/>
          <w:sz w:val="24"/>
          <w:lang w:val="pt-PT"/>
        </w:rPr>
        <w:footnoteRef/>
      </w:r>
      <w:r w:rsidR="00576A58" w:rsidRPr="00576A58">
        <w:rPr>
          <w:sz w:val="24"/>
          <w:lang w:val="pt-PT"/>
        </w:rPr>
        <w:t xml:space="preserve"> </w:t>
      </w:r>
      <w:r w:rsidR="00576A58" w:rsidRPr="00576A58">
        <w:rPr>
          <w:sz w:val="24"/>
          <w:lang w:val="pt-PT"/>
        </w:rPr>
        <w:tab/>
      </w:r>
      <w:r w:rsidR="00921F42" w:rsidRPr="00921F42">
        <w:rPr>
          <w:sz w:val="24"/>
          <w:lang w:val="pt-PT"/>
        </w:rPr>
        <w:t>J</w:t>
      </w:r>
      <w:r w:rsidR="00921F42">
        <w:rPr>
          <w:sz w:val="24"/>
          <w:lang w:val="pt-PT"/>
        </w:rPr>
        <w:t>O</w:t>
      </w:r>
      <w:r w:rsidR="00921F42" w:rsidRPr="00921F42">
        <w:rPr>
          <w:sz w:val="24"/>
          <w:lang w:val="pt-PT"/>
        </w:rPr>
        <w:t xml:space="preserve"> L, 2025/1775, 30.12.2025, ELI: http://data.europa.eu/eli/reg_del/2025/1775/oj</w:t>
      </w:r>
      <w:r w:rsidRPr="00576A58">
        <w:rPr>
          <w:sz w:val="24"/>
          <w:lang w:val="pt-PT"/>
        </w:rPr>
        <w:t xml:space="preserve">. </w:t>
      </w:r>
    </w:p>
  </w:footnote>
  <w:footnote w:id="9">
    <w:p w14:paraId="4265F9FB" w14:textId="14F3190B" w:rsidR="008400B2" w:rsidRPr="00576A58" w:rsidRDefault="008400B2" w:rsidP="00576A58">
      <w:pPr>
        <w:pStyle w:val="FootnoteText"/>
        <w:ind w:left="567" w:hanging="567"/>
        <w:rPr>
          <w:sz w:val="24"/>
          <w:lang w:val="pt-PT"/>
        </w:rPr>
      </w:pPr>
      <w:r w:rsidRPr="00576A58">
        <w:rPr>
          <w:rStyle w:val="FootnoteReference"/>
          <w:sz w:val="24"/>
          <w:lang w:val="pt-PT"/>
        </w:rPr>
        <w:footnoteRef/>
      </w:r>
      <w:r w:rsidR="00576A58" w:rsidRPr="00576A58">
        <w:rPr>
          <w:sz w:val="24"/>
          <w:lang w:val="pt-PT"/>
        </w:rPr>
        <w:t xml:space="preserve"> </w:t>
      </w:r>
      <w:r w:rsidR="00576A58" w:rsidRPr="00576A58">
        <w:rPr>
          <w:sz w:val="24"/>
          <w:lang w:val="pt-PT"/>
        </w:rPr>
        <w:tab/>
      </w:r>
      <w:r w:rsidRPr="00576A58">
        <w:rPr>
          <w:sz w:val="24"/>
          <w:lang w:val="pt-PT"/>
        </w:rPr>
        <w:t>Recomendação da Comissão</w:t>
      </w:r>
      <w:r w:rsidR="00921F42">
        <w:rPr>
          <w:sz w:val="24"/>
          <w:lang w:val="pt-PT"/>
        </w:rPr>
        <w:t xml:space="preserve"> </w:t>
      </w:r>
      <w:r w:rsidR="00921F42" w:rsidRPr="00921F42">
        <w:rPr>
          <w:sz w:val="24"/>
          <w:lang w:val="pt-PT"/>
        </w:rPr>
        <w:t>(</w:t>
      </w:r>
      <w:r w:rsidR="00921F42">
        <w:rPr>
          <w:sz w:val="24"/>
          <w:lang w:val="pt-PT"/>
        </w:rPr>
        <w:t>UE</w:t>
      </w:r>
      <w:r w:rsidR="00921F42" w:rsidRPr="00921F42">
        <w:rPr>
          <w:sz w:val="24"/>
          <w:lang w:val="pt-PT"/>
        </w:rPr>
        <w:t>) 2025/2029</w:t>
      </w:r>
      <w:r w:rsidRPr="00576A58">
        <w:rPr>
          <w:sz w:val="24"/>
          <w:lang w:val="pt-PT"/>
        </w:rPr>
        <w:t xml:space="preserve">, de 30 de setembro de 2025, sobre o aumento da disponibilidade de contas de poupança e de investimento que beneficiam de tratamento fiscal simplificado e vantajoso </w:t>
      </w:r>
      <w:r w:rsidR="00921F42" w:rsidRPr="00921F42">
        <w:rPr>
          <w:sz w:val="24"/>
          <w:lang w:val="pt-PT"/>
        </w:rPr>
        <w:t>(J</w:t>
      </w:r>
      <w:r w:rsidR="00921F42">
        <w:rPr>
          <w:sz w:val="24"/>
          <w:lang w:val="pt-PT"/>
        </w:rPr>
        <w:t>O</w:t>
      </w:r>
      <w:r w:rsidR="00921F42" w:rsidRPr="00921F42">
        <w:rPr>
          <w:sz w:val="24"/>
          <w:lang w:val="pt-PT"/>
        </w:rPr>
        <w:t xml:space="preserve"> L, 2025/2029, 8.10.2025, ELI: http://data.europa.eu/eli/reco/2025/2029/oj)</w:t>
      </w:r>
      <w:r w:rsidRPr="00576A58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0D0B7" w14:textId="77777777" w:rsidR="00064002" w:rsidRPr="00576A5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E4125" w14:textId="77777777" w:rsidR="00064002" w:rsidRPr="00576A5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7E50C" w14:textId="77777777" w:rsidR="00064002" w:rsidRPr="00576A5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36849749">
    <w:abstractNumId w:val="9"/>
  </w:num>
  <w:num w:numId="2" w16cid:durableId="1833136411">
    <w:abstractNumId w:val="9"/>
  </w:num>
  <w:num w:numId="3" w16cid:durableId="612636401">
    <w:abstractNumId w:val="7"/>
  </w:num>
  <w:num w:numId="4" w16cid:durableId="462164196">
    <w:abstractNumId w:val="7"/>
  </w:num>
  <w:num w:numId="5" w16cid:durableId="1870097397">
    <w:abstractNumId w:val="6"/>
  </w:num>
  <w:num w:numId="6" w16cid:durableId="777674447">
    <w:abstractNumId w:val="6"/>
  </w:num>
  <w:num w:numId="7" w16cid:durableId="340282107">
    <w:abstractNumId w:val="5"/>
  </w:num>
  <w:num w:numId="8" w16cid:durableId="789395996">
    <w:abstractNumId w:val="5"/>
  </w:num>
  <w:num w:numId="9" w16cid:durableId="679770586">
    <w:abstractNumId w:val="4"/>
  </w:num>
  <w:num w:numId="10" w16cid:durableId="551501857">
    <w:abstractNumId w:val="4"/>
  </w:num>
  <w:num w:numId="11" w16cid:durableId="51777372">
    <w:abstractNumId w:val="8"/>
  </w:num>
  <w:num w:numId="12" w16cid:durableId="72902188">
    <w:abstractNumId w:val="8"/>
  </w:num>
  <w:num w:numId="13" w16cid:durableId="2013801354">
    <w:abstractNumId w:val="3"/>
  </w:num>
  <w:num w:numId="14" w16cid:durableId="2075930932">
    <w:abstractNumId w:val="3"/>
  </w:num>
  <w:num w:numId="15" w16cid:durableId="2055956278">
    <w:abstractNumId w:val="2"/>
  </w:num>
  <w:num w:numId="16" w16cid:durableId="1994025488">
    <w:abstractNumId w:val="2"/>
  </w:num>
  <w:num w:numId="17" w16cid:durableId="741756494">
    <w:abstractNumId w:val="1"/>
  </w:num>
  <w:num w:numId="18" w16cid:durableId="1983584180">
    <w:abstractNumId w:val="1"/>
  </w:num>
  <w:num w:numId="19" w16cid:durableId="817764701">
    <w:abstractNumId w:val="0"/>
  </w:num>
  <w:num w:numId="20" w16cid:durableId="465010215">
    <w:abstractNumId w:val="0"/>
  </w:num>
  <w:num w:numId="21" w16cid:durableId="2041322805">
    <w:abstractNumId w:val="9"/>
  </w:num>
  <w:num w:numId="22" w16cid:durableId="1510408212">
    <w:abstractNumId w:val="7"/>
  </w:num>
  <w:num w:numId="23" w16cid:durableId="1194538809">
    <w:abstractNumId w:val="6"/>
  </w:num>
  <w:num w:numId="24" w16cid:durableId="418907543">
    <w:abstractNumId w:val="5"/>
  </w:num>
  <w:num w:numId="25" w16cid:durableId="86460489">
    <w:abstractNumId w:val="4"/>
  </w:num>
  <w:num w:numId="26" w16cid:durableId="1086534776">
    <w:abstractNumId w:val="8"/>
  </w:num>
  <w:num w:numId="27" w16cid:durableId="1717466972">
    <w:abstractNumId w:val="3"/>
  </w:num>
  <w:num w:numId="28" w16cid:durableId="2115975543">
    <w:abstractNumId w:val="2"/>
  </w:num>
  <w:num w:numId="29" w16cid:durableId="1959988993">
    <w:abstractNumId w:val="1"/>
  </w:num>
  <w:num w:numId="30" w16cid:durableId="100998890">
    <w:abstractNumId w:val="0"/>
  </w:num>
  <w:num w:numId="31" w16cid:durableId="1065299636">
    <w:abstractNumId w:val="9"/>
  </w:num>
  <w:num w:numId="32" w16cid:durableId="536897928">
    <w:abstractNumId w:val="7"/>
  </w:num>
  <w:num w:numId="33" w16cid:durableId="947926937">
    <w:abstractNumId w:val="6"/>
  </w:num>
  <w:num w:numId="34" w16cid:durableId="1994599847">
    <w:abstractNumId w:val="5"/>
  </w:num>
  <w:num w:numId="35" w16cid:durableId="1793480280">
    <w:abstractNumId w:val="4"/>
  </w:num>
  <w:num w:numId="36" w16cid:durableId="761725561">
    <w:abstractNumId w:val="8"/>
  </w:num>
  <w:num w:numId="37" w16cid:durableId="1865702453">
    <w:abstractNumId w:val="3"/>
  </w:num>
  <w:num w:numId="38" w16cid:durableId="1067990679">
    <w:abstractNumId w:val="2"/>
  </w:num>
  <w:num w:numId="39" w16cid:durableId="262735783">
    <w:abstractNumId w:val="1"/>
  </w:num>
  <w:num w:numId="40" w16cid:durableId="1395081920">
    <w:abstractNumId w:val="0"/>
  </w:num>
  <w:num w:numId="41" w16cid:durableId="77288210">
    <w:abstractNumId w:val="10"/>
  </w:num>
  <w:num w:numId="42" w16cid:durableId="413471950">
    <w:abstractNumId w:val="10"/>
  </w:num>
  <w:num w:numId="43" w16cid:durableId="404380741">
    <w:abstractNumId w:val="10"/>
  </w:num>
  <w:num w:numId="44" w16cid:durableId="12864285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3/2025"/>
    <w:docVar w:name="dvlangue" w:val="PT"/>
    <w:docVar w:name="dvnumam" w:val="73"/>
    <w:docVar w:name="dvpe" w:val="776.772"/>
    <w:docVar w:name="dvrapporteur" w:val="Relator: "/>
    <w:docVar w:name="dvtitre" w:val="Resolução do Parlamento Europeu, de ... de ... de 2025,_x000d__x000a_ sobre a preparação da defesa europeia 2030: avaliação das necessidades(2025/2142(INI))"/>
  </w:docVars>
  <w:rsids>
    <w:rsidRoot w:val="002E2E84"/>
    <w:rsid w:val="00002272"/>
    <w:rsid w:val="00064002"/>
    <w:rsid w:val="000677B9"/>
    <w:rsid w:val="000730B0"/>
    <w:rsid w:val="000831BA"/>
    <w:rsid w:val="000A42CC"/>
    <w:rsid w:val="000E7DD9"/>
    <w:rsid w:val="0010095E"/>
    <w:rsid w:val="00125B37"/>
    <w:rsid w:val="00187494"/>
    <w:rsid w:val="001E1DB6"/>
    <w:rsid w:val="001F32AE"/>
    <w:rsid w:val="002767FF"/>
    <w:rsid w:val="002A1392"/>
    <w:rsid w:val="002B18FE"/>
    <w:rsid w:val="002B5493"/>
    <w:rsid w:val="002E2E84"/>
    <w:rsid w:val="00343214"/>
    <w:rsid w:val="00361C00"/>
    <w:rsid w:val="00395FA1"/>
    <w:rsid w:val="003B2FAE"/>
    <w:rsid w:val="003E15D4"/>
    <w:rsid w:val="003E50D2"/>
    <w:rsid w:val="00411CCE"/>
    <w:rsid w:val="0041666E"/>
    <w:rsid w:val="00421060"/>
    <w:rsid w:val="00462AD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6A58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00B2"/>
    <w:rsid w:val="00842779"/>
    <w:rsid w:val="00865F67"/>
    <w:rsid w:val="00881A7B"/>
    <w:rsid w:val="008840E5"/>
    <w:rsid w:val="00887B3E"/>
    <w:rsid w:val="008C2AC6"/>
    <w:rsid w:val="00921F42"/>
    <w:rsid w:val="00924893"/>
    <w:rsid w:val="00930C23"/>
    <w:rsid w:val="0093193B"/>
    <w:rsid w:val="009509D8"/>
    <w:rsid w:val="00950B64"/>
    <w:rsid w:val="00981893"/>
    <w:rsid w:val="00A1687D"/>
    <w:rsid w:val="00A31500"/>
    <w:rsid w:val="00A43E52"/>
    <w:rsid w:val="00A4678D"/>
    <w:rsid w:val="00A778C7"/>
    <w:rsid w:val="00AB441E"/>
    <w:rsid w:val="00AB6293"/>
    <w:rsid w:val="00AE0928"/>
    <w:rsid w:val="00AE0EE2"/>
    <w:rsid w:val="00AF3B82"/>
    <w:rsid w:val="00B12E95"/>
    <w:rsid w:val="00B22876"/>
    <w:rsid w:val="00B32156"/>
    <w:rsid w:val="00B558F0"/>
    <w:rsid w:val="00BA72B2"/>
    <w:rsid w:val="00BD48FE"/>
    <w:rsid w:val="00BD7BD8"/>
    <w:rsid w:val="00BE6ADC"/>
    <w:rsid w:val="00C05BFE"/>
    <w:rsid w:val="00C23CD4"/>
    <w:rsid w:val="00C478F4"/>
    <w:rsid w:val="00C61C0C"/>
    <w:rsid w:val="00C941CB"/>
    <w:rsid w:val="00CC2357"/>
    <w:rsid w:val="00CF071A"/>
    <w:rsid w:val="00CF21F8"/>
    <w:rsid w:val="00D058B8"/>
    <w:rsid w:val="00D56C11"/>
    <w:rsid w:val="00D834A0"/>
    <w:rsid w:val="00D872DF"/>
    <w:rsid w:val="00D91E21"/>
    <w:rsid w:val="00D9390D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23125F"/>
  <w15:chartTrackingRefBased/>
  <w15:docId w15:val="{1E67633D-4C04-46C8-BAD3-3E501EC7E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400B2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8400B2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8400B2"/>
    <w:pPr>
      <w:spacing w:after="240"/>
      <w:jc w:val="center"/>
    </w:pPr>
  </w:style>
  <w:style w:type="paragraph" w:customStyle="1" w:styleId="Normal6a">
    <w:name w:val="Normal6a"/>
    <w:basedOn w:val="Normal"/>
    <w:rsid w:val="008400B2"/>
    <w:pPr>
      <w:spacing w:after="120"/>
    </w:pPr>
  </w:style>
  <w:style w:type="character" w:customStyle="1" w:styleId="Bold">
    <w:name w:val="Bold"/>
    <w:uiPriority w:val="1"/>
    <w:rsid w:val="008400B2"/>
    <w:rPr>
      <w:b/>
    </w:rPr>
  </w:style>
  <w:style w:type="character" w:customStyle="1" w:styleId="Italic">
    <w:name w:val="Italic"/>
    <w:uiPriority w:val="1"/>
    <w:rsid w:val="008400B2"/>
    <w:rPr>
      <w:i/>
    </w:rPr>
  </w:style>
  <w:style w:type="paragraph" w:customStyle="1" w:styleId="Normal12a24b">
    <w:name w:val="Normal12a24b"/>
    <w:basedOn w:val="Normal"/>
    <w:rsid w:val="008400B2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8400B2"/>
    <w:rPr>
      <w:color w:val="0000FF"/>
      <w:u w:val="single"/>
    </w:rPr>
  </w:style>
  <w:style w:type="character" w:styleId="FollowedHyperlink">
    <w:name w:val="FollowedHyperlink"/>
    <w:basedOn w:val="DefaultParagraphFont"/>
    <w:rsid w:val="00C478F4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C478F4"/>
    <w:rPr>
      <w:sz w:val="24"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C478F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3B2FAE"/>
    <w:rPr>
      <w:sz w:val="16"/>
      <w:szCs w:val="16"/>
    </w:rPr>
  </w:style>
  <w:style w:type="paragraph" w:styleId="CommentText">
    <w:name w:val="annotation text"/>
    <w:basedOn w:val="Normal"/>
    <w:link w:val="CommentTextChar"/>
    <w:rsid w:val="003B2FA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B2FAE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3B2F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B2FAE"/>
    <w:rPr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25/1106/oj" TargetMode="External"/><Relationship Id="rId1" Type="http://schemas.openxmlformats.org/officeDocument/2006/relationships/hyperlink" Target="https://data.europa.eu/doi/10.2889/69873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14</Pages>
  <Words>7208</Words>
  <Characters>38571</Characters>
  <Application>Microsoft Office Word</Application>
  <DocSecurity>0</DocSecurity>
  <Lines>321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SILVA Carla Marina</cp:lastModifiedBy>
  <cp:revision>2</cp:revision>
  <cp:lastPrinted>2004-11-19T15:42:00Z</cp:lastPrinted>
  <dcterms:created xsi:type="dcterms:W3CDTF">2026-01-28T15:27:00Z</dcterms:created>
  <dcterms:modified xsi:type="dcterms:W3CDTF">2026-01-28T15:27:00Z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A10-0243/2025</vt:lpwstr>
  </property>
  <property fmtid="{D5CDD505-2E9C-101B-9397-08002B2CF9AE}" pid="4" name="&lt;Type&gt;">
    <vt:lpwstr>RR</vt:lpwstr>
  </property>
</Properties>
</file>