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6E10" w14:paraId="3D6F4B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F59A1D" w14:textId="77777777" w:rsidR="00751A4A" w:rsidRPr="009C6E10" w:rsidRDefault="00580BB6" w:rsidP="0010095E">
            <w:pPr>
              <w:pStyle w:val="EPName"/>
            </w:pPr>
            <w:r w:rsidRPr="009C6E10">
              <w:t>Európsky parlament</w:t>
            </w:r>
          </w:p>
          <w:p w14:paraId="14260402" w14:textId="77777777" w:rsidR="00751A4A" w:rsidRPr="009C6E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6E10">
              <w:t>2024</w:t>
            </w:r>
            <w:r w:rsidR="00817416" w:rsidRPr="009C6E10">
              <w:t>-202</w:t>
            </w:r>
            <w:r w:rsidRPr="009C6E10">
              <w:t>9</w:t>
            </w:r>
          </w:p>
        </w:tc>
        <w:tc>
          <w:tcPr>
            <w:tcW w:w="2268" w:type="dxa"/>
            <w:shd w:val="clear" w:color="auto" w:fill="auto"/>
          </w:tcPr>
          <w:p w14:paraId="1174806B" w14:textId="77777777" w:rsidR="00751A4A" w:rsidRPr="009C6E10" w:rsidRDefault="00187494" w:rsidP="0010095E">
            <w:pPr>
              <w:pStyle w:val="EPLogo"/>
            </w:pPr>
            <w:r w:rsidRPr="009C6E10">
              <w:rPr>
                <w:noProof/>
                <w:lang w:eastAsia="ja-JP"/>
              </w:rPr>
              <w:drawing>
                <wp:inline distT="0" distB="0" distL="0" distR="0" wp14:anchorId="493C33B0" wp14:editId="2597D5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F99E1" w14:textId="77777777" w:rsidR="00D058B8" w:rsidRPr="009C6E10" w:rsidRDefault="00D058B8" w:rsidP="004C5D52">
      <w:pPr>
        <w:pStyle w:val="LineTop"/>
      </w:pPr>
    </w:p>
    <w:p w14:paraId="78AF31AA" w14:textId="77777777" w:rsidR="00680577" w:rsidRPr="009C6E10" w:rsidRDefault="00580BB6" w:rsidP="00680577">
      <w:pPr>
        <w:pStyle w:val="EPBodyTA1"/>
      </w:pPr>
      <w:r w:rsidRPr="009C6E10">
        <w:t>PRIJATÉ TEXTY</w:t>
      </w:r>
    </w:p>
    <w:p w14:paraId="74113A5F" w14:textId="77777777" w:rsidR="00D058B8" w:rsidRPr="009C6E10" w:rsidRDefault="00D058B8" w:rsidP="00D058B8">
      <w:pPr>
        <w:pStyle w:val="LineBottom"/>
      </w:pPr>
    </w:p>
    <w:p w14:paraId="53F932D7" w14:textId="5D6F8106" w:rsidR="00580BB6" w:rsidRPr="009C6E10" w:rsidRDefault="00580BB6" w:rsidP="00580BB6">
      <w:pPr>
        <w:pStyle w:val="ATHeading1"/>
      </w:pPr>
      <w:bookmarkStart w:id="0" w:name="TANumber"/>
      <w:r w:rsidRPr="009C6E10">
        <w:t>P10_TA(2025)0</w:t>
      </w:r>
      <w:r w:rsidR="009C6E10" w:rsidRPr="009C6E10">
        <w:t>33</w:t>
      </w:r>
      <w:r w:rsidR="00206301">
        <w:t>6</w:t>
      </w:r>
      <w:bookmarkEnd w:id="0"/>
    </w:p>
    <w:p w14:paraId="1A204457" w14:textId="77777777" w:rsidR="00580BB6" w:rsidRPr="009C6E10" w:rsidRDefault="00580BB6" w:rsidP="00580BB6">
      <w:pPr>
        <w:pStyle w:val="ATHeading2"/>
      </w:pPr>
      <w:bookmarkStart w:id="1" w:name="title"/>
      <w:r w:rsidRPr="009C6E10">
        <w:t>Európska obranná pripravenosť 2030: posúdenie potrieb</w:t>
      </w:r>
      <w:bookmarkEnd w:id="1"/>
    </w:p>
    <w:p w14:paraId="62EA7619" w14:textId="77777777" w:rsidR="00580BB6" w:rsidRPr="009C6E10" w:rsidRDefault="00580BB6" w:rsidP="00580BB6">
      <w:pPr>
        <w:rPr>
          <w:i/>
          <w:vanish/>
        </w:rPr>
      </w:pPr>
      <w:r w:rsidRPr="009C6E10">
        <w:rPr>
          <w:i/>
        </w:rPr>
        <w:fldChar w:fldCharType="begin"/>
      </w:r>
      <w:r w:rsidRPr="009C6E10">
        <w:rPr>
          <w:i/>
        </w:rPr>
        <w:instrText xml:space="preserve"> TC"(</w:instrText>
      </w:r>
      <w:bookmarkStart w:id="2" w:name="DocNumber"/>
      <w:r w:rsidRPr="009C6E10">
        <w:rPr>
          <w:i/>
        </w:rPr>
        <w:instrText>A10-0243/2025</w:instrText>
      </w:r>
      <w:bookmarkEnd w:id="2"/>
      <w:r w:rsidRPr="009C6E10">
        <w:rPr>
          <w:i/>
        </w:rPr>
        <w:instrText xml:space="preserve"> - Spravodajca: Christophe Gomart)"\l3 \n&gt; \* MERGEFORMAT </w:instrText>
      </w:r>
      <w:r w:rsidRPr="009C6E10">
        <w:rPr>
          <w:i/>
        </w:rPr>
        <w:fldChar w:fldCharType="end"/>
      </w:r>
    </w:p>
    <w:p w14:paraId="57C19BA3" w14:textId="77777777" w:rsidR="00580BB6" w:rsidRPr="009C6E10" w:rsidRDefault="00580BB6" w:rsidP="00580BB6">
      <w:pPr>
        <w:rPr>
          <w:vanish/>
        </w:rPr>
      </w:pPr>
      <w:bookmarkStart w:id="3" w:name="Commission"/>
      <w:r w:rsidRPr="009C6E10">
        <w:rPr>
          <w:vanish/>
        </w:rPr>
        <w:t>Výbor pre bezpečnosť a obranu</w:t>
      </w:r>
      <w:bookmarkEnd w:id="3"/>
    </w:p>
    <w:p w14:paraId="397C8E0A" w14:textId="77777777" w:rsidR="00580BB6" w:rsidRPr="009C6E10" w:rsidRDefault="00580BB6" w:rsidP="00580BB6">
      <w:pPr>
        <w:rPr>
          <w:vanish/>
        </w:rPr>
      </w:pPr>
      <w:bookmarkStart w:id="4" w:name="PE"/>
      <w:r w:rsidRPr="009C6E10">
        <w:rPr>
          <w:vanish/>
        </w:rPr>
        <w:t>PE776.772</w:t>
      </w:r>
      <w:bookmarkEnd w:id="4"/>
    </w:p>
    <w:p w14:paraId="7A61D698" w14:textId="61FEAC3C" w:rsidR="00580BB6" w:rsidRPr="009C6E10" w:rsidRDefault="00580BB6" w:rsidP="00580BB6">
      <w:pPr>
        <w:pStyle w:val="ATHeading3"/>
      </w:pPr>
      <w:bookmarkStart w:id="5" w:name="Sujet"/>
      <w:r w:rsidRPr="009C6E10">
        <w:t>Uznesenie Európskeho parlamentu z</w:t>
      </w:r>
      <w:r w:rsidR="002F39AA" w:rsidRPr="009C6E10">
        <w:t>o</w:t>
      </w:r>
      <w:r w:rsidRPr="009C6E10">
        <w:t xml:space="preserve"> </w:t>
      </w:r>
      <w:r w:rsidR="002F39AA" w:rsidRPr="009C6E10">
        <w:t>17</w:t>
      </w:r>
      <w:r w:rsidRPr="009C6E10">
        <w:t>. decembra 2025 o európskej obrannej pripravenosti 2030: posúdenie potrieb</w:t>
      </w:r>
      <w:bookmarkEnd w:id="5"/>
      <w:r w:rsidRPr="009C6E10">
        <w:t xml:space="preserve"> </w:t>
      </w:r>
      <w:bookmarkStart w:id="6" w:name="References"/>
      <w:r w:rsidRPr="009C6E10">
        <w:t>2025/2142(INI)</w:t>
      </w:r>
      <w:bookmarkEnd w:id="6"/>
    </w:p>
    <w:p w14:paraId="46DB0FFE" w14:textId="77777777" w:rsidR="00FD609F" w:rsidRPr="009C6E10" w:rsidRDefault="00FD609F" w:rsidP="00FD609F">
      <w:pPr>
        <w:pStyle w:val="EPComma"/>
      </w:pPr>
      <w:r w:rsidRPr="009C6E10">
        <w:rPr>
          <w:rStyle w:val="Italic"/>
        </w:rPr>
        <w:t>Európsky parlament</w:t>
      </w:r>
      <w:r w:rsidRPr="009C6E10">
        <w:t>,</w:t>
      </w:r>
    </w:p>
    <w:p w14:paraId="5D016F3E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Zmluvu o fungovaní Európskej únie (ďalej len „ZFEÚ“),</w:t>
      </w:r>
    </w:p>
    <w:p w14:paraId="1B1593EA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hlavu V Zmluvy o Európskej únii, najmä na kapitolu 2 oddiel 2 o spoločnej bezpečnostnej a obrannej politike,</w:t>
      </w:r>
    </w:p>
    <w:p w14:paraId="25D82B30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 xml:space="preserve">so zreteľom na bielu knihu nazvanú Biela kniha o európskej obrannej pripravenosti 2030, ktorú 19. marca 2025 predložili Komisia a vysoká predstaviteľka Únie pre zahraničné veci a bezpečnostnú politiku, a na jej päťbodový plán financovania s názvom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>,</w:t>
      </w:r>
    </w:p>
    <w:p w14:paraId="70FD863C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spoločné oznámenie Komisie a vysokého predstaviteľa Únie pre zahraničné veci a bezpečnostnú politiku z 18. mája 2022 o analýze nedostatku investícií do obrany a ďalšom postupe (JOIN(2022)0024),</w:t>
      </w:r>
    </w:p>
    <w:p w14:paraId="491395AC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 xml:space="preserve">so zreteľom na štúdiu z 11. januára 2024 s názvom Access to </w:t>
      </w:r>
      <w:proofErr w:type="spellStart"/>
      <w:r w:rsidRPr="009C6E10">
        <w:t>equity</w:t>
      </w:r>
      <w:proofErr w:type="spellEnd"/>
      <w:r w:rsidRPr="009C6E10">
        <w:t xml:space="preserve"> </w:t>
      </w:r>
      <w:proofErr w:type="spellStart"/>
      <w:r w:rsidRPr="009C6E10">
        <w:t>financing</w:t>
      </w:r>
      <w:proofErr w:type="spellEnd"/>
      <w:r w:rsidRPr="009C6E10">
        <w:t xml:space="preserve"> </w:t>
      </w:r>
      <w:proofErr w:type="spellStart"/>
      <w:r w:rsidRPr="009C6E10">
        <w:t>for</w:t>
      </w:r>
      <w:proofErr w:type="spellEnd"/>
      <w:r w:rsidRPr="009C6E10">
        <w:t xml:space="preserve"> </w:t>
      </w:r>
      <w:proofErr w:type="spellStart"/>
      <w:r w:rsidRPr="009C6E10">
        <w:t>European</w:t>
      </w:r>
      <w:proofErr w:type="spellEnd"/>
      <w:r w:rsidRPr="009C6E10">
        <w:t xml:space="preserve"> </w:t>
      </w:r>
      <w:proofErr w:type="spellStart"/>
      <w:r w:rsidRPr="009C6E10">
        <w:t>defence</w:t>
      </w:r>
      <w:proofErr w:type="spellEnd"/>
      <w:r w:rsidRPr="009C6E10">
        <w:t xml:space="preserve"> </w:t>
      </w:r>
      <w:proofErr w:type="spellStart"/>
      <w:r w:rsidRPr="009C6E10">
        <w:t>SMEs</w:t>
      </w:r>
      <w:proofErr w:type="spellEnd"/>
      <w:r w:rsidRPr="009C6E10">
        <w:t xml:space="preserve"> (Prístup ku kapitálovému financovaniu pre európske MSP v obrannom priemysle)</w:t>
      </w:r>
      <w:r w:rsidRPr="009C6E10">
        <w:rPr>
          <w:rStyle w:val="FootnoteReference"/>
        </w:rPr>
        <w:footnoteReference w:id="1"/>
      </w:r>
      <w:r w:rsidRPr="009C6E10">
        <w:t>,</w:t>
      </w:r>
    </w:p>
    <w:p w14:paraId="0F61B44A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 xml:space="preserve">so zreteľom na spoločné oznámenie Komisie a vysokého predstaviteľa Únie pre zahraničné veci a bezpečnostnú politiku z 5. marca 2024 s názvom Nová stratégia pre európsky obranný priemysel: dosahovanie pripravenosti EÚ prostredníctvom </w:t>
      </w:r>
      <w:proofErr w:type="spellStart"/>
      <w:r w:rsidRPr="009C6E10">
        <w:t>reakcieschopnejšieho</w:t>
      </w:r>
      <w:proofErr w:type="spellEnd"/>
      <w:r w:rsidRPr="009C6E10">
        <w:t xml:space="preserve"> a odolnejšieho európskeho obranného priemyslu (JOIN(2024)0010),</w:t>
      </w:r>
    </w:p>
    <w:p w14:paraId="324E3554" w14:textId="77777777" w:rsidR="00FD609F" w:rsidRPr="009C6E10" w:rsidRDefault="00FD609F" w:rsidP="00FD609F">
      <w:pPr>
        <w:pStyle w:val="NormalHanging12a"/>
      </w:pPr>
      <w:r w:rsidRPr="009C6E10">
        <w:lastRenderedPageBreak/>
        <w:t>–</w:t>
      </w:r>
      <w:r w:rsidRPr="009C6E10">
        <w:tab/>
        <w:t xml:space="preserve">so zreteľom na správu </w:t>
      </w:r>
      <w:proofErr w:type="spellStart"/>
      <w:r w:rsidRPr="009C6E10">
        <w:t>Maria</w:t>
      </w:r>
      <w:proofErr w:type="spellEnd"/>
      <w:r w:rsidRPr="009C6E10">
        <w:t xml:space="preserve"> </w:t>
      </w:r>
      <w:proofErr w:type="spellStart"/>
      <w:r w:rsidRPr="009C6E10">
        <w:t>Draghiho</w:t>
      </w:r>
      <w:proofErr w:type="spellEnd"/>
      <w:r w:rsidRPr="009C6E10">
        <w:t xml:space="preserve"> z 9. septembra 2024 s názvom Budúcnosť európskej konkurencieschopnosti (</w:t>
      </w:r>
      <w:proofErr w:type="spellStart"/>
      <w:r w:rsidRPr="009C6E10">
        <w:t>Draghiho</w:t>
      </w:r>
      <w:proofErr w:type="spellEnd"/>
      <w:r w:rsidRPr="009C6E10">
        <w:t xml:space="preserve"> správa),</w:t>
      </w:r>
    </w:p>
    <w:p w14:paraId="7D60A510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správu o činnosti Európskej investičnej banky (EIB) za rok 2024,</w:t>
      </w:r>
    </w:p>
    <w:p w14:paraId="7FA956F0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svoju pozíciu v prvom čítaní z 25. novembra 2025 o návrhu nariadenia Európskeho parlamentu a Rady, ktorým sa zriaďuje Program pre európsky obranný priemysel a rámec opatrení na zabezpečenie včasnej dostupnosti a dodávok výrobkov obranného priemyslu</w:t>
      </w:r>
      <w:r w:rsidRPr="009C6E10">
        <w:rPr>
          <w:rStyle w:val="FootnoteReference"/>
        </w:rPr>
        <w:footnoteReference w:id="2"/>
      </w:r>
      <w:r w:rsidRPr="009C6E10">
        <w:t>,</w:t>
      </w:r>
    </w:p>
    <w:p w14:paraId="1E792668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 xml:space="preserve">so zreteľom na spoločné komuniké Francúzska, Nemecka, Španielska, Estónska, Luxemburska, Holandska a Portugalska zo 6. júna 2025 o zavedení značky </w:t>
      </w:r>
      <w:proofErr w:type="spellStart"/>
      <w:r w:rsidRPr="009C6E10">
        <w:t>Finance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>,</w:t>
      </w:r>
    </w:p>
    <w:p w14:paraId="28C328F1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oznámenie Komisie zo 17. júna 2025 týkajúce sa súhrnného balíka opatrení v oblasti obrannej pripravenosti (COM(2025)0820), ktorého cieľom je zjednodušiť príslušné právne a administratívne rámce v záujme posilnenia obrannej pripravenosti EÚ,</w:t>
      </w:r>
    </w:p>
    <w:p w14:paraId="62067220" w14:textId="38C76D54" w:rsidR="00FD609F" w:rsidRPr="009C6E10" w:rsidRDefault="00FD609F" w:rsidP="009C6E10">
      <w:pPr>
        <w:spacing w:after="240"/>
        <w:ind w:left="567" w:hanging="567"/>
      </w:pPr>
      <w:r w:rsidRPr="009C6E10">
        <w:t>–</w:t>
      </w:r>
      <w:r w:rsidRPr="009C6E10">
        <w:tab/>
        <w:t>so zreteľom na 10. správu z júna 2025 o pokroku vo vykonávaní spoločného súboru návrhov schválených Radou EÚ a Severoatlantickou radou 6. decembra 2016 a 5. decembra 2017,</w:t>
      </w:r>
    </w:p>
    <w:p w14:paraId="2C5527E4" w14:textId="77777777" w:rsidR="00FD609F" w:rsidRPr="009C6E10" w:rsidRDefault="00FD609F" w:rsidP="009C6E10">
      <w:pPr>
        <w:spacing w:after="240"/>
        <w:ind w:left="567" w:hanging="567"/>
      </w:pPr>
      <w:r w:rsidRPr="009C6E10">
        <w:t>–</w:t>
      </w:r>
      <w:r w:rsidRPr="009C6E10">
        <w:tab/>
        <w:t>so zreteľom na nariadenie Rady (EÚ) 2025/1106 z 27. mája 2025, ktorým sa zriaďuje Nástroj bezpečnostnej akcie pre Európu (SAFE) posilnením európskeho obranného priemyslu</w:t>
      </w:r>
      <w:r w:rsidRPr="009C6E10">
        <w:rPr>
          <w:rStyle w:val="FootnoteReference"/>
        </w:rPr>
        <w:footnoteReference w:id="3"/>
      </w:r>
      <w:r w:rsidRPr="009C6E10">
        <w:t>,</w:t>
      </w:r>
    </w:p>
    <w:p w14:paraId="59E82FBE" w14:textId="77777777" w:rsidR="00FD609F" w:rsidRPr="009C6E10" w:rsidRDefault="00FD609F" w:rsidP="009C6E10">
      <w:pPr>
        <w:spacing w:after="240"/>
        <w:ind w:left="567" w:hanging="567"/>
      </w:pPr>
      <w:r w:rsidRPr="009C6E10">
        <w:t>–</w:t>
      </w:r>
      <w:r w:rsidRPr="009C6E10">
        <w:tab/>
        <w:t xml:space="preserve">so zreteľom na správu </w:t>
      </w:r>
      <w:proofErr w:type="spellStart"/>
      <w:r w:rsidRPr="009C6E10">
        <w:t>Enrica</w:t>
      </w:r>
      <w:proofErr w:type="spellEnd"/>
      <w:r w:rsidRPr="009C6E10">
        <w:t xml:space="preserve"> </w:t>
      </w:r>
      <w:proofErr w:type="spellStart"/>
      <w:r w:rsidRPr="009C6E10">
        <w:t>Lettu</w:t>
      </w:r>
      <w:proofErr w:type="spellEnd"/>
      <w:r w:rsidRPr="009C6E10">
        <w:t xml:space="preserve"> z 10. apríla 2024 o budúcnosti európskej konkurencieschopnosti (</w:t>
      </w:r>
      <w:proofErr w:type="spellStart"/>
      <w:r w:rsidRPr="009C6E10">
        <w:t>Lettova</w:t>
      </w:r>
      <w:proofErr w:type="spellEnd"/>
      <w:r w:rsidRPr="009C6E10">
        <w:t xml:space="preserve"> správa),</w:t>
      </w:r>
    </w:p>
    <w:p w14:paraId="3B7C64AA" w14:textId="4ED41ADB" w:rsidR="00FD609F" w:rsidRPr="009C6E10" w:rsidRDefault="00FD609F" w:rsidP="00FD609F">
      <w:pPr>
        <w:pStyle w:val="Normal6a"/>
        <w:spacing w:after="240"/>
        <w:ind w:left="567" w:hanging="567"/>
      </w:pPr>
      <w:r w:rsidRPr="009C6E10">
        <w:t>–</w:t>
      </w:r>
      <w:r w:rsidRPr="009C6E10">
        <w:tab/>
        <w:t xml:space="preserve">so zreteľom na správu </w:t>
      </w:r>
      <w:proofErr w:type="spellStart"/>
      <w:r w:rsidRPr="009C6E10">
        <w:t>Sauliho</w:t>
      </w:r>
      <w:proofErr w:type="spellEnd"/>
      <w:r w:rsidRPr="009C6E10">
        <w:t xml:space="preserve"> </w:t>
      </w:r>
      <w:proofErr w:type="spellStart"/>
      <w:r w:rsidRPr="009C6E10">
        <w:t>Niinistöa</w:t>
      </w:r>
      <w:proofErr w:type="spellEnd"/>
      <w:r w:rsidRPr="009C6E10">
        <w:t xml:space="preserve"> z 30. októbra 20</w:t>
      </w:r>
      <w:r w:rsidR="00024DB0">
        <w:t>2</w:t>
      </w:r>
      <w:r w:rsidRPr="009C6E10">
        <w:t>4 s názvom Spoločne bezpečnejší: posilnenie európskej civilnej a vojenskej pripravenosti a pohotovosti (</w:t>
      </w:r>
      <w:proofErr w:type="spellStart"/>
      <w:r w:rsidRPr="009C6E10">
        <w:t>Niinistöova</w:t>
      </w:r>
      <w:proofErr w:type="spellEnd"/>
      <w:r w:rsidRPr="009C6E10">
        <w:t xml:space="preserve"> správa), </w:t>
      </w:r>
    </w:p>
    <w:p w14:paraId="2E2EA307" w14:textId="77777777" w:rsidR="00FD609F" w:rsidRPr="009C6E10" w:rsidRDefault="00FD609F" w:rsidP="00FD609F">
      <w:pPr>
        <w:pStyle w:val="Normal6a"/>
        <w:spacing w:after="240"/>
        <w:ind w:left="567" w:hanging="567"/>
      </w:pPr>
      <w:r w:rsidRPr="009C6E10">
        <w:t>–</w:t>
      </w:r>
      <w:r w:rsidRPr="009C6E10">
        <w:tab/>
        <w:t>so zreteľom na svoje uznesenie z 12. marca 2025 o bielej knihe o budúcnosti európskej obrany</w:t>
      </w:r>
      <w:r w:rsidRPr="009C6E10">
        <w:rPr>
          <w:rStyle w:val="FootnoteReference"/>
        </w:rPr>
        <w:footnoteReference w:id="4"/>
      </w:r>
      <w:r w:rsidRPr="009C6E10">
        <w:t>,</w:t>
      </w:r>
    </w:p>
    <w:p w14:paraId="4E311224" w14:textId="77777777" w:rsidR="00FD609F" w:rsidRPr="009C6E10" w:rsidRDefault="00FD609F" w:rsidP="00FD609F">
      <w:pPr>
        <w:pStyle w:val="Normal6a"/>
        <w:spacing w:after="240"/>
        <w:ind w:left="567" w:hanging="567"/>
      </w:pPr>
      <w:r w:rsidRPr="009C6E10">
        <w:t>–</w:t>
      </w:r>
      <w:r w:rsidRPr="009C6E10">
        <w:tab/>
        <w:t>so zreteľom na svoje uznesenie z 8. júla 2025 o finančnej činnosti Európskej investičnej banky – výročná správa za rok 2024</w:t>
      </w:r>
      <w:r w:rsidRPr="009C6E10">
        <w:rPr>
          <w:rStyle w:val="FootnoteReference"/>
        </w:rPr>
        <w:footnoteReference w:id="5"/>
      </w:r>
      <w:r w:rsidRPr="009C6E10">
        <w:t>,</w:t>
      </w:r>
    </w:p>
    <w:p w14:paraId="4B91DDAC" w14:textId="77777777" w:rsidR="00FD609F" w:rsidRPr="009C6E10" w:rsidRDefault="00FD609F" w:rsidP="00FD609F">
      <w:pPr>
        <w:pStyle w:val="Normal6a"/>
        <w:spacing w:after="240"/>
        <w:ind w:left="567" w:hanging="567"/>
      </w:pPr>
      <w:r w:rsidRPr="009C6E10">
        <w:t>–</w:t>
      </w:r>
      <w:r w:rsidRPr="009C6E10">
        <w:tab/>
        <w:t>so zreteľom na oznámenie Komisie z 28. augusta 2025 o uplatňovaní rámca udržateľného financovania a smernice o náležitej starostlivosti podnikov v oblasti udržateľnosti na sektor obrany (C(2025)3800),</w:t>
      </w:r>
    </w:p>
    <w:p w14:paraId="35F1ED38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stanoviská Výboru pre hospodárske a menové veci, Výboru pre priemysel, výskum a energetiku, ako aj Výboru pre rozpočet,</w:t>
      </w:r>
    </w:p>
    <w:p w14:paraId="1D26601A" w14:textId="77777777" w:rsidR="00FD609F" w:rsidRPr="009C6E10" w:rsidRDefault="00FD609F" w:rsidP="00FD609F">
      <w:pPr>
        <w:pStyle w:val="NormalHanging12a"/>
      </w:pPr>
      <w:r w:rsidRPr="009C6E10">
        <w:lastRenderedPageBreak/>
        <w:t>–</w:t>
      </w:r>
      <w:r w:rsidRPr="009C6E10">
        <w:tab/>
        <w:t>so zreteľom na článok 55 rokovacieho poriadku,</w:t>
      </w:r>
    </w:p>
    <w:p w14:paraId="6441885B" w14:textId="77777777" w:rsidR="00FD609F" w:rsidRPr="009C6E10" w:rsidRDefault="00FD609F" w:rsidP="00FD609F">
      <w:pPr>
        <w:pStyle w:val="NormalHanging12a"/>
      </w:pPr>
      <w:r w:rsidRPr="009C6E10">
        <w:t>–</w:t>
      </w:r>
      <w:r w:rsidRPr="009C6E10">
        <w:tab/>
        <w:t>so zreteľom na správu Výboru pre bezpečnosť a obranu (A10-0243/2025),</w:t>
      </w:r>
    </w:p>
    <w:p w14:paraId="4118ECC4" w14:textId="77777777" w:rsidR="00FD609F" w:rsidRPr="009C6E10" w:rsidRDefault="00FD609F" w:rsidP="00FD609F">
      <w:pPr>
        <w:pStyle w:val="NormalHanging12a"/>
      </w:pPr>
      <w:r w:rsidRPr="009C6E10">
        <w:t>A.</w:t>
      </w:r>
      <w:r w:rsidRPr="009C6E10">
        <w:tab/>
        <w:t>keďže podľa Európskej obrannej agentúry (EDA) dosiahli výdavky členských štátov na obranu v roku 2024 po poklese v roku 2014 výšku 343 miliárd EUR, čo predstavuje 1,9 % HDP a nárast o 19 % v porovnaní s rokom 2023; keďže podľa EDA môžu výdavky členských štátov na obranu v roku 2025 prekročiť 2 %, ktoré odporúča NATO;</w:t>
      </w:r>
    </w:p>
    <w:p w14:paraId="743FEFA5" w14:textId="77777777" w:rsidR="00FD609F" w:rsidRPr="009C6E10" w:rsidRDefault="00FD609F" w:rsidP="00FD609F">
      <w:pPr>
        <w:pStyle w:val="NormalHanging12a"/>
        <w:rPr>
          <w:bCs/>
          <w:iCs/>
        </w:rPr>
      </w:pPr>
      <w:r w:rsidRPr="009C6E10">
        <w:t>B.</w:t>
      </w:r>
      <w:r w:rsidRPr="009C6E10">
        <w:tab/>
        <w:t>keďže súčasná úroveň investícií do bezpečnosti a obrany v EÚ nepostačuje na splnenie cieľov v oblasti spôsobilostí jednotlivých členských štátov; keďže náklady na izolovanú akciu sú oveľa vyššie ako náklady na jednotnú akciu; keďže náklady spojené s nepripravenosťou a prípadnou vojenskou porážkou a následnou stratou autonómie sú oveľa vyššie ako náklady na rozhodné konanie v súčasnosti; keďže zvyšovanie vnútroštátnych výdavkov na obranu bez riešenia problémov s koordináciou, nadbytočným úsilím a nezosúladenými stratégiami by mohlo byť kontraproduktívne, pretože by mohlo v prípade všetkých štátov prehĺbiť problémy s integráciou síl a zvýšiť náklady na obstarávanie tým, že by sa zintenzívnila konkurencia medzi nimi;</w:t>
      </w:r>
    </w:p>
    <w:p w14:paraId="53D981FB" w14:textId="77777777" w:rsidR="00FD609F" w:rsidRPr="009C6E10" w:rsidRDefault="00FD609F" w:rsidP="00FD609F">
      <w:pPr>
        <w:pStyle w:val="NormalHanging12a"/>
      </w:pPr>
      <w:r w:rsidRPr="009C6E10">
        <w:t>C.</w:t>
      </w:r>
      <w:r w:rsidRPr="009C6E10">
        <w:tab/>
        <w:t xml:space="preserve">keďže v </w:t>
      </w:r>
      <w:proofErr w:type="spellStart"/>
      <w:r w:rsidRPr="009C6E10">
        <w:t>Niinistöovej</w:t>
      </w:r>
      <w:proofErr w:type="spellEnd"/>
      <w:r w:rsidRPr="009C6E10">
        <w:t xml:space="preserve"> správe sa zdôrazňuje, že zvýšenie dostupných finančných prostriedkov na obrannú spoluprácu je nevyhnutné na prekonanie endemickej fragmentácie a desaťročí nedostatočných investícií; keďže Komisia zistila, že členské štáty potrebujú do roku 2030 na investície do obrannej spôsobilosti 800 miliárd EUR v rámci plánu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 xml:space="preserve">, čo znamená ročný nárast výdavkov o 10 %, aby v roku 2030 dosiahli približne 575 miliárd EUR, teda 3,15 % kombinovaného HDP; keďže je to v súlade s </w:t>
      </w:r>
      <w:proofErr w:type="spellStart"/>
      <w:r w:rsidRPr="009C6E10">
        <w:t>Draghiho</w:t>
      </w:r>
      <w:proofErr w:type="spellEnd"/>
      <w:r w:rsidRPr="009C6E10">
        <w:t xml:space="preserve"> správou o budúcnosti európskej konkurencieschopnosti;</w:t>
      </w:r>
    </w:p>
    <w:p w14:paraId="5A5C4988" w14:textId="77777777" w:rsidR="00FD609F" w:rsidRPr="009C6E10" w:rsidRDefault="00FD609F" w:rsidP="00FD609F">
      <w:pPr>
        <w:pStyle w:val="NormalHanging12a"/>
      </w:pPr>
      <w:r w:rsidRPr="009C6E10">
        <w:t>D.</w:t>
      </w:r>
      <w:r w:rsidRPr="009C6E10">
        <w:tab/>
        <w:t>keďže Komisia vo svojom návrhu viacročného finančného rámca na roky 2028 – 2034 vyčleňuje 115,7 miliardy EUR (v cenách roku 2025) na obranu a vesmír v rámci Európskeho fondu pre konkurencieschopnosť, čo je päťkrát viac ako v predchádzajúcom období VFR, ako aj 15,7 miliardy EUR (v cenách roku 2025) na vojenskú mobilitu v rámci Nástroja na prepájanie Európy, čo je desaťnásobný nárast v porovnaní s predchádzajúcim obdobím, s cieľom podporiť rozvoj dopravnej infraštruktúry, ktorú možno využívať na civilné aj vojenské účely;</w:t>
      </w:r>
    </w:p>
    <w:p w14:paraId="217DCDF6" w14:textId="77777777" w:rsidR="00FD609F" w:rsidRPr="009C6E10" w:rsidRDefault="00FD609F" w:rsidP="00FD609F">
      <w:pPr>
        <w:pStyle w:val="NormalHanging12a"/>
      </w:pPr>
      <w:r w:rsidRPr="009C6E10">
        <w:t>E.</w:t>
      </w:r>
      <w:r w:rsidRPr="009C6E10">
        <w:tab/>
        <w:t>keďže občania EÚ oprávnene očakávajú od Únie a jej rozpočtu viac vrátane toho, že bude schopná rýchlo a účinne reagovať na vyvíjajúce sa hrozby a poskytne potrebnú podporu na posilnenie obranných spôsobilostí, najmä v časoch krízy; keďže budúci viacročný finančný rámec by mal podporovať komplexný prístup k bezpečnosti a primerane financovať opatrenia, ktoré posilňujú obrannú pripravenosť a odolnosť;</w:t>
      </w:r>
    </w:p>
    <w:p w14:paraId="72530AE4" w14:textId="77777777" w:rsidR="00FD609F" w:rsidRPr="009C6E10" w:rsidRDefault="00FD609F" w:rsidP="00FD609F">
      <w:pPr>
        <w:pStyle w:val="NormalHanging12a"/>
      </w:pPr>
      <w:r w:rsidRPr="009C6E10">
        <w:t>F.</w:t>
      </w:r>
      <w:r w:rsidRPr="009C6E10">
        <w:tab/>
        <w:t>keďže podľa agentúry EDA bolo 31 % výdavkov členských štátov na obranu v roku 2024 venovaných na investície, z toho 88,2 % na obstaranie nového vybavenia a 11,8 % na výskum a vývoj (</w:t>
      </w:r>
      <w:proofErr w:type="spellStart"/>
      <w:r w:rsidRPr="009C6E10">
        <w:t>VaV</w:t>
      </w:r>
      <w:proofErr w:type="spellEnd"/>
      <w:r w:rsidRPr="009C6E10">
        <w:t xml:space="preserve">); keďže výdavky na obstarávanie obranného vybavenia dosiahli v roku 2024 výšku 88 miliárd EUR, takže v porovnaní s rokom 2023 narástli o 39 %; keďže sa očakáva, že v rámci plánu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 xml:space="preserve"> by toto zvýšenie malo do roku 2030 priniesť dodatočné investície vo výške najmenej 240 miliárd EUR; keďže aj výdavky na výskum a vývoj v oblasti obrany v členských štátoch v roku 2024 vzrástli o 20 % a dosiahli 13 miliárd EUR;</w:t>
      </w:r>
    </w:p>
    <w:p w14:paraId="76D5B354" w14:textId="77777777" w:rsidR="00FD609F" w:rsidRPr="009C6E10" w:rsidRDefault="00FD609F" w:rsidP="00FD609F">
      <w:pPr>
        <w:pStyle w:val="NormalHanging12a"/>
      </w:pPr>
      <w:r w:rsidRPr="009C6E10">
        <w:lastRenderedPageBreak/>
        <w:t>G.</w:t>
      </w:r>
      <w:r w:rsidRPr="009C6E10">
        <w:tab/>
        <w:t>keďže podľa Komisie 78 % obstarávaní v oblasti obrany, ktoré členské štáty uskutočnili od februára 2022 do júna 2023, pochádzalo z tretích krajín, z toho dve tretiny z USA, a keďže 70 % obratu európskej obrannej technologickej a priemyselnej základne (EDTIB) závisí od európskych verejných zákaziek;</w:t>
      </w:r>
    </w:p>
    <w:p w14:paraId="7F4D89EF" w14:textId="77777777" w:rsidR="00FD609F" w:rsidRPr="009C6E10" w:rsidRDefault="00FD609F" w:rsidP="00FD609F">
      <w:pPr>
        <w:pStyle w:val="NormalHanging12a"/>
      </w:pPr>
      <w:r w:rsidRPr="009C6E10">
        <w:t>H.</w:t>
      </w:r>
      <w:r w:rsidRPr="009C6E10">
        <w:tab/>
        <w:t>keďže podľa Európskeho združenia leteckého, bezpečnostného a obranného priemyslu čelí EDTIB, ktorá v roku 2023 predstavovala približne 580 000 priamych pracovných miest a 1,4 milióna nepriamych pracovných miest a mala obrat 160 miliárd EUR (z toho tretina pochádzala z vývozu), trojitej výzve: náboru, zásobovaniu a financovaniu;</w:t>
      </w:r>
    </w:p>
    <w:p w14:paraId="5CB18FBB" w14:textId="77777777" w:rsidR="00FD609F" w:rsidRPr="009C6E10" w:rsidRDefault="00FD609F" w:rsidP="00FD609F">
      <w:pPr>
        <w:pStyle w:val="NormalHanging12a"/>
      </w:pPr>
      <w:r w:rsidRPr="009C6E10">
        <w:t>I.</w:t>
      </w:r>
      <w:r w:rsidRPr="009C6E10">
        <w:tab/>
        <w:t xml:space="preserve">keďže malé a stredné podniky (MSP) predstavujú dôležitú súčasť EDTIB, pričom poskytujú inovácie, flexibilitu a odolnosť v celom hodnotovom reťazci; keďže štúdia Komisie z roku 2024 o prístupe ku kapitálovému financovaniu však upozorňuje na to, že MSP v rámci EDTIB majú väčšie ťažkosti pri získavaní úverov a kapitálového financovania než MSP v iných odvetviach, a to z týchto dôvodov: i) nepravidelnosť verejných zákaziek a lehôt splatnosti medzi subdodávateľmi, čo znižuje prehľad o peňažných prostriedkoch, ii) vylúčenie činností v oblasti obrany niektorými investormi pre </w:t>
      </w:r>
      <w:proofErr w:type="spellStart"/>
      <w:r w:rsidRPr="009C6E10">
        <w:t>reputačné</w:t>
      </w:r>
      <w:proofErr w:type="spellEnd"/>
      <w:r w:rsidRPr="009C6E10">
        <w:t xml:space="preserve"> riziko a iii) obmedzené možnosti vystúpenia v prípade aktív obranného priemyslu na európskych kapitálových trhoch; keďže riešenie takýchto prekážok financovania je nevyhnutné na to, aby sa MSP pôsobiacim v oblasti obrany poskytol spravodlivý prístup ku kapitálovým trhom a súkromným investíciám, a tak sa zlepšila konkurencieschopnosť a hospodárska odolnosť;</w:t>
      </w:r>
    </w:p>
    <w:p w14:paraId="22E3E728" w14:textId="77777777" w:rsidR="00FD609F" w:rsidRPr="009C6E10" w:rsidRDefault="00FD609F" w:rsidP="00FD609F">
      <w:pPr>
        <w:pStyle w:val="NormalHanging12a"/>
      </w:pPr>
      <w:r w:rsidRPr="009C6E10">
        <w:t>J.</w:t>
      </w:r>
      <w:r w:rsidRPr="009C6E10">
        <w:tab/>
        <w:t>keďže dodatočné potreby financovania EDTIB na roky 2025 – 2030 sa odhadujú prinajmenšom na 30 až 40 miliárd EUR, z čoho odhadom 6 až 18 miliárd EUR sa bude musieť pokryť vo forme vlastného kapitálu; keďže sa tým zdôrazňuje význam únie úspor a investícií v rámci EÚ pri mobilizácii dlhodobého súkromného kapitálu a prilákaní inštitucionálnych investorov;</w:t>
      </w:r>
    </w:p>
    <w:p w14:paraId="1C27A46D" w14:textId="77777777" w:rsidR="00FD609F" w:rsidRPr="009C6E10" w:rsidRDefault="00FD609F" w:rsidP="00FD609F">
      <w:pPr>
        <w:pStyle w:val="NormalHanging12a"/>
      </w:pPr>
      <w:r w:rsidRPr="009C6E10">
        <w:t>K.</w:t>
      </w:r>
      <w:r w:rsidRPr="009C6E10">
        <w:tab/>
        <w:t>keďže sektor obrany je naďalej málo konsolidovaný a je štruktúrovaný okolo veľkých obstarávateľov, krehkých subdodávateľských reťazcov a nedostatočne rozvinutých celoeurópskych hodnotových reťazcov, čo obmedzuje peňažné prostriedky malých podnikov, ktoré musia často financovať svoje potreby prevádzkového kapitálu z dlhodobých zdrojov;</w:t>
      </w:r>
      <w:r w:rsidRPr="009C6E10">
        <w:rPr>
          <w:b/>
          <w:i/>
        </w:rPr>
        <w:t xml:space="preserve"> </w:t>
      </w:r>
      <w:r w:rsidRPr="009C6E10">
        <w:t>keďže to bráni posilneniu EDTIB, ktorá je nevyhnutná pri budovaní obranných spôsobilostí;</w:t>
      </w:r>
    </w:p>
    <w:p w14:paraId="37DBBA99" w14:textId="77777777" w:rsidR="00FD609F" w:rsidRPr="009C6E10" w:rsidRDefault="00FD609F" w:rsidP="00FD609F">
      <w:pPr>
        <w:pStyle w:val="NormalHanging12a"/>
      </w:pPr>
      <w:r w:rsidRPr="009C6E10">
        <w:t>L.</w:t>
      </w:r>
      <w:r w:rsidRPr="009C6E10">
        <w:tab/>
        <w:t>keďže EIB stanovila sektor bezpečnosti a obrany ako svoju prioritu, upravila svoje úverové kritériá a vnútorné postupy a vytvorila jednotné kontaktné miesto pre finančnú podporu v oblasti bezpečnosti a obrany, a to kanceláriu pre bezpečnosť a obranu; keďže EIB v roku 2024 zmobilizovala takmer 1 miliardu EUR a jej cieľom bolo zmobilizovať v roku 2025 2 miliardy EUR, ale v skutočnosti už dosiahla 3 miliardy EUR; keďže od roku 2017 už pridelila na obranu 13 miliárd EUR a do roku 2027 plánuje prideliť ďalších 6 miliárd EUR a zároveň rozšíriť svoju činnosť na projekty dvojakého použitia a nové finančné nástroje; keďže zlepšenie prístupu MSP a podnikov so strednou trhovou kapitalizáciou k nástrojom EIB v obrannom a bezpečnostnom ekosystéme je kľúčom k zabezpečeniu inkluzívneho a inovačného rastu v celej EÚ;</w:t>
      </w:r>
    </w:p>
    <w:p w14:paraId="039240A0" w14:textId="77777777" w:rsidR="00FD609F" w:rsidRPr="009C6E10" w:rsidRDefault="00FD609F" w:rsidP="00FD609F">
      <w:pPr>
        <w:pStyle w:val="Normal6a"/>
        <w:spacing w:after="240"/>
        <w:ind w:left="567" w:hanging="567"/>
      </w:pPr>
      <w:bookmarkStart w:id="7" w:name="_Hlk215500216"/>
      <w:r w:rsidRPr="009C6E10">
        <w:t>M.</w:t>
      </w:r>
      <w:r w:rsidRPr="009C6E10">
        <w:tab/>
        <w:t xml:space="preserve">keďže EIB zohráva kľúčovú úlohu pri podpore hospodárskej súdržnosti, udržateľného rozvoja a konkurencieschopnosti v EÚ; keďže v spoločnej bielej knihe o budúcnosti európskej obrany sa navrhuje zriadenie novej „banky pre obranu, bezpečnosť a odolnosť“; keďže formálne rozšírenie mandátu EIB tak, aby zahŕňal podporu EDTIB, </w:t>
      </w:r>
      <w:r w:rsidRPr="009C6E10">
        <w:lastRenderedPageBreak/>
        <w:t>by bolo účinnejším a primeranejším riešením než vytvorenie novej banky pre obranu, bezpečnosť a odolnosť;</w:t>
      </w:r>
    </w:p>
    <w:bookmarkEnd w:id="7"/>
    <w:p w14:paraId="1CC5E0B7" w14:textId="77777777" w:rsidR="00FD609F" w:rsidRPr="009C6E10" w:rsidRDefault="00FD609F" w:rsidP="00FD609F">
      <w:pPr>
        <w:pStyle w:val="Normal6a"/>
        <w:tabs>
          <w:tab w:val="left" w:pos="567"/>
        </w:tabs>
        <w:spacing w:after="240"/>
        <w:ind w:left="567" w:hanging="567"/>
      </w:pPr>
      <w:r w:rsidRPr="009C6E10">
        <w:t>N.</w:t>
      </w:r>
      <w:r w:rsidRPr="009C6E10">
        <w:tab/>
        <w:t>keďže akékoľvek rozšírenie úverovej politiky EIB a kritérií oprávnenosti na vybavenie súvisiace s obranou sa musí posúdiť z hľadiska potreby zachovať finančnú stabilitu EIB a jej úverový rating AAA, ktoré sú naďalej základnými zárukami jej schopnosti plniť politické priority EÚ vrátane obrannej pripravenosti a celkovej politickej nezávislosti EÚ;</w:t>
      </w:r>
    </w:p>
    <w:p w14:paraId="6E4A94DC" w14:textId="77777777" w:rsidR="00FD609F" w:rsidRPr="009C6E10" w:rsidRDefault="00FD609F" w:rsidP="00FD609F">
      <w:pPr>
        <w:pStyle w:val="NormalHanging12a"/>
      </w:pPr>
      <w:r w:rsidRPr="009C6E10">
        <w:t>O.</w:t>
      </w:r>
      <w:r w:rsidRPr="009C6E10">
        <w:tab/>
        <w:t xml:space="preserve">keďže v roku 2023 bolo približne 39 oznámených prípadov priamych zahraničných investícií (PZI) predmetom hĺbkového preskúmania v rámci </w:t>
      </w:r>
      <w:proofErr w:type="spellStart"/>
      <w:r w:rsidRPr="009C6E10">
        <w:t>únijného</w:t>
      </w:r>
      <w:proofErr w:type="spellEnd"/>
      <w:r w:rsidRPr="009C6E10">
        <w:t xml:space="preserve"> mechanizmu spolupráce v oblasti preverovania PZI, pričom obzvlášť dotknuté boli odvetvia obrany a letectva</w:t>
      </w:r>
      <w:r w:rsidRPr="009C6E10">
        <w:rPr>
          <w:rStyle w:val="FootnoteReference"/>
        </w:rPr>
        <w:footnoteReference w:id="6"/>
      </w:r>
      <w:r w:rsidRPr="009C6E10">
        <w:t>;</w:t>
      </w:r>
    </w:p>
    <w:p w14:paraId="3E3DA798" w14:textId="77777777" w:rsidR="00FD609F" w:rsidRPr="009C6E10" w:rsidRDefault="00FD609F" w:rsidP="00FD609F">
      <w:pPr>
        <w:pStyle w:val="NormalHanging12a"/>
      </w:pPr>
      <w:r w:rsidRPr="009C6E10">
        <w:t>P.</w:t>
      </w:r>
      <w:r w:rsidRPr="009C6E10">
        <w:tab/>
        <w:t>keďže napriek vzniku špecializovaných fondov v Európe existovalo v roku 2024 len okolo 30 európskych fondov zameraných na obranu, z ktorých štyri mali aktíva vo výške viac ako 500 miliónov EUR, v porovnaní s viac ako 50 takýmito fondmi v Spojených štátoch amerických, z ktorých 30 takejto veľkosti, a keďže táto situácia vedie k menej atraktívnym sekundárnym trhom, nižšiemu oceňovaniu pri výstupných operáciách a riziku prevzatia kontroly zahraničnými investormi;</w:t>
      </w:r>
    </w:p>
    <w:p w14:paraId="5E534CCE" w14:textId="77777777" w:rsidR="00FD609F" w:rsidRPr="009C6E10" w:rsidRDefault="00FD609F" w:rsidP="00FD609F">
      <w:pPr>
        <w:pStyle w:val="Normal6a"/>
        <w:tabs>
          <w:tab w:val="left" w:pos="567"/>
        </w:tabs>
        <w:spacing w:after="240"/>
        <w:ind w:left="567" w:hanging="567"/>
        <w:rPr>
          <w:bCs/>
          <w:iCs/>
        </w:rPr>
      </w:pPr>
      <w:r w:rsidRPr="009C6E10">
        <w:t>Q.</w:t>
      </w:r>
      <w:r w:rsidRPr="009C6E10">
        <w:tab/>
        <w:t xml:space="preserve">keďže zhoršujúce sa bezpečnostné prostredie a rastúce hybridné a konvenčné hrozby v celej EÚ zdôrazňujú potrebu trvalých investícií do obrannej pripravenosti, odolnosti a vojenskej mobility; keďže východné krídlo predstavuje strategickú oblasť pre celkovú bezpečnosť Európy, ktorá si vyžaduje posilnenú infraštruktúru, spôsobilosti dohľadu a mechanizmy na rýchle posilnenie; keďže posilnenie riadenia hraníc, zlepšenie </w:t>
      </w:r>
      <w:proofErr w:type="spellStart"/>
      <w:r w:rsidRPr="009C6E10">
        <w:t>protidronových</w:t>
      </w:r>
      <w:proofErr w:type="spellEnd"/>
      <w:r w:rsidRPr="009C6E10">
        <w:t xml:space="preserve"> systémov a systémov protivzdušnej obrany a rozvoj regionálnych priemyselných kapacít na výrobu a inovácie v oblasti obrany sú nevyhnutné na zabezpečenie pripravenosti EÚ; keďže tieto opatrenia vrátane vykonávania kľúčových iniciatív, ako sú Európska iniciatíva </w:t>
      </w:r>
      <w:proofErr w:type="spellStart"/>
      <w:r w:rsidRPr="009C6E10">
        <w:t>protidronovej</w:t>
      </w:r>
      <w:proofErr w:type="spellEnd"/>
      <w:r w:rsidRPr="009C6E10">
        <w:t xml:space="preserve"> obrany, Stráž východného krídla (</w:t>
      </w:r>
      <w:proofErr w:type="spellStart"/>
      <w:r w:rsidRPr="009C6E10">
        <w:t>Eastern</w:t>
      </w:r>
      <w:proofErr w:type="spellEnd"/>
      <w:r w:rsidRPr="009C6E10">
        <w:t xml:space="preserve"> </w:t>
      </w:r>
      <w:proofErr w:type="spellStart"/>
      <w:r w:rsidRPr="009C6E10">
        <w:t>Flank</w:t>
      </w:r>
      <w:proofErr w:type="spellEnd"/>
      <w:r w:rsidRPr="009C6E10">
        <w:t xml:space="preserve"> </w:t>
      </w:r>
      <w:proofErr w:type="spellStart"/>
      <w:r w:rsidRPr="009C6E10">
        <w:t>Watch</w:t>
      </w:r>
      <w:proofErr w:type="spellEnd"/>
      <w:r w:rsidRPr="009C6E10">
        <w:t>), Európsky štít protivzdušnej obrany a Európsky vesmírny štít, by mali byť podporené primeranými finančnými prostriedkami EÚ; keďže takéto úsilie má zásadný význam pre ochranu najviac exponovaných členských štátov, zachovanie územnej celistvosti EÚ a podporu kolektívneho odrádzania a stability na celom kontinente;</w:t>
      </w:r>
    </w:p>
    <w:p w14:paraId="3CB66BD4" w14:textId="77777777" w:rsidR="00FD609F" w:rsidRPr="009C6E10" w:rsidRDefault="00FD609F" w:rsidP="00FD609F">
      <w:pPr>
        <w:pStyle w:val="Normal6a"/>
        <w:rPr>
          <w:i/>
          <w:iCs/>
        </w:rPr>
      </w:pPr>
      <w:r w:rsidRPr="009C6E10">
        <w:rPr>
          <w:rStyle w:val="Bold"/>
          <w:i/>
        </w:rPr>
        <w:t>Poskytnutie stabilného základu a dlhodobej vízie pre súkromné investície do obrany</w:t>
      </w:r>
    </w:p>
    <w:p w14:paraId="3D537A8F" w14:textId="77777777" w:rsidR="00FD609F" w:rsidRPr="009C6E10" w:rsidRDefault="00FD609F" w:rsidP="00FD609F">
      <w:pPr>
        <w:pStyle w:val="Normal12a24b"/>
      </w:pPr>
      <w:r w:rsidRPr="009C6E10">
        <w:rPr>
          <w:rStyle w:val="Italic"/>
        </w:rPr>
        <w:t>Podpora a lepšie smerovanie verejných investícií členských štátov do obrany</w:t>
      </w:r>
    </w:p>
    <w:p w14:paraId="469191EC" w14:textId="77777777" w:rsidR="00FD609F" w:rsidRPr="009C6E10" w:rsidRDefault="00FD609F" w:rsidP="009C6E10">
      <w:pPr>
        <w:tabs>
          <w:tab w:val="left" w:pos="567"/>
        </w:tabs>
        <w:spacing w:after="240"/>
        <w:ind w:left="567" w:hanging="567"/>
        <w:rPr>
          <w:bCs/>
          <w:iCs/>
        </w:rPr>
      </w:pPr>
      <w:r w:rsidRPr="009C6E10">
        <w:t>1.</w:t>
      </w:r>
      <w:r w:rsidRPr="009C6E10">
        <w:tab/>
        <w:t xml:space="preserve">domnieva sa, že nastal čas na obnovenie politického záväzku urobiť z EÚ dôveryhodného garanta bezpečnosti, a to tak, že sa posilní jej obranná pripravenosť prostredníctvom podpory hlbšej spolupráce medzi členskými štátmi, ich ozbrojenými silami a priemyselnými odvetviami; vyzýva členské štáty, aby spojili úsilie o dosiahnutie súdržného, ambiciózneho a integrovaného európskeho rámca pre obranu; v tejto súvislosti zdôrazňuje, že Komisia a členské štáty musia pripraviť núdzové postupy pre projekty zriadené v reakcii na závažné krízy alebo vojny, vrátane rýchlejšieho prideľovania verejných prostriedkov a súkromného kapitálu, a to ako neoddeliteľnú </w:t>
      </w:r>
      <w:r w:rsidRPr="009C6E10">
        <w:lastRenderedPageBreak/>
        <w:t>súčasť zabezpečenia pripravenosti a schopnosti EÚ rýchlo a účinne reagovať na vznikajúce bezpečnostné hrozby;</w:t>
      </w:r>
    </w:p>
    <w:p w14:paraId="5997D9A2" w14:textId="77777777" w:rsidR="00FD609F" w:rsidRPr="009C6E10" w:rsidRDefault="00FD609F" w:rsidP="00FD609F">
      <w:pPr>
        <w:pStyle w:val="NormalHanging12a"/>
      </w:pPr>
      <w:r w:rsidRPr="009C6E10">
        <w:t>2.</w:t>
      </w:r>
      <w:r w:rsidRPr="009C6E10">
        <w:tab/>
        <w:t xml:space="preserve">vyjadruje znepokojenie nad tým, že napriek cieľom plánu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 xml:space="preserve"> do konca júla 2025 len 10 z 27 členských štátov oznámilo jasný cieľ zvýšiť svoje výdavky na obranu do roku 2030 aspoň na 3 % HDP; vyzýva každý členský štát, aby vypracoval podrobnú strategickú víziu svojich vojenských výdavkov do roku 2030, v ktorej budú jasne rozlíšené tvrdé obranné spôsobilosti a infraštruktúra dvojakého použitia vrátane míľnikov spôsobilostí, metrík zásob, údajov o účasti MSP a cieľového podielu </w:t>
      </w:r>
      <w:proofErr w:type="spellStart"/>
      <w:r w:rsidRPr="009C6E10">
        <w:t>kolaboratívneho</w:t>
      </w:r>
      <w:proofErr w:type="spellEnd"/>
      <w:r w:rsidRPr="009C6E10">
        <w:t xml:space="preserve"> obstarávania; zdôrazňuje, že je potrebné, aby sa v národných rozpočtoch na obranu odstránili nedostatky v spôsobilostiach, obnovil odstrašujúci účinok a zabezpečila primeraná podpora pre Ukrajinu; zdôrazňuje, že budúce investície musia uprednostňovať spoluprácu, </w:t>
      </w:r>
      <w:proofErr w:type="spellStart"/>
      <w:r w:rsidRPr="009C6E10">
        <w:t>interoperabilitu</w:t>
      </w:r>
      <w:proofErr w:type="spellEnd"/>
      <w:r w:rsidRPr="009C6E10">
        <w:t xml:space="preserve"> a spoločné obstarávanie, aby sa tak spolupráca na úrovni EÚ stala normou v rámci odvetvia európskeho obranného priemyslu; v tejto súvislosti zdôrazňuje, že je potrebné zosúladiť pripravenosť do roku 2030 s konkrétnymi číselnými cieľmi stanovenými v stratégii európskeho obranného priemyslu (EDIS), najmä zabezpečením toho, aby sa do roku 2030 aspoň 40 % obranného vybavenia obstarávalo spoločne, aby do roku 2030 aspoň 35 % obchodu s obranným zariadením tvoril obchod v rámci EÚ a aby do roku 2030 aspoň 50 % verejného obstarávania v oblasti obrany  a do roku 2030 aspoň 60 % tvorili výrobky vyrobené v EÚ; vyjadruje uznanie tým členským štátom, ktoré na obranu dôsledne vyčleňujú viac ako 3 % HDP; pripomína, že členské štáty by mali pravidelne aktualizovať svoje ciele v oblasti spôsobilostí a vojenské doktríny, aby mohli riešiť nové a vznikajúce hrozby;</w:t>
      </w:r>
    </w:p>
    <w:p w14:paraId="3184FFF5" w14:textId="77777777" w:rsidR="00FD609F" w:rsidRPr="009C6E10" w:rsidRDefault="00FD609F" w:rsidP="00FD609F">
      <w:pPr>
        <w:pStyle w:val="NormalHanging12a"/>
        <w:rPr>
          <w:bCs/>
        </w:rPr>
      </w:pPr>
      <w:r w:rsidRPr="009C6E10">
        <w:t>3.</w:t>
      </w:r>
      <w:r w:rsidRPr="009C6E10">
        <w:tab/>
        <w:t>berie na vedomie výrazné zhoršenie bezpečnostnej situácie EÚ, v dôsledku ktorého sú vonkajšie hranice EÚ vystavené rastúcim hrozbám; vyzýva preto EÚ a členské štáty, aby prijali komplexný prístup k obrane a uznali, že bezpečnosť presahuje rámec vojenských prostriedkov a zahŕňa aj obranu proti hybridným hrozbám; zdôrazňuje, že vnútorná politická stabilita je predpokladom dôveryhodnej vojenskej sily a že celková bezpečnosť a súdržnosť EÚ bude bez dôvery občanov v inštitúcie a demokraciu krehká; vyzýva na rýchlu a solidárnu mobilizáciu finančnej podpory EÚ, najmä pre tie členské štáty, ktoré sú najviac vystavené konvenčným vojenským hrozbám;</w:t>
      </w:r>
    </w:p>
    <w:p w14:paraId="565C2741" w14:textId="3741D91B" w:rsidR="00FD609F" w:rsidRPr="009C6E10" w:rsidRDefault="00FD609F" w:rsidP="00FD609F">
      <w:pPr>
        <w:pStyle w:val="NormalHanging12a"/>
      </w:pPr>
      <w:r w:rsidRPr="009C6E10">
        <w:t>4.</w:t>
      </w:r>
      <w:r w:rsidRPr="009C6E10">
        <w:tab/>
        <w:t xml:space="preserve">víta návrhy v rámci plánu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>, aby sa členským štátom poskytla väčšia rozpočtová flexibilita a podnietili vyššie výdavky na obranu s cieľom posilniť EDITB; berie na vedomie najmä úverový nástroj v rámci nástroja SAFE vo výške 150 miliárd EUR a skutočnosť, že 19 členských štátov využije úvery SAFE; vyjadruje však poľutovanie nad tým, že Komisia založila tento nástroj na článku 122 ZFEÚ, čím vylúčila konzultácie s</w:t>
      </w:r>
      <w:r w:rsidR="00151363" w:rsidRPr="009C6E10">
        <w:t> Európskym p</w:t>
      </w:r>
      <w:r w:rsidRPr="009C6E10">
        <w:t xml:space="preserve">arlamentom, čo bráni monitorovaniu a kontrole finančných prostriedkov a predstavuje riziko, že sa prehĺbia rozdiely medzi členskými štátmi; zdôrazňuje svoju funkciu rozpočtovej kontroly v súlade s článkom 314 ZFEÚ, a preto dôrazne vyzýva Komisiu, aby v budúcnosti neuplatňovala článok 122 na žiadnu inú iniciatívu týkajúcu sa obranného priemyslu alebo na iné záležitosti súvisiace s financovaním obrany; v tejto súvislosti sa domnieva, že je nevyhnutné, aby projekty v rámci nástroja SAFE odrážali priority EÚ v oblasti spôsobilostí stanovené v bielej knihe o európskej obrane, v pláne rozvoja spôsobilostí a Pláne obrannej pripravenosti do roku 2030; dôrazne vyjadruje poľutovanie nad skutočnosťou, že verejné obstarávania realizované jedným členským štátom sú oprávnené na podporu v rámci nástroja SAFE v prípade, že zmluva sa podpíše najneskôr do 30. mája 2026, pretože to nemotivuje k spoločnému obstarávaniu a defragmentácii trhu a v konečnom dôsledku by to mohlo </w:t>
      </w:r>
      <w:r w:rsidRPr="009C6E10">
        <w:lastRenderedPageBreak/>
        <w:t>prehĺbiť rozdiely medzi členskými štátmi; v tejto súvislosti zdôrazňuje, že financovanie by malo byť založené aj na uľahčenom prístupe k súkromnému kapitálu, národných príspevkoch, existujúcich rozpočtových rezervách alebo alternatívnych mechanizmoch, ktoré zabezpečujú fiškálnu zodpovednosť; na tento účel vyzýva Komisiu, aby podporovala viacročné hromadné nákupy s cieľom znížiť jednotkové náklady a zredukovať roztrieštenosť zbraňových systémov, ktoré sa v súčasnosti používajú po celej EÚ;</w:t>
      </w:r>
    </w:p>
    <w:p w14:paraId="285ACCDE" w14:textId="77777777" w:rsidR="00FD609F" w:rsidRPr="009C6E10" w:rsidRDefault="00FD609F" w:rsidP="00FD609F">
      <w:pPr>
        <w:pStyle w:val="NormalHanging12a"/>
      </w:pPr>
      <w:r w:rsidRPr="009C6E10">
        <w:t>5.</w:t>
      </w:r>
      <w:r w:rsidRPr="009C6E10">
        <w:tab/>
      </w:r>
      <w:bookmarkStart w:id="8" w:name="_Hlk210563278"/>
      <w:r w:rsidRPr="009C6E10">
        <w:t xml:space="preserve">konštatuje, že európsky obranný ekosystém je naďalej roztrieštený v priemyselnej, finančnej a riadiacej oblasti; zdôrazňuje, že rozpočet EÚ je naďalej účinným nástrojom na zlepšenie integrovaného plánovania, stabilného dlhodobého financovania a účinného vykonávania v oblasti obrany, a teda na prekonanie uvedenej roztrieštenosti; opätovne zdôrazňuje, že zvýšenie národných rozpočtov na obranu by mala sprevádzať väčšia koordinácia a spoločné kroky na európskej úrovni; pripomína, že je dôležité zabezpečiť širokú podporu verejných investícií do obrany, a teda aj potrebu spravodlivého rozdelenia nákladov; vyjadruje poľutovanie nad tým, že v pláne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 xml:space="preserve"> chýba silná doložka o preferenciách EÚ, najmä pokiaľ ide o nástroj SAFE, ktorý by posilnil EDTIB, vytvoril nové pracovné miesta v EÚ, zvýšil </w:t>
      </w:r>
      <w:proofErr w:type="spellStart"/>
      <w:r w:rsidRPr="009C6E10">
        <w:t>interoperabilitu</w:t>
      </w:r>
      <w:proofErr w:type="spellEnd"/>
      <w:r w:rsidRPr="009C6E10">
        <w:t xml:space="preserve"> a zameniteľnosť výrobkov obranného priemyslu v EÚ a znížil našu závislosť od tretích krajín, a tak posilnil odrádzajúce mechanizmy Európy a zvýšil jej bezpečnosť dodávok; zdôrazňuje, že na to, aby bol nástroj SAFE finančne efektívny, mal by byť predovšetkým nástrojom spoločného obstarávania, údržby a prevádzky strategických poskytovateľov, najmä tých, ktorí poskytujú spravodajstvo, sledovanie a prieskum; vyzýva Komisiu, aby v plnej miere využila svoju úlohu, najmä prostredníctvom pracovnej skupiny SAFE, na to, aby národné obranné plány členských štátov rešpektovali cieľ SAFE podporovať spoločné obstarávanie s cieľom účinne riešiť nedostatky v spôsobilostiach, a aby využila všetky dostupné nástroje vrátane európskych projektov spoločného záujmu v oblasti obrany a štruktúry pre európsky zbrojný program;</w:t>
      </w:r>
      <w:bookmarkEnd w:id="8"/>
    </w:p>
    <w:p w14:paraId="3E723BD6" w14:textId="77777777" w:rsidR="00FD609F" w:rsidRPr="009C6E10" w:rsidRDefault="00FD609F" w:rsidP="00FD609F">
      <w:pPr>
        <w:pStyle w:val="NormalHanging12a"/>
        <w:rPr>
          <w:bCs/>
          <w:iCs/>
        </w:rPr>
      </w:pPr>
      <w:r w:rsidRPr="009C6E10">
        <w:t>6.</w:t>
      </w:r>
      <w:r w:rsidRPr="009C6E10">
        <w:tab/>
        <w:t xml:space="preserve">berie na vedomie obmedzené a nerovnomerné využívanie národnej únikovej doložky a konštatuje, že napriek takejto flexibilite je fiškálna kapacita niektorých členských štátov naďalej obmedzená na to, aby spĺňali požiadavky a účinne reagovali na spoločné priority, a že iné členské štáty z obavy z reakcie finančných trhov nepožiadali o uplatnenie národnej únikovej doložky; uznáva, že národná úniková doložka je dočasný nástroj pre prípad núdzových situácií v jednotlivých krajinách, zatiaľ čo udržateľné investičné plánovanie si vyžaduje dlhodobú predvídateľnosť; zdôrazňuje, že predvídateľné fiškálne a regulačné podmienky sú nevyhnutné na prilákanie súkromných investícií a zabezpečenie efektívneho využívania verejných zdrojov v celej EÚ; domnieva sa, že tento rámec by sa mal v prípade potreby posilniť investičnými nástrojmi na úrovni EÚ a </w:t>
      </w:r>
      <w:proofErr w:type="spellStart"/>
      <w:r w:rsidRPr="009C6E10">
        <w:t>a</w:t>
      </w:r>
      <w:proofErr w:type="spellEnd"/>
      <w:r w:rsidRPr="009C6E10">
        <w:t> nástrojmi určenými na minimalizáciu nákladov daňových poplatníkov EÚ a maximalizáciu efektívnosti pri poskytovaní verejných statkov EÚ;</w:t>
      </w:r>
    </w:p>
    <w:p w14:paraId="3F6E5CC1" w14:textId="77777777" w:rsidR="00FD609F" w:rsidRPr="009C6E10" w:rsidRDefault="00FD609F" w:rsidP="00FD609F">
      <w:pPr>
        <w:pStyle w:val="NormalHanging12a"/>
      </w:pPr>
      <w:r w:rsidRPr="009C6E10">
        <w:t>7.</w:t>
      </w:r>
      <w:r w:rsidRPr="009C6E10">
        <w:tab/>
      </w:r>
      <w:bookmarkStart w:id="9" w:name="_Hlk213505486"/>
      <w:bookmarkStart w:id="10" w:name="_Hlk215478332"/>
      <w:r w:rsidRPr="009C6E10">
        <w:t>víta návrhy Komisie na zjednodušenie, uľahčenie a urýchlenie verejného obstarávania v oblasti obrany; vyzýva na posilnenie zásady preferencie EÚ, ktorou sa zabezpečí, aby príjemcovia mali možnosť rozhodovať o vymedzení, úprave a vývoji dizajnov a systémov počas ich životného cyklu a aby žiadny komponent nepochádzal z krajín mimo EÚ alebo od subjektov, ktoré konajú v rozpore s bezpečnostnými a obrannými záujmami EÚ a jej členských štátov;</w:t>
      </w:r>
      <w:bookmarkEnd w:id="9"/>
      <w:r w:rsidRPr="009C6E10">
        <w:t xml:space="preserve"> okrem toho žiada, aby sa kritériá oprávnenosti v rámci plánu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 xml:space="preserve"> plne zosúladili s kritériami stanovenými v Programe pre európsky obranný priemysel (EDIP) s cieľom znížiť roztrieštenosť, ušetriť náklady a </w:t>
      </w:r>
      <w:r w:rsidRPr="009C6E10">
        <w:lastRenderedPageBreak/>
        <w:t xml:space="preserve">zvýšiť efektívnosť, podporiť </w:t>
      </w:r>
      <w:proofErr w:type="spellStart"/>
      <w:r w:rsidRPr="009C6E10">
        <w:t>interoperabilitu</w:t>
      </w:r>
      <w:proofErr w:type="spellEnd"/>
      <w:r w:rsidRPr="009C6E10">
        <w:t xml:space="preserve"> a zameniteľnosť a zvýšiť konkurencieschopnosť EDTIB; zdôrazňuje, že pravidlá verejného obstarávania a účasti by mali byť primerané a priaznivé pre MSP, a vyzýva, aby sa zaviedol povinný minimálny podiel hodnoty projektu, ktorý sa pridelí MSP v dodávateľskom reťazci, pričom sa zabezpečí rovnaký prístup začínajúcich podnikov a menších dodávateľov, ako aj hlavných dodávateľov a nebude dochádzať k administratívnej záťaži, ktorá odrádza MSP od účasti; okrem toho vyzýva, aby sa posilnila odolnosť európskych dodávateľských reťazcov presadzovaním spoločných noriem a zmiešaných dodávateľských reťazcov, ktoré znížia kritickú závislosť; uznáva potrebu silnej transatlantickej spolupráce ako základu európskej obrany, ale vyjadruje znepokojenie nad oznámením výrazného nárastu v obstarávaní výrobkov obranného priemyslu zo Spojených štátov, keďže to bude v rozpore s ambíciami vymedzenými v stratégii európskeho obranného priemyslu a spôsobí neistotu v oblasti investícií do EDTIB; vyzýva, aby transatlantické priemyselné partnerstvo v oblasti obrany bolo založené na rovnakých podmienkach, ktoré budú prospešné pre obe strany; zdôrazňuje, že účasť na obranných programoch EÚ musí byť plne v súlade so základnými hodnotami EÚ, jej bezpečnostnými záujmami a cieľmi spoločnej zahraničnej a bezpečnostnej politiky (SZBP) a spoločnej bezpečnostnej a obrannej politiky (SBOP);</w:t>
      </w:r>
    </w:p>
    <w:p w14:paraId="07E9340E" w14:textId="77777777" w:rsidR="00FD609F" w:rsidRPr="009C6E10" w:rsidRDefault="00FD609F" w:rsidP="00FD609F">
      <w:pPr>
        <w:pStyle w:val="Normal12a24b"/>
        <w:ind w:left="567" w:hanging="567"/>
      </w:pPr>
      <w:r w:rsidRPr="009C6E10">
        <w:t>8.</w:t>
      </w:r>
      <w:r w:rsidRPr="009C6E10">
        <w:tab/>
        <w:t xml:space="preserve">zdôrazňuje, že obranný priemysel EÚ potrebuje predvídateľný viacročný dopyt a spoločné požiadavky, aby mohol zabezpečiť rýchlosť, rozsah a hodnotu dodávok; zdôrazňuje, že </w:t>
      </w:r>
      <w:proofErr w:type="spellStart"/>
      <w:r w:rsidRPr="009C6E10">
        <w:t>interoperabilita</w:t>
      </w:r>
      <w:proofErr w:type="spellEnd"/>
      <w:r w:rsidRPr="009C6E10">
        <w:t xml:space="preserve"> a normalizácia musia byť v súlade so správami </w:t>
      </w:r>
      <w:proofErr w:type="spellStart"/>
      <w:r w:rsidRPr="009C6E10">
        <w:t>Draghiho</w:t>
      </w:r>
      <w:proofErr w:type="spellEnd"/>
      <w:r w:rsidRPr="009C6E10">
        <w:t xml:space="preserve">, </w:t>
      </w:r>
      <w:proofErr w:type="spellStart"/>
      <w:r w:rsidRPr="009C6E10">
        <w:t>Lettu</w:t>
      </w:r>
      <w:proofErr w:type="spellEnd"/>
      <w:r w:rsidRPr="009C6E10">
        <w:t xml:space="preserve"> a </w:t>
      </w:r>
      <w:proofErr w:type="spellStart"/>
      <w:r w:rsidRPr="009C6E10">
        <w:t>Niinistöa</w:t>
      </w:r>
      <w:proofErr w:type="spellEnd"/>
      <w:r w:rsidRPr="009C6E10">
        <w:t xml:space="preserve"> od začiatku zakotvené v obstarávaní a investíciách v oblasti obrany v EÚ prostredníctvom spoločného testovania a certifikácie a cezhraničného uznávania, aby sa obmedzilo šírenie variantov a fragmentácia trhu; vyzýva členské štáty, aby svoje rozpočtové záväzky doplnili transparentnými strednodobými výhľadmi investícií do obrany, ktoré budú zahŕňať ciele v oblasti spôsobilosti, harmonogramy obstarávania a podiel výdavkov vyčlenených na programy spolupráce; vyzýva agentúru EDA, aby na základe týchto vnútroštátnych výhľadov zostavila ročný porovnávací prehľad s cieľom uľahčiť koordináciu a identifikovať príležitosti na spoločné projekty;</w:t>
      </w:r>
    </w:p>
    <w:p w14:paraId="187EABB2" w14:textId="77777777" w:rsidR="00FD609F" w:rsidRPr="009C6E10" w:rsidRDefault="00FD609F" w:rsidP="00FD609F">
      <w:pPr>
        <w:pStyle w:val="Normal6a"/>
        <w:ind w:left="567" w:hanging="567"/>
      </w:pPr>
      <w:r w:rsidRPr="009C6E10">
        <w:t>9.</w:t>
      </w:r>
      <w:r w:rsidRPr="009C6E10">
        <w:tab/>
        <w:t xml:space="preserve">zdôrazňuje potrebu posilniť EDTIB agregáciou dopytu, zjednodušením a harmonizáciou pravidiel a podporou otvorenej a spravodlivej hospodárskej súťaže medzi európskymi priemyselnými odvetviami, čo povedie k nákladovo efektívnejšiemu a konkurencieschopnejšiemu európskemu obrannému priemyslu a lepšiemu prístupu k obrannému vybaveniu v celej EÚ; vyjadruje poľutovanie nad tým, že chýbajú komplexné údaje o </w:t>
      </w:r>
      <w:proofErr w:type="spellStart"/>
      <w:r w:rsidRPr="009C6E10">
        <w:t>kolaboratívnom</w:t>
      </w:r>
      <w:proofErr w:type="spellEnd"/>
      <w:r w:rsidRPr="009C6E10">
        <w:t xml:space="preserve"> obstarávaní vybavenia v EÚ, čo znemožňuje vykonanie komplexnej analýzy </w:t>
      </w:r>
      <w:proofErr w:type="spellStart"/>
      <w:r w:rsidRPr="009C6E10">
        <w:t>kolaboratívneho</w:t>
      </w:r>
      <w:proofErr w:type="spellEnd"/>
      <w:r w:rsidRPr="009C6E10">
        <w:t xml:space="preserve"> obstarávania obranného vybavenia EÚ a riadne posúdenie stavu obranného prostredia EÚ v tejto oblasti; naliehavo vyzýva Komisiu a Radu, aby riešili pretrvávajúce prekážky obchodu s výrobkami obranného priemyslu v rámci EÚ vrátane prekážok pri udeľovaní licencií a certifikácii, a vyzýva </w:t>
      </w:r>
      <w:proofErr w:type="spellStart"/>
      <w:r w:rsidRPr="009C6E10">
        <w:t>spoluzákonodarcov</w:t>
      </w:r>
      <w:proofErr w:type="spellEnd"/>
      <w:r w:rsidRPr="009C6E10">
        <w:t>, aby uprednostnili prijatie a účinné vykonávanie návrhu súhrnného balíka opatrení v oblasti obrany, ktorý predložila Komisia, s cieľom zefektívniť transfery a obstarávanie v celej EÚ na podporu odolnejšej a konkurencieschopnejšej EDTIB;</w:t>
      </w:r>
    </w:p>
    <w:p w14:paraId="4E8D7E64" w14:textId="77777777" w:rsidR="00FD609F" w:rsidRPr="009C6E10" w:rsidRDefault="00FD609F" w:rsidP="00FD609F">
      <w:pPr>
        <w:pStyle w:val="Normal12a24b"/>
        <w:tabs>
          <w:tab w:val="left" w:pos="567"/>
        </w:tabs>
        <w:ind w:left="567" w:hanging="567"/>
      </w:pPr>
      <w:r w:rsidRPr="009C6E10">
        <w:t>10.</w:t>
      </w:r>
      <w:r w:rsidRPr="009C6E10">
        <w:tab/>
        <w:t xml:space="preserve">zdôrazňuje, že by sa mali posilniť synergie s civilnými inovačnými programami, ako sú Horizont Európa a Európska rada pre inovácie, aby sa maximalizoval vplyv a zabránilo duplicite; zároveň zdôrazňuje, že technologickému pokroku musia zodpovedať potrebné ľudské schopnosti; vyjadruje znepokojenie nad tým, že počet aktívnych zamestnancov </w:t>
      </w:r>
      <w:r w:rsidRPr="009C6E10">
        <w:lastRenderedPageBreak/>
        <w:t>sa v roku 2024 zvýšil len okrajovo, a varuje, že zvyšovanie investícií bez súbežného úsilia o nábor a udržanie zamestnancov by mohlo spôsobiť medzery v spôsobilostiach pri prevádzke a údržbe nového vybavenia; vyzýva členské štáty, aby sa prednostne zameriavali na politiky náboru a udržania zamestnancov v obrannom priemysle vrátane výmenných programov a programov odbornej prípravy podporovaných EÚ s cieľom zabezpečiť, aby sa zvýšené výdavky premietli do skutočnej operačnej pripravenosti;</w:t>
      </w:r>
    </w:p>
    <w:p w14:paraId="25369B0C" w14:textId="77777777" w:rsidR="00FD609F" w:rsidRPr="009C6E10" w:rsidRDefault="00FD609F" w:rsidP="00FD609F">
      <w:pPr>
        <w:pStyle w:val="Normal12a24b"/>
      </w:pPr>
      <w:r w:rsidRPr="009C6E10">
        <w:rPr>
          <w:rStyle w:val="Italic"/>
        </w:rPr>
        <w:t>Prispôsobenie rozpočtu EÚ a jej nástrojov financovania bezpečnostným výzvam a potrebám podnikov</w:t>
      </w:r>
    </w:p>
    <w:p w14:paraId="3AE6D13C" w14:textId="77777777" w:rsidR="00FD609F" w:rsidRPr="009C6E10" w:rsidRDefault="00FD609F" w:rsidP="00FD609F">
      <w:pPr>
        <w:pStyle w:val="NormalHanging12a"/>
      </w:pPr>
      <w:r w:rsidRPr="009C6E10">
        <w:t>11.</w:t>
      </w:r>
      <w:r w:rsidRPr="009C6E10">
        <w:tab/>
        <w:t xml:space="preserve">opakuje svoje predchádzajúce výzvy adresované Komisii, aby preskúmala všetky možnosti podpory investícií členských štátov do obrany a maximalizovala synergie v existujúcich mechanizmoch na podporu obrannej pripravenosti EÚ; pripomína svoju výzvu, aby sa zabezpečilo, že budúci VFR bude podporovať komplexný prístup k bezpečnosti prostredníctvom primeraných a koordinovaných investícií; víta konsolidáciu finančného krytia na obranu navrhnutého vo VFR na roky 2028 – 2034; vyjadruje však poľutovanie nad tým, že Komisia vo svojom návrhu VFR na roky 2028 – 2034 neposkytla dostatočne podrobný rozpis tohto finančného krytia; pripomína, že podrobný rozpis rozpočtových prostriedkov je potrebný na zabezpečenie toho, aby rozpočtový orgán mohol prijímať zmysluplné a informované rozhodnutia; zdôrazňuje, že primerané investície do obrany na úrovni EÚ v budúcom VFR, ktoré sa opierajú o transparentné riadenie, môžu znížiť duplicitu, priniesť úspory z rozsahu a posilniť </w:t>
      </w:r>
      <w:proofErr w:type="spellStart"/>
      <w:r w:rsidRPr="009C6E10">
        <w:t>interoperabilitu</w:t>
      </w:r>
      <w:proofErr w:type="spellEnd"/>
      <w:r w:rsidRPr="009C6E10">
        <w:t>; pripomína osobitný charakter sektora obrany a domnieva sa, že budúci VFR musí zachovať všetky kritériá a postupy finančných nástrojov európskeho obranného priemyslu, najmä kritériá týkajúce sa Európskeho obranného fondu a EDIP;</w:t>
      </w:r>
    </w:p>
    <w:p w14:paraId="43F5B547" w14:textId="77777777" w:rsidR="00FD609F" w:rsidRPr="009C6E10" w:rsidRDefault="00FD609F" w:rsidP="00FD609F">
      <w:pPr>
        <w:pStyle w:val="Normal6a"/>
        <w:tabs>
          <w:tab w:val="left" w:pos="567"/>
        </w:tabs>
        <w:spacing w:after="240"/>
        <w:ind w:left="567" w:hanging="567"/>
      </w:pPr>
      <w:r w:rsidRPr="009C6E10">
        <w:t>12.</w:t>
      </w:r>
      <w:r w:rsidRPr="009C6E10">
        <w:tab/>
        <w:t>v tejto súvislosti sa domnieva, že by sa mali preskúmať všetky možnosti podpory investícií členských štátov do obrany, najmä prostredníctvom existujúcich mechanizmov, bez zvýšenia vnútroštátnych príspevkov alebo celkového daňového zaťaženia občanov; zdôrazňuje, že takéto nástroje sa nesmú spoliehať výlučne na vydávanie úverov podporovaných EÚ, napríklad prostredníctvom nástroja SAFE;</w:t>
      </w:r>
    </w:p>
    <w:p w14:paraId="44382D66" w14:textId="77777777" w:rsidR="00FD609F" w:rsidRPr="009C6E10" w:rsidRDefault="00FD609F" w:rsidP="00FD609F">
      <w:pPr>
        <w:tabs>
          <w:tab w:val="left" w:pos="567"/>
        </w:tabs>
        <w:spacing w:after="240"/>
        <w:ind w:left="567" w:hanging="567"/>
        <w:jc w:val="both"/>
      </w:pPr>
      <w:r w:rsidRPr="009C6E10">
        <w:t>13.</w:t>
      </w:r>
      <w:r w:rsidRPr="009C6E10">
        <w:tab/>
        <w:t xml:space="preserve">zdôrazňuje, že financovanie EÚ by malo dopĺňať, a nie nahrádzať úsilie členských štátov o zvýšenie ich vnútroštátnych výdavkov na obranu; zdôrazňuje, že nástroje EÚ by mali prinášať pridanú hodnotu tým, že budú posilňovať spoluprácu, </w:t>
      </w:r>
      <w:proofErr w:type="spellStart"/>
      <w:r w:rsidRPr="009C6E10">
        <w:t>interoperabilitu</w:t>
      </w:r>
      <w:proofErr w:type="spellEnd"/>
      <w:r w:rsidRPr="009C6E10">
        <w:t xml:space="preserve"> a účinnosť, pričom plánovanie spôsobilostí a súvisiace požiadavky musia zostať v príslušných inštitucionálnych rámcoch; opakuje, že v záujme uspokojenia naliehavých potrieb SBOP sa musia zabezpečiť dodatočné zdroje na obranné priority; opakuje preto svoju výzvu adresovanú Komisii a Rade, aby zabezpečili, že EÚ bude schopná pokryť svoje celkové vyššie výdavkové potreby, a to aj prijatím nových vlastných zdrojov;</w:t>
      </w:r>
    </w:p>
    <w:p w14:paraId="3A327C45" w14:textId="7432A12B" w:rsidR="00FD609F" w:rsidRPr="009C6E10" w:rsidRDefault="00FD609F" w:rsidP="00FD609F">
      <w:pPr>
        <w:pStyle w:val="NormalHanging12a"/>
      </w:pPr>
      <w:r w:rsidRPr="009C6E10">
        <w:t>14.</w:t>
      </w:r>
      <w:r w:rsidRPr="009C6E10">
        <w:tab/>
        <w:t xml:space="preserve">pripomína, že cieľom EIB je posilňovať integráciu EÚ, podporovať rozvoj EÚ a politík EÚ v súlade s článkom 309 ZFEÚ; víta proaktívny prístup EIB pri zvyšovaní financovania európskej bezpečnosti a obrany; berie však na vedomie skutočnosť, že jej investičná politika stále vylučuje „zbrane a muníciu“ a že jej intervencie neboli doteraz dostatočné, pokiaľ ide o rýchlosť, ochotu podstupovať riziká a rozsah, aby bolo možné splniť naliehavé potreby v oblasti obrannej pripravenosti; berie na vedomie pokrok dosiahnutý pri otváraní kritérií, ale domnieva sa, že tieto kritériá sú stále nedostatočné na plnenie cieľov európskej obrannej pripravenosti, ktoré vyjadrili zainteresované strany v tomto sektore prostredníctvom štúdií a verejných konzultácií; v záujme súladu </w:t>
      </w:r>
      <w:r w:rsidRPr="009C6E10">
        <w:lastRenderedPageBreak/>
        <w:t xml:space="preserve">s plánom </w:t>
      </w:r>
      <w:proofErr w:type="spellStart"/>
      <w:r w:rsidRPr="009C6E10">
        <w:t>ReArm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 xml:space="preserve"> vyzýva členské štáty ako riadiaci orgán EIB, aby prispôsobili mandát EIB s cieľom posilniť jej schopnosť podporovať európsky obranný priemysel a zrevidovali jej investičné usmernenia s cieľom umožniť financovanie legitímnych projektov verejného obstarávania zbraní a munície, ktoré sú v súlade s medzinárodným právom a bezpečnostnými záujmami EÚ; vyzýva skupinu EIB, aby zvýšila svoju ochotu podstupovať riziká a ambíciu prilákať investície; varuje, že akákoľvek úprava kritérií oprávnenosti alebo financovania skupiny EIB s cieľom zosúladiť ju s novými prioritami musí chrániť finančnú situáciu skupiny a zabezpečiť účinné financovanie ostatných strategických priorít EÚ; vyzýva EIB, aby vykonala a poskytla </w:t>
      </w:r>
      <w:r w:rsidR="00151363" w:rsidRPr="009C6E10">
        <w:t>Európskemu p</w:t>
      </w:r>
      <w:r w:rsidRPr="009C6E10">
        <w:t>arlamentu dôkladné kvantitatívne posúdenie svojej investičnej politiky v oblasti investícií do obrany bez toho, aby v príslušných prípadoch ohrozila svoje dohody o dôvernosti so svojimi investormi;</w:t>
      </w:r>
    </w:p>
    <w:p w14:paraId="3DD63138" w14:textId="77777777" w:rsidR="00FD609F" w:rsidRPr="009C6E10" w:rsidRDefault="00FD609F" w:rsidP="00FD609F">
      <w:pPr>
        <w:pStyle w:val="NormalHanging12a"/>
        <w:rPr>
          <w:bCs/>
          <w:iCs/>
        </w:rPr>
      </w:pPr>
      <w:r w:rsidRPr="009C6E10">
        <w:t>15.</w:t>
      </w:r>
      <w:r w:rsidRPr="009C6E10">
        <w:tab/>
        <w:t>navrhuje, aby EIB neustále skúmala a hodnotila svoju úlohu, ako aj rozsah oprávnených investícií vzhľadom na naliehavú potrebu rozšíriť európsky obranný sektor a zabezpečiť dlhodobú bezpečnosť a strategickú autonómiu; navrhuje formálne rozšíriť mandát EIB o podporu EDTIB v rámci špecializovanej dcérskej spoločnosti, ktorá by bola podporovaná zárukami Komisie a opierala by sa o sieť expertov; domnieva sa, že takáto štruktúra by bola účinnejším riešením než vytvorenie novej banky pre obranu, bezpečnosť a odolnosť;</w:t>
      </w:r>
    </w:p>
    <w:p w14:paraId="5D2AF620" w14:textId="77777777" w:rsidR="00FD609F" w:rsidRPr="009C6E10" w:rsidRDefault="00FD609F" w:rsidP="00FD609F">
      <w:pPr>
        <w:pStyle w:val="NormalHanging12a"/>
      </w:pPr>
      <w:r w:rsidRPr="009C6E10">
        <w:t>16.</w:t>
      </w:r>
      <w:r w:rsidRPr="009C6E10">
        <w:tab/>
        <w:t>zdôrazňuje, že je dôležité zlepšiť prístupnosť a súdržnosť fondov EÚ na podporu investícií pre podniky EDTIB, najmä startupy a MSP, postupným upravovaním a prispôsobovaním kritérií oprávnenosti s ohľadom na ambície stanovené v stratégii pre európsky obranný priemysel a v EDIP-e, zjednodušením postupov podávania žiadostí a harmonizáciou cieľov pracovných programov; zdôrazňuje dôležitosť prispôsobenia časových harmonogramov a požiadaviek týchto fondov rôznym inovačným cyklom a tempu rôznych typov oblastí spôsobilostí; vyzýva členské štáty a regióny, aby posilnili úlohu svojich obchodných a priemyselných komôr pri podpore MSP v rámci EDTIB pri hľadaní finančných prostriedkov EÚ a prístupe k nim;</w:t>
      </w:r>
    </w:p>
    <w:p w14:paraId="54312016" w14:textId="77777777" w:rsidR="00FD609F" w:rsidRPr="009C6E10" w:rsidRDefault="00FD609F" w:rsidP="00FD609F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9C6E10">
        <w:t>17.</w:t>
      </w:r>
      <w:r w:rsidRPr="009C6E10">
        <w:tab/>
        <w:t>vyzýva Komisiu, aby poskytla jasné usmernenia a vzory týkajúce sa nových typov dohôd, koordinácie a spoločného zavádzania medzi konkurentmi v odvetví obrany s cieľom umožniť väčšie investície podnikov EDTIB do výskumu a vývoja;</w:t>
      </w:r>
    </w:p>
    <w:p w14:paraId="7BA8CC7F" w14:textId="77777777" w:rsidR="00FD609F" w:rsidRPr="009C6E10" w:rsidRDefault="00FD609F" w:rsidP="00FD609F">
      <w:pPr>
        <w:widowControl/>
        <w:spacing w:after="240"/>
        <w:ind w:left="567" w:hanging="567"/>
      </w:pPr>
      <w:r w:rsidRPr="009C6E10">
        <w:t>18.</w:t>
      </w:r>
      <w:r w:rsidRPr="009C6E10">
        <w:tab/>
        <w:t xml:space="preserve">vyzýva, aby sa vyvinul nástroj na podporu verejných a súkromných investícií do obrany na základe záruk z rozpočtu EÚ podľa vzoru </w:t>
      </w:r>
      <w:proofErr w:type="spellStart"/>
      <w:r w:rsidRPr="009C6E10">
        <w:t>InvestEU</w:t>
      </w:r>
      <w:proofErr w:type="spellEnd"/>
      <w:r w:rsidRPr="009C6E10">
        <w:t xml:space="preserve">; z krátkodobého hľadiska víta návrh Komisie na delegovaný akt o strategických investíciách v oblasti obrany stanovených v investičných usmerneniach pre Fond </w:t>
      </w:r>
      <w:proofErr w:type="spellStart"/>
      <w:r w:rsidRPr="009C6E10">
        <w:t>InvestEU</w:t>
      </w:r>
      <w:proofErr w:type="spellEnd"/>
      <w:r w:rsidRPr="009C6E10">
        <w:rPr>
          <w:rStyle w:val="FootnoteReference"/>
          <w:bCs/>
          <w:iCs/>
        </w:rPr>
        <w:footnoteReference w:id="7"/>
      </w:r>
      <w:r w:rsidRPr="009C6E10">
        <w:t>, ktorý vyzýva na odstránenie zbytočnej administratívnej záťaže v súvislosti s využívaním rozpočtových záruk a finančných nástrojov na podporu investícií do obrany, čím ponúka ďalšie zjednodušenie a zároveň rešpektuje potrebu chrániť bezpečnosť EÚ a členských štátov; domnieva sa, že tieto opatrenia by spoločne zabezpečili rýchlu mobilizáciu finančných prostriedkov, ako aj vytvorenie stabilného a škálovateľného investičného rámca pre európsky obranný priemysel;</w:t>
      </w:r>
    </w:p>
    <w:p w14:paraId="15BA228B" w14:textId="77777777" w:rsidR="00FD609F" w:rsidRPr="009C6E10" w:rsidRDefault="00FD609F" w:rsidP="00FD609F">
      <w:pPr>
        <w:pStyle w:val="Normal12a24b"/>
        <w:tabs>
          <w:tab w:val="left" w:pos="567"/>
        </w:tabs>
        <w:ind w:left="567" w:hanging="567"/>
      </w:pPr>
      <w:r w:rsidRPr="009C6E10">
        <w:lastRenderedPageBreak/>
        <w:t>19.</w:t>
      </w:r>
      <w:r w:rsidRPr="009C6E10">
        <w:tab/>
        <w:t>považuje použitie bankových prostriedkoch na úvery, záruky a vysoko kvalitné likvidné portfóliá za nevyhnutné pre dlhodobú splatnosť výdavkov na obranu, ktoré zabezpečia predvídateľnosť a stabilitu; opakuje, že urýchlenie dokončenia únie úspor a investícií by pomohlo mobilizovať súkromný kapitál a zlepšiť prístup k financovaniu;</w:t>
      </w:r>
    </w:p>
    <w:p w14:paraId="20CBF275" w14:textId="77777777" w:rsidR="00FD609F" w:rsidRPr="009C6E10" w:rsidRDefault="00FD609F" w:rsidP="00FD609F">
      <w:pPr>
        <w:pStyle w:val="Normal12a24b"/>
        <w:rPr>
          <w:i/>
          <w:iCs/>
        </w:rPr>
      </w:pPr>
      <w:r w:rsidRPr="009C6E10">
        <w:rPr>
          <w:rStyle w:val="Bold"/>
          <w:i/>
        </w:rPr>
        <w:t>Odstránenie faktorov, ktoré odrádzajú od súkromných investícií do obrany</w:t>
      </w:r>
    </w:p>
    <w:p w14:paraId="4B2142AD" w14:textId="77777777" w:rsidR="00FD609F" w:rsidRPr="009C6E10" w:rsidRDefault="00FD609F" w:rsidP="00FD609F">
      <w:pPr>
        <w:pStyle w:val="Normal12a24b"/>
      </w:pPr>
      <w:r w:rsidRPr="009C6E10">
        <w:rPr>
          <w:rStyle w:val="Italic"/>
        </w:rPr>
        <w:t>Zjednodušenie prístupu podnikov v rámci EDTIB ku krátkodobému financovaniu</w:t>
      </w:r>
    </w:p>
    <w:p w14:paraId="5607CE53" w14:textId="77777777" w:rsidR="00FD609F" w:rsidRPr="009C6E10" w:rsidRDefault="00FD609F" w:rsidP="00FD609F">
      <w:pPr>
        <w:pStyle w:val="NormalHanging12a"/>
      </w:pPr>
      <w:r w:rsidRPr="009C6E10">
        <w:t>20.</w:t>
      </w:r>
      <w:r w:rsidRPr="009C6E10">
        <w:tab/>
        <w:t>vyzýva Európske stredisko pre monitorovanie platieb, aby vypracovalo štúdiu o dodržiavaní lehôt splatnosti v rámci EDTIB v porovnaní so zvyškom odvetvia, ako aj klasifikáciu spoločností, ktoré sú v tomto ohľade najdôslednejšie;</w:t>
      </w:r>
    </w:p>
    <w:p w14:paraId="04831A13" w14:textId="77777777" w:rsidR="00FD609F" w:rsidRPr="009C6E10" w:rsidRDefault="00FD609F" w:rsidP="00FD609F">
      <w:pPr>
        <w:pStyle w:val="NormalHanging12a"/>
      </w:pPr>
      <w:r w:rsidRPr="009C6E10">
        <w:t>21.</w:t>
      </w:r>
      <w:r w:rsidRPr="009C6E10">
        <w:tab/>
        <w:t>vyzýva EIB, aby s podporou členských štátov dosiahla objem 4 miliardy EUR na krátkodobé úvery so zárukami za riziko až do výšky 50 %, a žiada, aby sa zmiernili a zjednodušili kritériá EIB pre záväzky v oblasti obrany a aby sa oprávnenosť rozšírila na nepriamych subdodávateľov;</w:t>
      </w:r>
    </w:p>
    <w:p w14:paraId="348C0F2A" w14:textId="77777777" w:rsidR="00FD609F" w:rsidRPr="009C6E10" w:rsidRDefault="00FD609F" w:rsidP="00FD609F">
      <w:pPr>
        <w:pStyle w:val="Normal12a24b"/>
      </w:pPr>
      <w:r w:rsidRPr="009C6E10">
        <w:rPr>
          <w:rStyle w:val="Italic"/>
        </w:rPr>
        <w:t>Zvýšenie schopnosti súkromných investorov financovať obranu zabezpečením zlučiteľnosti s udržateľným financovaním</w:t>
      </w:r>
    </w:p>
    <w:p w14:paraId="7C2E83F0" w14:textId="77777777" w:rsidR="00FD609F" w:rsidRPr="009C6E10" w:rsidRDefault="00FD609F" w:rsidP="00FD609F">
      <w:pPr>
        <w:pStyle w:val="NormalHanging12a"/>
      </w:pPr>
      <w:r w:rsidRPr="009C6E10">
        <w:t>22.</w:t>
      </w:r>
      <w:r w:rsidRPr="009C6E10">
        <w:tab/>
        <w:t xml:space="preserve">konštatuje, že napriek úsiliu vynaloženému od začiatku vojny na Ukrajine mnohí investori naďalej nie sú ochotní financovať obranu, a to aj z dôvodu neistôt týkajúcich sa uplatňovania environmentálnych, sociálnych a správnych noriem a že EDTIB je na finančných trhoch naďalej diskriminovaná z dôvodu nesprávne vnímaného </w:t>
      </w:r>
      <w:proofErr w:type="spellStart"/>
      <w:r w:rsidRPr="009C6E10">
        <w:t>reputačného</w:t>
      </w:r>
      <w:proofErr w:type="spellEnd"/>
      <w:r w:rsidRPr="009C6E10">
        <w:t xml:space="preserve"> rizika; pripomína, že mnohé obranné technológie sú už zo svojej povahy určené na dvojaké použitie, a preto majú významné vedľajšie prínosy pre civilné inovácie a širšie hospodárstvo EÚ; zdôrazňuje, že treba riešiť pretrvávajúce negatívne vnímanie financovania obrany, najmä v bankovom sektore; naliehavo vyzýva Komisiu a členské štáty, aby zintenzívnili úsilie o informovanie a zvyšovanie povedomia o financovaní EDTIB, aby si finančné subjekty mohli zlepšovať odborné znalosti v oblasti analýzy a spracovania financovania súvisiaceho s obranou; nabáda Komisiu, aby zvýšila informovanie a povedomie o financovaní EDTIB;</w:t>
      </w:r>
    </w:p>
    <w:p w14:paraId="1F888B8B" w14:textId="013A6029" w:rsidR="00FD609F" w:rsidRPr="009C6E10" w:rsidRDefault="00FD609F" w:rsidP="00FD609F">
      <w:pPr>
        <w:pStyle w:val="NormalHanging12a"/>
      </w:pPr>
      <w:r w:rsidRPr="009C6E10">
        <w:t>23.</w:t>
      </w:r>
      <w:r w:rsidRPr="009C6E10">
        <w:tab/>
        <w:t xml:space="preserve">berie na vedomie delegované nariadenie Komisie </w:t>
      </w:r>
      <w:r w:rsidR="00024DB0" w:rsidRPr="00024DB0">
        <w:t>(E</w:t>
      </w:r>
      <w:r w:rsidR="00024DB0">
        <w:t>Ú</w:t>
      </w:r>
      <w:r w:rsidR="00024DB0" w:rsidRPr="00024DB0">
        <w:t xml:space="preserve">) 2025/1775 </w:t>
      </w:r>
      <w:r w:rsidR="00024DB0">
        <w:t>z </w:t>
      </w:r>
      <w:r w:rsidR="00024DB0" w:rsidRPr="00024DB0">
        <w:t>28</w:t>
      </w:r>
      <w:r w:rsidR="00024DB0">
        <w:t xml:space="preserve">. augusta </w:t>
      </w:r>
      <w:r w:rsidR="00024DB0" w:rsidRPr="00024DB0">
        <w:t>2025</w:t>
      </w:r>
      <w:r w:rsidRPr="009C6E10">
        <w:t>, ktorým sa mení delegované nariadenie (EÚ) 2020/1818, pokiaľ ide o vymedzenie pojmu „zakázané zbrane“</w:t>
      </w:r>
      <w:r w:rsidRPr="009C6E10">
        <w:rPr>
          <w:rStyle w:val="FootnoteReference"/>
        </w:rPr>
        <w:footnoteReference w:id="8"/>
      </w:r>
      <w:r w:rsidRPr="009C6E10">
        <w:t>, ktorým sa pojem „kontroverzné zbrane“ nahrádza pojmom „zakázané zbrane“ a ktoré bolo prijaté v rámci súhrnného balíka opatrení v oblasti obrannej pripravenosti; zdôrazňuje skutočnosť, že toto vymedzenie je obmedzené na zbrane, ktoré sú výslovne zakázané v záväzných medzinárodných dohovoroch; víta právne objasnenia, ktoré sú súčasťou súhrnného balíka opatrení v oblasti obrannej pripravenosti, a uznáva ich význam pri dosahovaní cieľov EÚ v oblasti financovania obrany; vyzýva súkromných účastníkov finančných operácií, aby obmedzili svoje vylúčenia na tento konsolidovaný zoznam a zverejnili svoju investičnú politiku; navrhuje, aby sa opätovne preskúmalo zaradenie jednotlivých účastníkov, ktorých investičná politika presahuje toto vylúčenie, do financovania EÚ;</w:t>
      </w:r>
    </w:p>
    <w:p w14:paraId="545E28FD" w14:textId="77777777" w:rsidR="00FD609F" w:rsidRPr="009C6E10" w:rsidRDefault="00FD609F" w:rsidP="00FD609F">
      <w:pPr>
        <w:pStyle w:val="NormalHanging12a"/>
      </w:pPr>
      <w:r w:rsidRPr="009C6E10">
        <w:lastRenderedPageBreak/>
        <w:t>24.</w:t>
      </w:r>
      <w:r w:rsidRPr="009C6E10">
        <w:tab/>
        <w:t>pripomína, že rámec udržateľného financovania EÚ je koncipovaný tak, aby smeroval kapitálové toky do udržateľných činností bez toho, aby obmedzoval financovanie sektora obrany, ako opätovne potvrdila Komisia vo svojom oznámení z 18. augusta 2025, v ktorom sa potvrdzuje, že vylúčenie činností súvisiacich s obranou z taxonómie EÚ nebráni súkromným alebo verejným investorom investovať do sektora obrany; vyzýva Komisiu, aby verejne a jednoznačne znovu potvrdila, že zelená taxonómia EÚ nezakazuje ani neobmedzuje investície do obrany, ani od nich neodrádza; zdôrazňuje, že obrana a bezpečnosť sú predpokladom udržateľného rozvoja;</w:t>
      </w:r>
    </w:p>
    <w:p w14:paraId="3B57556A" w14:textId="77777777" w:rsidR="00FD609F" w:rsidRPr="009C6E10" w:rsidRDefault="00FD609F" w:rsidP="00FD609F">
      <w:pPr>
        <w:pStyle w:val="Normal12a24b"/>
      </w:pPr>
      <w:r w:rsidRPr="009C6E10">
        <w:rPr>
          <w:rStyle w:val="Italic"/>
        </w:rPr>
        <w:t>Otvorenie možností ukončenia investície v prípade aktív obranného priemyslu na finančných trhoch mobilizáciou súkromného kapitálu</w:t>
      </w:r>
    </w:p>
    <w:p w14:paraId="2074A5BE" w14:textId="555DEFF2" w:rsidR="00FD609F" w:rsidRPr="009C6E10" w:rsidRDefault="00FD609F" w:rsidP="00FD609F">
      <w:pPr>
        <w:pStyle w:val="NormalHanging12a"/>
      </w:pPr>
      <w:r w:rsidRPr="009C6E10">
        <w:t>25.</w:t>
      </w:r>
      <w:r w:rsidRPr="009C6E10">
        <w:tab/>
      </w:r>
      <w:bookmarkStart w:id="11" w:name="_Hlk215501491"/>
      <w:r w:rsidRPr="009C6E10">
        <w:t>považuje za nevyhnutné podporovať európsky trh špecializovaných investorov, ktorí ponúkajú nepretržité financovanie (úvery, súkromný dlh a vlastný kapitál) spoločnostiam, najmä startupom, MSP a spoločnostiam so strednou kapitalizáciou, v rámci EDTIB a ukrajinskej DTIB</w:t>
      </w:r>
      <w:bookmarkEnd w:id="11"/>
      <w:r w:rsidRPr="009C6E10">
        <w:t>; víta iniciatívu Komisie a EIB vytvoriť kapitálový nástroj v oblasti obrany s rozpočtom 175 miliónov EUR na obdobie rokov 2024 – 2027; považuje však tento fond za úplne nedostatočný vzhľadom na potreby financovania a vyzýva EIB, aby vyhovela želaniam členských štátov, ako sa opakovane zdôraznilo v záveroch Rady, a zvýšila tento rozpočet na 1 miliardu EUR s cieľom lepšie uspokojiť kapitálové potreby EDTIB a jej hodnotového reťazca s osobitným dôrazom na menších aktérov, ktorí čelia najväčšej medzere vo financovaní; nabáda EIB, aby rozšírila tento nástroj na ukrajinskú DTIB a aby ho koncipovala tak, aby podporoval partnerstvá a spoločné podniky medzi spoločnosťami v rámci EDTIB a spoločnosťami v rámci ukrajinskej DTIB;</w:t>
      </w:r>
    </w:p>
    <w:p w14:paraId="36072285" w14:textId="77777777" w:rsidR="00FD609F" w:rsidRPr="009C6E10" w:rsidRDefault="00FD609F" w:rsidP="00FD609F">
      <w:pPr>
        <w:pStyle w:val="NormalHanging12a"/>
        <w:rPr>
          <w:bCs/>
          <w:iCs/>
        </w:rPr>
      </w:pPr>
      <w:r w:rsidRPr="009C6E10">
        <w:t>26.</w:t>
      </w:r>
      <w:r w:rsidRPr="009C6E10">
        <w:tab/>
        <w:t>vyzýva Komisiu a skupinu EIB, aby zaviedli do praxe podporu pre projekty dvojakého použitia zlepšením prístupu podnikov v počiatočnom štádiu a malých a stredných podnikov k takejto podpore, zjednodušením postupov, poskytovaním jasných usmernení investorom a pravidelným podávaním správ o využívaní a geografickom rozdelení; vyzýva na účinné vykonávanie prostredníctvom cielených výziev a jasných usmernení pre riadiace orgány, aby tak regióny s menej rozvinutými obrannými ekosystémami získali prístup k týmto možnostiam; vyzýva členské štáty, aby tieto možnosti zohľadnili pri tvorbe programov a aby koordinovali svoju činnosť s Komisiou a EIB pri vytváraní regionálnych investičných platforiem, čím sa zabezpečí komplementárnosť a zabráni dvojitému financovaniu;</w:t>
      </w:r>
    </w:p>
    <w:p w14:paraId="4AC42082" w14:textId="77777777" w:rsidR="00FD609F" w:rsidRPr="009C6E10" w:rsidRDefault="00FD609F" w:rsidP="00FD609F">
      <w:pPr>
        <w:pStyle w:val="NormalHanging12a"/>
      </w:pPr>
      <w:r w:rsidRPr="009C6E10">
        <w:t>27.</w:t>
      </w:r>
      <w:r w:rsidRPr="009C6E10">
        <w:tab/>
        <w:t>vyzýva Komisiu, aby vo svojej politike hospodárskej súťaže zvážila obrannú pripravenosť, bezpečnosť dodávok, potenciál na posilnenie inovácií a zníženie závislosti od krajín mimo EÚ; zároveň vyzýva členské štáty, aby zabezpečili, že ich obstarávanie výrobkov obranného priemyslu bude pre EDTIB ako celok otvorené a konkurencieschopné; vyzýva členské štáty, aby posilnili kontroly priamych investícií vykonávaných subjektmi z tretích krajín;</w:t>
      </w:r>
    </w:p>
    <w:p w14:paraId="611FED0C" w14:textId="77777777" w:rsidR="00FD609F" w:rsidRPr="009C6E10" w:rsidRDefault="00FD609F" w:rsidP="00FD609F">
      <w:pPr>
        <w:pStyle w:val="NormalHanging12a"/>
      </w:pPr>
      <w:r w:rsidRPr="009C6E10">
        <w:t>28.</w:t>
      </w:r>
      <w:r w:rsidRPr="009C6E10">
        <w:tab/>
        <w:t>vyzýva Komisiu, aby posilnila programy priemyselnej spolupráce a nadnárodné partnerstvá, vrátane platforiem pre dodávateľský reťazec a projektov spoločného vývoja, s cieľom integrovať výrobné reťazce, využívať vnútroštátne odborné znalosti, podporiť úspory z rozsahu a posilniť globálnu konkurencieschopnosť EDTIB;</w:t>
      </w:r>
    </w:p>
    <w:p w14:paraId="20D5CCB0" w14:textId="77777777" w:rsidR="00FD609F" w:rsidRPr="009C6E10" w:rsidRDefault="00FD609F" w:rsidP="00FD609F">
      <w:pPr>
        <w:pStyle w:val="NormalHanging12a"/>
      </w:pPr>
      <w:r w:rsidRPr="009C6E10">
        <w:t>29.</w:t>
      </w:r>
      <w:r w:rsidRPr="009C6E10">
        <w:tab/>
        <w:t xml:space="preserve">zdôrazňuje význam dobre fungujúcich kapitálových trhov pre financovanie obrany; vyzýva Komisiu a členské štáty, aby urýchlili pokrok na budovaní únie kapitálových </w:t>
      </w:r>
      <w:r w:rsidRPr="009C6E10">
        <w:lastRenderedPageBreak/>
        <w:t>trhov a únie úspor a investícií, najmä zlepšením prístupu MSP v obrannom sektore ku kapitálu, rizikovému kapitálu a financovaniu; zdôrazňuje, že únia kapitálových trhov a únia úspor a investícií majú zásadný význam pre zvýšenie financovania obrany;</w:t>
      </w:r>
    </w:p>
    <w:p w14:paraId="451A41EC" w14:textId="77777777" w:rsidR="00FD609F" w:rsidRPr="009C6E10" w:rsidRDefault="00FD609F" w:rsidP="00FD609F">
      <w:pPr>
        <w:pStyle w:val="NormalHanging12a"/>
      </w:pPr>
      <w:r w:rsidRPr="009C6E10">
        <w:t>30.</w:t>
      </w:r>
      <w:r w:rsidRPr="009C6E10">
        <w:tab/>
        <w:t>zdôrazňuje, že je dôležité urýchliť pokrok pri dokončovaní únie úspor a investícií s cieľom podporiť hlbší, likvidnejší a integrovanejší finančný systém EÚ, ktorý efektívnejšie smeruje úspory do produktívnych investícií, ako sú investície do obranného priemyslu EÚ; zdôrazňuje, že obranný priemysel EÚ musí výrazne zvýšiť svoju kapacitu, aby uspokojil obrovský nárast dopytu po vojenských výrobkoch;</w:t>
      </w:r>
    </w:p>
    <w:p w14:paraId="1B5FC73D" w14:textId="77777777" w:rsidR="00FD609F" w:rsidRPr="009C6E10" w:rsidRDefault="00FD609F" w:rsidP="00FD609F">
      <w:pPr>
        <w:pStyle w:val="NormalHanging12a"/>
      </w:pPr>
      <w:r w:rsidRPr="009C6E10">
        <w:t>31.</w:t>
      </w:r>
      <w:r w:rsidRPr="009C6E10">
        <w:tab/>
        <w:t xml:space="preserve">víta zavedenie značky </w:t>
      </w:r>
      <w:proofErr w:type="spellStart"/>
      <w:r w:rsidRPr="009C6E10">
        <w:t>Finance</w:t>
      </w:r>
      <w:proofErr w:type="spellEnd"/>
      <w:r w:rsidRPr="009C6E10">
        <w:t xml:space="preserve"> </w:t>
      </w:r>
      <w:proofErr w:type="spellStart"/>
      <w:r w:rsidRPr="009C6E10">
        <w:t>Europe</w:t>
      </w:r>
      <w:proofErr w:type="spellEnd"/>
      <w:r w:rsidRPr="009C6E10">
        <w:t>; konštatuje, že táto značka, ktorej cieľom je nasmerovať úspory jednotlivcov do investícií do reálnej európskej ekonomiky, podporuje financovanie vlastného kapitálu podnikov; nabáda Komisiu, aby túto iniciatívu podporila návrhom európskej značky v rámci únie úspor a investícií a zabezpečila, aby nevytvárala dodatočnú administratívnu záťaž;</w:t>
      </w:r>
    </w:p>
    <w:p w14:paraId="446B3418" w14:textId="77777777" w:rsidR="00FD609F" w:rsidRPr="009C6E10" w:rsidRDefault="00FD609F" w:rsidP="00FD609F">
      <w:pPr>
        <w:pStyle w:val="NormalCenter12a"/>
        <w:ind w:left="567" w:hanging="567"/>
        <w:jc w:val="left"/>
      </w:pPr>
      <w:r w:rsidRPr="009C6E10">
        <w:t>32.</w:t>
      </w:r>
      <w:r w:rsidRPr="009C6E10">
        <w:tab/>
        <w:t>víta odporúčanie Komisie týkajúce sa sporiacich a investičných účtov</w:t>
      </w:r>
      <w:r w:rsidRPr="009C6E10">
        <w:rPr>
          <w:rStyle w:val="FootnoteReference"/>
        </w:rPr>
        <w:footnoteReference w:id="9"/>
      </w:r>
      <w:r w:rsidRPr="009C6E10">
        <w:t xml:space="preserve">; zdôrazňuje, že cieľom sporiacich a investičných účtov je zvýšiť účasť </w:t>
      </w:r>
      <w:proofErr w:type="spellStart"/>
      <w:r w:rsidRPr="009C6E10">
        <w:t>retailových</w:t>
      </w:r>
      <w:proofErr w:type="spellEnd"/>
      <w:r w:rsidRPr="009C6E10">
        <w:t xml:space="preserve"> investorov na kapitálových trhoch EÚ, a tým prispieť k posilneniu trhov a umožniť zvýšenie investorskej základne EÚ, čo by pomohlo financovať strategické priority EÚ vrátane obrany; nabáda Komisiu, aby pokračovala v podpore tejto iniciatívy; vyzýva členské štáty, aby sa riadili odporúčaním Komisie o zvýšení dostupnosti sporiacich a investičných účtov;</w:t>
      </w:r>
    </w:p>
    <w:p w14:paraId="5FBA5AC1" w14:textId="77777777" w:rsidR="00FD609F" w:rsidRPr="009C6E10" w:rsidRDefault="00FD609F" w:rsidP="00FD609F">
      <w:pPr>
        <w:pStyle w:val="NormalHanging12a"/>
      </w:pPr>
      <w:r w:rsidRPr="009C6E10">
        <w:t>33.</w:t>
      </w:r>
      <w:r w:rsidRPr="009C6E10">
        <w:tab/>
        <w:t>víta prebiehajúce činnosti zamerané na využitie zmrazených ruských aktív na financovanie obranného úsilia Ukrajiny a zároveň na riešenie obáv týkajúcich sa finančnej stability a súdnych sporov;</w:t>
      </w:r>
    </w:p>
    <w:p w14:paraId="0B387662" w14:textId="77777777" w:rsidR="00FD609F" w:rsidRPr="009C6E10" w:rsidRDefault="00FD609F" w:rsidP="00FD609F">
      <w:pPr>
        <w:pStyle w:val="NormalCenter12a"/>
        <w:tabs>
          <w:tab w:val="left" w:pos="567"/>
        </w:tabs>
        <w:ind w:left="567" w:hanging="567"/>
        <w:jc w:val="left"/>
      </w:pPr>
      <w:r w:rsidRPr="009C6E10">
        <w:t>34.</w:t>
      </w:r>
      <w:r w:rsidRPr="009C6E10">
        <w:tab/>
        <w:t xml:space="preserve">vyzýva na jednotný záväzok členských štátov zvýšiť výdavky na obranu v súlade s výsledkami Haagskeho samitu NATO v roku 2025, na ktorom sa spojenci NATO zaviazali, že do roku 2035 budú ročne investovať 5 % HDP do základných obranných požiadaviek a výdavkov súvisiacich s obranou a bezpečnosťou; naliehavo vyzýva členské štáty, aby podporovali európske obranné iniciatívy, posilnili </w:t>
      </w:r>
      <w:proofErr w:type="spellStart"/>
      <w:r w:rsidRPr="009C6E10">
        <w:t>interoperabilitu</w:t>
      </w:r>
      <w:proofErr w:type="spellEnd"/>
      <w:r w:rsidRPr="009C6E10">
        <w:t xml:space="preserve"> a investovali do spoločného obstarávania v súlade so spoločnými strategickými prioritami vrátane výroby munície;</w:t>
      </w:r>
    </w:p>
    <w:p w14:paraId="2EE45900" w14:textId="09372BD8" w:rsidR="00151363" w:rsidRPr="009C6E10" w:rsidRDefault="00151363" w:rsidP="00151363">
      <w:pPr>
        <w:pStyle w:val="NormalCenter12a"/>
        <w:widowControl/>
        <w:tabs>
          <w:tab w:val="left" w:pos="567"/>
        </w:tabs>
        <w:rPr>
          <w:bCs/>
          <w:iCs/>
        </w:rPr>
      </w:pPr>
      <w:r w:rsidRPr="009C6E10">
        <w:rPr>
          <w:bCs/>
          <w:iCs/>
        </w:rPr>
        <w:t>°</w:t>
      </w:r>
    </w:p>
    <w:p w14:paraId="3A25830E" w14:textId="4C2195B0" w:rsidR="00151363" w:rsidRPr="009C6E10" w:rsidRDefault="00151363" w:rsidP="00151363">
      <w:pPr>
        <w:pStyle w:val="NormalCenter12a"/>
        <w:widowControl/>
        <w:tabs>
          <w:tab w:val="left" w:pos="567"/>
        </w:tabs>
        <w:rPr>
          <w:bCs/>
          <w:iCs/>
        </w:rPr>
      </w:pPr>
      <w:r w:rsidRPr="009C6E10">
        <w:rPr>
          <w:bCs/>
          <w:iCs/>
        </w:rPr>
        <w:t>°     °</w:t>
      </w:r>
    </w:p>
    <w:p w14:paraId="02F62D64" w14:textId="7D1008D7" w:rsidR="00E365E1" w:rsidRPr="009C6E10" w:rsidRDefault="00FD609F" w:rsidP="00151363">
      <w:pPr>
        <w:pStyle w:val="NormalHanging12a"/>
      </w:pPr>
      <w:r w:rsidRPr="009C6E10">
        <w:t>35.</w:t>
      </w:r>
      <w:r w:rsidRPr="009C6E10">
        <w:tab/>
        <w:t>poveruje svoju predsedníčku, aby postúpila toto uznesenie Rade a Komisii.</w:t>
      </w:r>
      <w:bookmarkEnd w:id="10"/>
    </w:p>
    <w:sectPr w:rsidR="00E365E1" w:rsidRPr="009C6E10" w:rsidSect="004C40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3F628" w14:textId="77777777" w:rsidR="00580BB6" w:rsidRPr="004C400D" w:rsidRDefault="00580BB6">
      <w:r w:rsidRPr="004C400D">
        <w:separator/>
      </w:r>
    </w:p>
  </w:endnote>
  <w:endnote w:type="continuationSeparator" w:id="0">
    <w:p w14:paraId="671CC3FA" w14:textId="77777777" w:rsidR="00580BB6" w:rsidRPr="004C400D" w:rsidRDefault="00580BB6">
      <w:r w:rsidRPr="004C40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AAA5A" w14:textId="77777777" w:rsidR="00064002" w:rsidRPr="004C40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65197" w14:textId="77777777" w:rsidR="00064002" w:rsidRPr="004C40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1A63F" w14:textId="77777777" w:rsidR="00064002" w:rsidRPr="004C40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940E" w14:textId="77777777" w:rsidR="00580BB6" w:rsidRPr="004C400D" w:rsidRDefault="00580BB6">
      <w:r w:rsidRPr="004C400D">
        <w:separator/>
      </w:r>
    </w:p>
  </w:footnote>
  <w:footnote w:type="continuationSeparator" w:id="0">
    <w:p w14:paraId="22F01CA3" w14:textId="77777777" w:rsidR="00580BB6" w:rsidRPr="004C400D" w:rsidRDefault="00580BB6">
      <w:r w:rsidRPr="004C400D">
        <w:continuationSeparator/>
      </w:r>
    </w:p>
  </w:footnote>
  <w:footnote w:id="1">
    <w:p w14:paraId="442EB4DC" w14:textId="14752FF7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 xml:space="preserve">Európska komisia: Generálne riaditeľstvo pre obranný priemysel a vesmír, </w:t>
      </w:r>
      <w:r w:rsidRPr="004C400D">
        <w:rPr>
          <w:i/>
          <w:sz w:val="24"/>
          <w:lang w:val="sk-SK"/>
        </w:rPr>
        <w:t xml:space="preserve">Access to </w:t>
      </w:r>
      <w:proofErr w:type="spellStart"/>
      <w:r w:rsidRPr="004C400D">
        <w:rPr>
          <w:i/>
          <w:sz w:val="24"/>
          <w:lang w:val="sk-SK"/>
        </w:rPr>
        <w:t>equity</w:t>
      </w:r>
      <w:proofErr w:type="spellEnd"/>
      <w:r w:rsidRPr="004C400D">
        <w:rPr>
          <w:i/>
          <w:sz w:val="24"/>
          <w:lang w:val="sk-SK"/>
        </w:rPr>
        <w:t xml:space="preserve"> </w:t>
      </w:r>
      <w:proofErr w:type="spellStart"/>
      <w:r w:rsidRPr="004C400D">
        <w:rPr>
          <w:i/>
          <w:sz w:val="24"/>
          <w:lang w:val="sk-SK"/>
        </w:rPr>
        <w:t>financing</w:t>
      </w:r>
      <w:proofErr w:type="spellEnd"/>
      <w:r w:rsidRPr="004C400D">
        <w:rPr>
          <w:i/>
          <w:sz w:val="24"/>
          <w:lang w:val="sk-SK"/>
        </w:rPr>
        <w:t xml:space="preserve"> </w:t>
      </w:r>
      <w:proofErr w:type="spellStart"/>
      <w:r w:rsidRPr="004C400D">
        <w:rPr>
          <w:i/>
          <w:sz w:val="24"/>
          <w:lang w:val="sk-SK"/>
        </w:rPr>
        <w:t>for</w:t>
      </w:r>
      <w:proofErr w:type="spellEnd"/>
      <w:r w:rsidRPr="004C400D">
        <w:rPr>
          <w:i/>
          <w:sz w:val="24"/>
          <w:lang w:val="sk-SK"/>
        </w:rPr>
        <w:t xml:space="preserve"> </w:t>
      </w:r>
      <w:proofErr w:type="spellStart"/>
      <w:r w:rsidRPr="004C400D">
        <w:rPr>
          <w:i/>
          <w:sz w:val="24"/>
          <w:lang w:val="sk-SK"/>
        </w:rPr>
        <w:t>European</w:t>
      </w:r>
      <w:proofErr w:type="spellEnd"/>
      <w:r w:rsidRPr="004C400D">
        <w:rPr>
          <w:i/>
          <w:sz w:val="24"/>
          <w:lang w:val="sk-SK"/>
        </w:rPr>
        <w:t xml:space="preserve"> </w:t>
      </w:r>
      <w:proofErr w:type="spellStart"/>
      <w:r w:rsidRPr="004C400D">
        <w:rPr>
          <w:i/>
          <w:sz w:val="24"/>
          <w:lang w:val="sk-SK"/>
        </w:rPr>
        <w:t>defence</w:t>
      </w:r>
      <w:proofErr w:type="spellEnd"/>
      <w:r w:rsidRPr="004C400D">
        <w:rPr>
          <w:i/>
          <w:sz w:val="24"/>
          <w:lang w:val="sk-SK"/>
        </w:rPr>
        <w:t xml:space="preserve"> </w:t>
      </w:r>
      <w:proofErr w:type="spellStart"/>
      <w:r w:rsidRPr="004C400D">
        <w:rPr>
          <w:i/>
          <w:sz w:val="24"/>
          <w:lang w:val="sk-SK"/>
        </w:rPr>
        <w:t>SMEs</w:t>
      </w:r>
      <w:proofErr w:type="spellEnd"/>
      <w:r w:rsidRPr="004C400D">
        <w:rPr>
          <w:sz w:val="24"/>
          <w:lang w:val="sk-SK"/>
        </w:rPr>
        <w:t xml:space="preserve">, Úrad pre vydávanie publikácií Európskej únie, 2024, </w:t>
      </w:r>
      <w:hyperlink r:id="rId1" w:history="1">
        <w:r w:rsidRPr="004C400D">
          <w:rPr>
            <w:rStyle w:val="Hyperlink"/>
            <w:sz w:val="24"/>
            <w:lang w:val="sk-SK"/>
          </w:rPr>
          <w:t>https://data.europa.eu/doi/10.2889/698738</w:t>
        </w:r>
      </w:hyperlink>
      <w:r w:rsidRPr="004C400D">
        <w:rPr>
          <w:color w:val="0000FF"/>
          <w:sz w:val="24"/>
          <w:u w:val="single" w:color="0000FF"/>
          <w:lang w:val="sk-SK"/>
        </w:rPr>
        <w:t>.</w:t>
      </w:r>
    </w:p>
  </w:footnote>
  <w:footnote w:id="2">
    <w:p w14:paraId="4EDD3BD4" w14:textId="05FCB726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>Prijaté texty, P10_TA(2025)0281.</w:t>
      </w:r>
    </w:p>
  </w:footnote>
  <w:footnote w:id="3">
    <w:p w14:paraId="184D210A" w14:textId="56DA50D9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 xml:space="preserve">Ú. v. </w:t>
      </w:r>
      <w:r w:rsidRPr="004C400D">
        <w:rPr>
          <w:sz w:val="24"/>
          <w:lang w:val="sk-SK"/>
        </w:rPr>
        <w:t xml:space="preserve">EÚ L, 2025/1106, 28.5.2025, ELI: </w:t>
      </w:r>
      <w:hyperlink r:id="rId2" w:history="1">
        <w:r w:rsidRPr="002F39AA">
          <w:rPr>
            <w:rStyle w:val="Hyperlink"/>
            <w:sz w:val="24"/>
            <w:lang w:val="sk-SK"/>
          </w:rPr>
          <w:t>http://data.europa.eu/eli/reg/2025/1106/oj</w:t>
        </w:r>
      </w:hyperlink>
      <w:r w:rsidRPr="004C400D">
        <w:rPr>
          <w:sz w:val="24"/>
          <w:lang w:val="sk-SK"/>
        </w:rPr>
        <w:t>.</w:t>
      </w:r>
    </w:p>
  </w:footnote>
  <w:footnote w:id="4">
    <w:p w14:paraId="61F93B1F" w14:textId="45FD9907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>Prijaté texty, P10_TA(2025)0034.</w:t>
      </w:r>
    </w:p>
  </w:footnote>
  <w:footnote w:id="5">
    <w:p w14:paraId="315E00D6" w14:textId="525BA76C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>Prijaté texty, P10_TA(2025)0145.</w:t>
      </w:r>
    </w:p>
  </w:footnote>
  <w:footnote w:id="6">
    <w:p w14:paraId="7E52CCC8" w14:textId="5A39880E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9C6E10">
        <w:rPr>
          <w:sz w:val="24"/>
          <w:lang w:val="sk-SK"/>
        </w:rPr>
        <w:tab/>
      </w:r>
      <w:r w:rsidRPr="009C6E10">
        <w:rPr>
          <w:sz w:val="24"/>
          <w:lang w:val="sk-SK"/>
        </w:rPr>
        <w:t>Správa Komisie zo 17. októbra 2024 s názvom Štvrtá výročná správa o preverovaní priamych zahraničných investícií do Únie (COM(2024)0464).</w:t>
      </w:r>
      <w:r w:rsidRPr="004C400D">
        <w:rPr>
          <w:color w:val="0000FF"/>
          <w:sz w:val="24"/>
          <w:u w:val="single" w:color="0000FF"/>
          <w:lang w:val="sk-SK"/>
        </w:rPr>
        <w:t xml:space="preserve"> </w:t>
      </w:r>
    </w:p>
  </w:footnote>
  <w:footnote w:id="7">
    <w:p w14:paraId="498719F4" w14:textId="73E523E5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>Delegované nariadenie Komisie (EÚ)</w:t>
      </w:r>
      <w:r w:rsidR="00024DB0">
        <w:rPr>
          <w:sz w:val="24"/>
          <w:lang w:val="sk-SK"/>
        </w:rPr>
        <w:t xml:space="preserve"> </w:t>
      </w:r>
      <w:r w:rsidR="00024DB0" w:rsidRPr="00024DB0">
        <w:rPr>
          <w:sz w:val="24"/>
          <w:lang w:val="sk-SK"/>
        </w:rPr>
        <w:t xml:space="preserve">2025/1774 </w:t>
      </w:r>
      <w:r w:rsidRPr="004C400D">
        <w:rPr>
          <w:sz w:val="24"/>
          <w:lang w:val="sk-SK"/>
        </w:rPr>
        <w:t xml:space="preserve">z 28. augusta 2025, ktorým sa mení delegované nariadenie (EÚ) 2021/1078, pokiaľ ide o strategické investície v oblasti obrany stanovené v investičných usmerneniach pre Fond </w:t>
      </w:r>
      <w:proofErr w:type="spellStart"/>
      <w:r w:rsidRPr="004C400D">
        <w:rPr>
          <w:sz w:val="24"/>
          <w:lang w:val="sk-SK"/>
        </w:rPr>
        <w:t>InvestEU</w:t>
      </w:r>
      <w:proofErr w:type="spellEnd"/>
      <w:r w:rsidRPr="004C400D">
        <w:rPr>
          <w:sz w:val="24"/>
          <w:lang w:val="sk-SK"/>
        </w:rPr>
        <w:t xml:space="preserve"> (</w:t>
      </w:r>
      <w:r w:rsidR="00024DB0">
        <w:rPr>
          <w:sz w:val="24"/>
          <w:lang w:val="sk-SK"/>
        </w:rPr>
        <w:t>Ú. v. EÚ</w:t>
      </w:r>
      <w:r w:rsidR="00024DB0" w:rsidRPr="00024DB0">
        <w:rPr>
          <w:sz w:val="24"/>
          <w:lang w:val="sk-SK"/>
        </w:rPr>
        <w:t xml:space="preserve"> L, 2025/1774, 18.12.2025, ELI</w:t>
      </w:r>
      <w:r w:rsidR="00024DB0" w:rsidRPr="009E0962">
        <w:rPr>
          <w:sz w:val="24"/>
          <w:szCs w:val="24"/>
          <w:lang w:val="sk-SK"/>
        </w:rPr>
        <w:t xml:space="preserve">: </w:t>
      </w:r>
      <w:r w:rsidR="00024DB0" w:rsidRPr="009E0962">
        <w:rPr>
          <w:rStyle w:val="Hyperlink"/>
          <w:sz w:val="24"/>
          <w:szCs w:val="24"/>
          <w:lang w:val="sk-SK"/>
        </w:rPr>
        <w:t>http://data.europa.eu/eli/reg_del/2025/1774/oj</w:t>
      </w:r>
      <w:r w:rsidRPr="009E0962">
        <w:rPr>
          <w:sz w:val="24"/>
          <w:szCs w:val="24"/>
          <w:lang w:val="sk-SK"/>
        </w:rPr>
        <w:t>).</w:t>
      </w:r>
      <w:r w:rsidRPr="004C400D">
        <w:rPr>
          <w:sz w:val="24"/>
          <w:lang w:val="sk-SK"/>
        </w:rPr>
        <w:t xml:space="preserve"> </w:t>
      </w:r>
    </w:p>
  </w:footnote>
  <w:footnote w:id="8">
    <w:p w14:paraId="5EFB84DF" w14:textId="5333E91B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="00024DB0">
        <w:rPr>
          <w:sz w:val="24"/>
          <w:lang w:val="sk-SK"/>
        </w:rPr>
        <w:t>Ú. v. EÚ</w:t>
      </w:r>
      <w:r w:rsidR="00024DB0" w:rsidRPr="00024DB0">
        <w:rPr>
          <w:sz w:val="24"/>
          <w:lang w:val="sk-SK"/>
        </w:rPr>
        <w:t xml:space="preserve"> L, 2025/1775, 30.12.2025, </w:t>
      </w:r>
      <w:r w:rsidR="00024DB0" w:rsidRPr="009E0962">
        <w:rPr>
          <w:sz w:val="24"/>
          <w:szCs w:val="24"/>
          <w:lang w:val="sk-SK"/>
        </w:rPr>
        <w:t xml:space="preserve">ELI: </w:t>
      </w:r>
      <w:r w:rsidR="00024DB0" w:rsidRPr="009E0962">
        <w:rPr>
          <w:rStyle w:val="Hyperlink"/>
          <w:sz w:val="24"/>
          <w:szCs w:val="24"/>
          <w:lang w:val="sk-SK"/>
        </w:rPr>
        <w:t>http://data.europa.eu/eli/reg_del/2025/1775/oj</w:t>
      </w:r>
      <w:r w:rsidRPr="009E0962">
        <w:rPr>
          <w:sz w:val="24"/>
          <w:szCs w:val="24"/>
          <w:lang w:val="sk-SK"/>
        </w:rPr>
        <w:t>.</w:t>
      </w:r>
      <w:r w:rsidRPr="004C400D">
        <w:rPr>
          <w:sz w:val="24"/>
          <w:lang w:val="sk-SK"/>
        </w:rPr>
        <w:t xml:space="preserve"> </w:t>
      </w:r>
    </w:p>
  </w:footnote>
  <w:footnote w:id="9">
    <w:p w14:paraId="72255A0B" w14:textId="4E8D1586" w:rsidR="00FD609F" w:rsidRPr="004C400D" w:rsidRDefault="00FD609F" w:rsidP="004C400D">
      <w:pPr>
        <w:pStyle w:val="FootnoteText"/>
        <w:ind w:left="567" w:hanging="567"/>
        <w:rPr>
          <w:sz w:val="24"/>
          <w:lang w:val="sk-SK"/>
        </w:rPr>
      </w:pPr>
      <w:r w:rsidRPr="004C400D">
        <w:rPr>
          <w:rStyle w:val="FootnoteReference"/>
          <w:sz w:val="24"/>
          <w:lang w:val="sk-SK"/>
        </w:rPr>
        <w:footnoteRef/>
      </w:r>
      <w:r w:rsidR="004C400D" w:rsidRPr="004C400D">
        <w:rPr>
          <w:sz w:val="24"/>
          <w:lang w:val="sk-SK"/>
        </w:rPr>
        <w:t xml:space="preserve"> </w:t>
      </w:r>
      <w:r w:rsidR="004C400D" w:rsidRPr="004C400D">
        <w:rPr>
          <w:sz w:val="24"/>
          <w:lang w:val="sk-SK"/>
        </w:rPr>
        <w:tab/>
      </w:r>
      <w:r w:rsidRPr="004C400D">
        <w:rPr>
          <w:sz w:val="24"/>
          <w:lang w:val="sk-SK"/>
        </w:rPr>
        <w:t>Odporúčanie Komisie</w:t>
      </w:r>
      <w:r w:rsidR="009E0962">
        <w:rPr>
          <w:sz w:val="24"/>
          <w:lang w:val="sk-SK"/>
        </w:rPr>
        <w:t xml:space="preserve"> </w:t>
      </w:r>
      <w:r w:rsidR="009E0962" w:rsidRPr="009E0962">
        <w:rPr>
          <w:sz w:val="24"/>
          <w:lang w:val="sk-SK"/>
        </w:rPr>
        <w:t>(E</w:t>
      </w:r>
      <w:r w:rsidR="009E0962">
        <w:rPr>
          <w:sz w:val="24"/>
          <w:lang w:val="sk-SK"/>
        </w:rPr>
        <w:t>Ú</w:t>
      </w:r>
      <w:r w:rsidR="009E0962" w:rsidRPr="009E0962">
        <w:rPr>
          <w:sz w:val="24"/>
          <w:lang w:val="sk-SK"/>
        </w:rPr>
        <w:t xml:space="preserve">) 2025/2029 </w:t>
      </w:r>
      <w:r w:rsidR="009E0962">
        <w:rPr>
          <w:sz w:val="24"/>
          <w:lang w:val="sk-SK"/>
        </w:rPr>
        <w:t>z </w:t>
      </w:r>
      <w:r w:rsidR="009E0962" w:rsidRPr="009E0962">
        <w:rPr>
          <w:sz w:val="24"/>
          <w:lang w:val="sk-SK"/>
        </w:rPr>
        <w:t>30</w:t>
      </w:r>
      <w:r w:rsidR="009E0962">
        <w:rPr>
          <w:sz w:val="24"/>
          <w:lang w:val="sk-SK"/>
        </w:rPr>
        <w:t>.</w:t>
      </w:r>
      <w:r w:rsidR="009E0962" w:rsidRPr="009E0962">
        <w:rPr>
          <w:sz w:val="24"/>
          <w:lang w:val="sk-SK"/>
        </w:rPr>
        <w:t xml:space="preserve"> </w:t>
      </w:r>
      <w:r w:rsidR="009E0962">
        <w:rPr>
          <w:sz w:val="24"/>
          <w:lang w:val="sk-SK"/>
        </w:rPr>
        <w:t>septembra</w:t>
      </w:r>
      <w:r w:rsidR="009E0962" w:rsidRPr="009E0962">
        <w:rPr>
          <w:sz w:val="24"/>
          <w:lang w:val="sk-SK"/>
        </w:rPr>
        <w:t xml:space="preserve"> 2025</w:t>
      </w:r>
      <w:r w:rsidR="009E0962">
        <w:rPr>
          <w:sz w:val="24"/>
          <w:lang w:val="sk-SK"/>
        </w:rPr>
        <w:t xml:space="preserve"> </w:t>
      </w:r>
      <w:r w:rsidRPr="004C400D">
        <w:rPr>
          <w:sz w:val="24"/>
          <w:lang w:val="sk-SK"/>
        </w:rPr>
        <w:t xml:space="preserve">o zvýšení dostupnosti sporiacich a investičných účtov so zjednodušeným a zvýhodneným daňovým zaobchádzaním </w:t>
      </w:r>
      <w:r w:rsidR="009E0962" w:rsidRPr="009E0962">
        <w:rPr>
          <w:sz w:val="24"/>
          <w:lang w:val="sk-SK"/>
        </w:rPr>
        <w:t>(Ú. v. EÚ</w:t>
      </w:r>
      <w:r w:rsidR="009E0962">
        <w:rPr>
          <w:sz w:val="24"/>
          <w:lang w:val="sk-SK"/>
        </w:rPr>
        <w:t xml:space="preserve"> L</w:t>
      </w:r>
      <w:r w:rsidR="009E0962" w:rsidRPr="009E0962">
        <w:rPr>
          <w:sz w:val="24"/>
          <w:lang w:val="sk-SK"/>
        </w:rPr>
        <w:t xml:space="preserve">, 2025/2029, 8.10.2025, </w:t>
      </w:r>
      <w:r w:rsidR="009E0962" w:rsidRPr="009E0962">
        <w:rPr>
          <w:sz w:val="24"/>
          <w:szCs w:val="24"/>
          <w:lang w:val="sk-SK"/>
        </w:rPr>
        <w:t>ELI:</w:t>
      </w:r>
      <w:r w:rsidR="009E0962" w:rsidRPr="009E0962">
        <w:rPr>
          <w:sz w:val="24"/>
          <w:szCs w:val="24"/>
          <w:lang w:val="sk-SK"/>
        </w:rPr>
        <w:t> </w:t>
      </w:r>
      <w:r w:rsidR="009E0962" w:rsidRPr="009E0962">
        <w:rPr>
          <w:rStyle w:val="Hyperlink"/>
          <w:sz w:val="24"/>
          <w:szCs w:val="24"/>
          <w:lang w:val="sk-SK"/>
        </w:rPr>
        <w:t>http://data.europa.eu/eli/reco/2025/2029/oj</w:t>
      </w:r>
      <w:r w:rsidR="009E0962" w:rsidRPr="009E0962">
        <w:rPr>
          <w:sz w:val="24"/>
          <w:szCs w:val="24"/>
          <w:lang w:val="sk-SK"/>
        </w:rPr>
        <w:t>)</w:t>
      </w:r>
      <w:r w:rsidRPr="009E0962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EDE26" w14:textId="77777777" w:rsidR="00064002" w:rsidRPr="004C40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8F82C" w14:textId="77777777" w:rsidR="00064002" w:rsidRPr="004C40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659B4" w14:textId="77777777" w:rsidR="00064002" w:rsidRPr="004C40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6423037">
    <w:abstractNumId w:val="9"/>
  </w:num>
  <w:num w:numId="2" w16cid:durableId="1071734866">
    <w:abstractNumId w:val="9"/>
  </w:num>
  <w:num w:numId="3" w16cid:durableId="772286698">
    <w:abstractNumId w:val="7"/>
  </w:num>
  <w:num w:numId="4" w16cid:durableId="1398094580">
    <w:abstractNumId w:val="7"/>
  </w:num>
  <w:num w:numId="5" w16cid:durableId="1139423328">
    <w:abstractNumId w:val="6"/>
  </w:num>
  <w:num w:numId="6" w16cid:durableId="2145466541">
    <w:abstractNumId w:val="6"/>
  </w:num>
  <w:num w:numId="7" w16cid:durableId="1430665302">
    <w:abstractNumId w:val="5"/>
  </w:num>
  <w:num w:numId="8" w16cid:durableId="963149820">
    <w:abstractNumId w:val="5"/>
  </w:num>
  <w:num w:numId="9" w16cid:durableId="1884753671">
    <w:abstractNumId w:val="4"/>
  </w:num>
  <w:num w:numId="10" w16cid:durableId="1162962901">
    <w:abstractNumId w:val="4"/>
  </w:num>
  <w:num w:numId="11" w16cid:durableId="203717439">
    <w:abstractNumId w:val="8"/>
  </w:num>
  <w:num w:numId="12" w16cid:durableId="1419476387">
    <w:abstractNumId w:val="8"/>
  </w:num>
  <w:num w:numId="13" w16cid:durableId="2026712645">
    <w:abstractNumId w:val="3"/>
  </w:num>
  <w:num w:numId="14" w16cid:durableId="266737117">
    <w:abstractNumId w:val="3"/>
  </w:num>
  <w:num w:numId="15" w16cid:durableId="1270940285">
    <w:abstractNumId w:val="2"/>
  </w:num>
  <w:num w:numId="16" w16cid:durableId="1205215913">
    <w:abstractNumId w:val="2"/>
  </w:num>
  <w:num w:numId="17" w16cid:durableId="1150248288">
    <w:abstractNumId w:val="1"/>
  </w:num>
  <w:num w:numId="18" w16cid:durableId="1321495153">
    <w:abstractNumId w:val="1"/>
  </w:num>
  <w:num w:numId="19" w16cid:durableId="7954159">
    <w:abstractNumId w:val="0"/>
  </w:num>
  <w:num w:numId="20" w16cid:durableId="1488979482">
    <w:abstractNumId w:val="0"/>
  </w:num>
  <w:num w:numId="21" w16cid:durableId="1187451009">
    <w:abstractNumId w:val="9"/>
  </w:num>
  <w:num w:numId="22" w16cid:durableId="364335897">
    <w:abstractNumId w:val="7"/>
  </w:num>
  <w:num w:numId="23" w16cid:durableId="210001988">
    <w:abstractNumId w:val="6"/>
  </w:num>
  <w:num w:numId="24" w16cid:durableId="1041054600">
    <w:abstractNumId w:val="5"/>
  </w:num>
  <w:num w:numId="25" w16cid:durableId="1793595134">
    <w:abstractNumId w:val="4"/>
  </w:num>
  <w:num w:numId="26" w16cid:durableId="2098405911">
    <w:abstractNumId w:val="8"/>
  </w:num>
  <w:num w:numId="27" w16cid:durableId="1063719409">
    <w:abstractNumId w:val="3"/>
  </w:num>
  <w:num w:numId="28" w16cid:durableId="700404233">
    <w:abstractNumId w:val="2"/>
  </w:num>
  <w:num w:numId="29" w16cid:durableId="155346286">
    <w:abstractNumId w:val="1"/>
  </w:num>
  <w:num w:numId="30" w16cid:durableId="1037774101">
    <w:abstractNumId w:val="0"/>
  </w:num>
  <w:num w:numId="31" w16cid:durableId="2101755583">
    <w:abstractNumId w:val="9"/>
  </w:num>
  <w:num w:numId="32" w16cid:durableId="1271203782">
    <w:abstractNumId w:val="7"/>
  </w:num>
  <w:num w:numId="33" w16cid:durableId="1313176471">
    <w:abstractNumId w:val="6"/>
  </w:num>
  <w:num w:numId="34" w16cid:durableId="1300191272">
    <w:abstractNumId w:val="5"/>
  </w:num>
  <w:num w:numId="35" w16cid:durableId="588736658">
    <w:abstractNumId w:val="4"/>
  </w:num>
  <w:num w:numId="36" w16cid:durableId="704259969">
    <w:abstractNumId w:val="8"/>
  </w:num>
  <w:num w:numId="37" w16cid:durableId="1983927857">
    <w:abstractNumId w:val="3"/>
  </w:num>
  <w:num w:numId="38" w16cid:durableId="1521698270">
    <w:abstractNumId w:val="2"/>
  </w:num>
  <w:num w:numId="39" w16cid:durableId="594485600">
    <w:abstractNumId w:val="1"/>
  </w:num>
  <w:num w:numId="40" w16cid:durableId="422186144">
    <w:abstractNumId w:val="0"/>
  </w:num>
  <w:num w:numId="41" w16cid:durableId="1287010316">
    <w:abstractNumId w:val="10"/>
  </w:num>
  <w:num w:numId="42" w16cid:durableId="1570653917">
    <w:abstractNumId w:val="10"/>
  </w:num>
  <w:num w:numId="43" w16cid:durableId="1111557750">
    <w:abstractNumId w:val="10"/>
  </w:num>
  <w:num w:numId="44" w16cid:durableId="816652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3/2025"/>
    <w:docVar w:name="dvlangue" w:val="SK"/>
    <w:docVar w:name="dvnumam" w:val="73"/>
    <w:docVar w:name="dvpe" w:val="776.772"/>
    <w:docVar w:name="dvrapporteur" w:val="Spravodajca: "/>
    <w:docVar w:name="dvtitre" w:val="Uznesenie Európskeho parlamentu z xx. decembra 2025 o európskej obrannej pripravenosti 2030: posúdenie potrieb2025/2142(INI)"/>
  </w:docVars>
  <w:rsids>
    <w:rsidRoot w:val="00580BB6"/>
    <w:rsid w:val="00002272"/>
    <w:rsid w:val="00024DB0"/>
    <w:rsid w:val="00064002"/>
    <w:rsid w:val="000677B9"/>
    <w:rsid w:val="000831BA"/>
    <w:rsid w:val="000A42CC"/>
    <w:rsid w:val="000C7016"/>
    <w:rsid w:val="000E7DD9"/>
    <w:rsid w:val="0010095E"/>
    <w:rsid w:val="00125B37"/>
    <w:rsid w:val="00151363"/>
    <w:rsid w:val="00160C03"/>
    <w:rsid w:val="00187494"/>
    <w:rsid w:val="001F32AE"/>
    <w:rsid w:val="00206301"/>
    <w:rsid w:val="002767FF"/>
    <w:rsid w:val="002B18FE"/>
    <w:rsid w:val="002B5493"/>
    <w:rsid w:val="002F39AA"/>
    <w:rsid w:val="00343214"/>
    <w:rsid w:val="00361C00"/>
    <w:rsid w:val="003911BF"/>
    <w:rsid w:val="00395FA1"/>
    <w:rsid w:val="003E15D4"/>
    <w:rsid w:val="00411CCE"/>
    <w:rsid w:val="0041666E"/>
    <w:rsid w:val="00421060"/>
    <w:rsid w:val="00471C19"/>
    <w:rsid w:val="004867E3"/>
    <w:rsid w:val="00494A28"/>
    <w:rsid w:val="004A7EC0"/>
    <w:rsid w:val="004C0004"/>
    <w:rsid w:val="004C400D"/>
    <w:rsid w:val="004C5D52"/>
    <w:rsid w:val="0050519A"/>
    <w:rsid w:val="005072A1"/>
    <w:rsid w:val="00514517"/>
    <w:rsid w:val="00545827"/>
    <w:rsid w:val="00560270"/>
    <w:rsid w:val="00580BB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85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FAE"/>
    <w:rsid w:val="00981893"/>
    <w:rsid w:val="009C6E10"/>
    <w:rsid w:val="009E096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8F2FC"/>
  <w15:chartTrackingRefBased/>
  <w15:docId w15:val="{976B0480-3E6E-4334-8A52-C5F1CA12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609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FD609F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D609F"/>
    <w:pPr>
      <w:spacing w:after="240"/>
      <w:jc w:val="center"/>
    </w:pPr>
  </w:style>
  <w:style w:type="paragraph" w:customStyle="1" w:styleId="Normal6a">
    <w:name w:val="Normal6a"/>
    <w:basedOn w:val="Normal"/>
    <w:rsid w:val="00FD609F"/>
    <w:pPr>
      <w:spacing w:after="120"/>
    </w:pPr>
  </w:style>
  <w:style w:type="character" w:customStyle="1" w:styleId="Bold">
    <w:name w:val="Bold"/>
    <w:uiPriority w:val="1"/>
    <w:rsid w:val="00FD609F"/>
    <w:rPr>
      <w:b/>
    </w:rPr>
  </w:style>
  <w:style w:type="character" w:customStyle="1" w:styleId="Italic">
    <w:name w:val="Italic"/>
    <w:uiPriority w:val="1"/>
    <w:rsid w:val="00FD609F"/>
    <w:rPr>
      <w:i/>
    </w:rPr>
  </w:style>
  <w:style w:type="paragraph" w:customStyle="1" w:styleId="Normal12a24b">
    <w:name w:val="Normal12a24b"/>
    <w:basedOn w:val="Normal"/>
    <w:rsid w:val="00FD609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FD609F"/>
    <w:rPr>
      <w:color w:val="0000FF"/>
      <w:u w:val="single"/>
    </w:rPr>
  </w:style>
  <w:style w:type="paragraph" w:styleId="Revision">
    <w:name w:val="Revision"/>
    <w:hidden/>
    <w:uiPriority w:val="99"/>
    <w:semiHidden/>
    <w:rsid w:val="00151363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2F3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s://data.europa.eu/doi/10.2889/6987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5629</Words>
  <Characters>34855</Characters>
  <Application>Microsoft Office Word</Application>
  <DocSecurity>0</DocSecurity>
  <Lines>290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2026-02-03T09:20:00Z</dcterms:created>
  <dcterms:modified xsi:type="dcterms:W3CDTF">2026-02-03T09:20:00Z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A10-0243/2025</vt:lpwstr>
  </property>
  <property fmtid="{D5CDD505-2E9C-101B-9397-08002B2CF9AE}" pid="4" name="&lt;Type&gt;">
    <vt:lpwstr>RR</vt:lpwstr>
  </property>
</Properties>
</file>