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2C88" w14:paraId="64FD61C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678434" w14:textId="77777777" w:rsidR="00751A4A" w:rsidRPr="005F2C88" w:rsidRDefault="009E3682" w:rsidP="0010095E">
            <w:pPr>
              <w:pStyle w:val="EPName"/>
            </w:pPr>
            <w:r w:rsidRPr="005F2C88">
              <w:t>Europski parlament</w:t>
            </w:r>
          </w:p>
          <w:p w14:paraId="79476ADF" w14:textId="77777777" w:rsidR="00751A4A" w:rsidRPr="005F2C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2C88">
              <w:t>2024</w:t>
            </w:r>
            <w:r w:rsidR="00817416" w:rsidRPr="005F2C88">
              <w:t>-202</w:t>
            </w:r>
            <w:r w:rsidRPr="005F2C88">
              <w:t>9</w:t>
            </w:r>
          </w:p>
        </w:tc>
        <w:tc>
          <w:tcPr>
            <w:tcW w:w="2268" w:type="dxa"/>
            <w:shd w:val="clear" w:color="auto" w:fill="auto"/>
          </w:tcPr>
          <w:p w14:paraId="43DBDEC1" w14:textId="77777777" w:rsidR="00751A4A" w:rsidRPr="005F2C88" w:rsidRDefault="00187494" w:rsidP="0010095E">
            <w:pPr>
              <w:pStyle w:val="EPLogo"/>
            </w:pPr>
            <w:r w:rsidRPr="005F2C88">
              <w:rPr>
                <w:noProof/>
                <w:lang w:eastAsia="ja-JP"/>
              </w:rPr>
              <w:drawing>
                <wp:inline distT="0" distB="0" distL="0" distR="0" wp14:anchorId="3F6F03FD" wp14:editId="20F8E0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9C52E6" w14:textId="77777777" w:rsidR="00D058B8" w:rsidRPr="005F2C88" w:rsidRDefault="00D058B8" w:rsidP="004C5D52">
      <w:pPr>
        <w:pStyle w:val="LineTop"/>
      </w:pPr>
    </w:p>
    <w:p w14:paraId="73253252" w14:textId="77777777" w:rsidR="00680577" w:rsidRPr="005F2C88" w:rsidRDefault="009E3682" w:rsidP="00680577">
      <w:pPr>
        <w:pStyle w:val="EPBodyTA1"/>
      </w:pPr>
      <w:r w:rsidRPr="005F2C88">
        <w:t>USVOJENI TEKSTOVI</w:t>
      </w:r>
    </w:p>
    <w:p w14:paraId="75085BC9" w14:textId="77777777" w:rsidR="00D058B8" w:rsidRPr="005F2C88" w:rsidRDefault="00D058B8" w:rsidP="00D058B8">
      <w:pPr>
        <w:pStyle w:val="LineBottom"/>
      </w:pPr>
    </w:p>
    <w:p w14:paraId="5CB632B7" w14:textId="41B473D8" w:rsidR="009E3682" w:rsidRPr="005F2C88" w:rsidRDefault="009E3682" w:rsidP="009E3682">
      <w:pPr>
        <w:pStyle w:val="ATHeading1"/>
      </w:pPr>
      <w:bookmarkStart w:id="0" w:name="TANumber"/>
      <w:r w:rsidRPr="005F2C88">
        <w:t>P10_TA(2025)0</w:t>
      </w:r>
      <w:r w:rsidR="00646E2D">
        <w:t>338</w:t>
      </w:r>
      <w:bookmarkEnd w:id="0"/>
    </w:p>
    <w:p w14:paraId="54C48AB1" w14:textId="77777777" w:rsidR="009E3682" w:rsidRPr="005F2C88" w:rsidRDefault="009E3682" w:rsidP="009E3682">
      <w:pPr>
        <w:pStyle w:val="ATHeading2"/>
      </w:pPr>
      <w:bookmarkStart w:id="1" w:name="title"/>
      <w:r w:rsidRPr="005F2C88">
        <w:t xml:space="preserve">Europska građanska inicijativa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: za siguran i dostupan pobačaj”</w:t>
      </w:r>
      <w:bookmarkEnd w:id="1"/>
    </w:p>
    <w:p w14:paraId="13099DF1" w14:textId="77777777" w:rsidR="009E3682" w:rsidRPr="005F2C88" w:rsidRDefault="009E3682" w:rsidP="009E3682">
      <w:pPr>
        <w:rPr>
          <w:i/>
          <w:vanish/>
        </w:rPr>
      </w:pPr>
      <w:r w:rsidRPr="005F2C88">
        <w:rPr>
          <w:i/>
        </w:rPr>
        <w:fldChar w:fldCharType="begin"/>
      </w:r>
      <w:r w:rsidRPr="005F2C88">
        <w:rPr>
          <w:i/>
        </w:rPr>
        <w:instrText xml:space="preserve"> TC"(</w:instrText>
      </w:r>
      <w:bookmarkStart w:id="2" w:name="DocNumber"/>
      <w:r w:rsidRPr="005F2C88">
        <w:rPr>
          <w:i/>
        </w:rPr>
        <w:instrText>B10-0558/2025</w:instrText>
      </w:r>
      <w:bookmarkEnd w:id="2"/>
      <w:r w:rsidRPr="005F2C88">
        <w:rPr>
          <w:i/>
        </w:rPr>
        <w:instrText xml:space="preserve">)"\l3 \n&gt; \* MERGEFORMAT </w:instrText>
      </w:r>
      <w:r w:rsidRPr="005F2C88">
        <w:rPr>
          <w:i/>
        </w:rPr>
        <w:fldChar w:fldCharType="end"/>
      </w:r>
    </w:p>
    <w:p w14:paraId="72FCE0C4" w14:textId="77777777" w:rsidR="009E3682" w:rsidRPr="005F2C88" w:rsidRDefault="009E3682" w:rsidP="009E3682">
      <w:pPr>
        <w:rPr>
          <w:vanish/>
        </w:rPr>
      </w:pPr>
      <w:bookmarkStart w:id="3" w:name="PE"/>
      <w:r w:rsidRPr="005F2C88">
        <w:rPr>
          <w:vanish/>
        </w:rPr>
        <w:t>PE781.257</w:t>
      </w:r>
      <w:bookmarkEnd w:id="3"/>
    </w:p>
    <w:p w14:paraId="6A47C493" w14:textId="2D050040" w:rsidR="009E3682" w:rsidRPr="005F2C88" w:rsidRDefault="009E3682" w:rsidP="009E3682">
      <w:pPr>
        <w:pStyle w:val="ATHeading3"/>
      </w:pPr>
      <w:bookmarkStart w:id="4" w:name="Sujet"/>
      <w:r w:rsidRPr="005F2C88">
        <w:t xml:space="preserve">Rezolucija Europskog parlamenta od </w:t>
      </w:r>
      <w:r w:rsidR="005F2C88">
        <w:t>17</w:t>
      </w:r>
      <w:r w:rsidRPr="005F2C88">
        <w:t xml:space="preserve">. </w:t>
      </w:r>
      <w:r w:rsidR="005F2C88">
        <w:t xml:space="preserve">prosinca </w:t>
      </w:r>
      <w:r w:rsidRPr="005F2C88">
        <w:t xml:space="preserve">2025. o europskoj građanskoj inicijativi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: za siguran i dostupan pobačaj”</w:t>
      </w:r>
      <w:bookmarkEnd w:id="4"/>
      <w:r w:rsidRPr="005F2C88">
        <w:t xml:space="preserve"> </w:t>
      </w:r>
      <w:bookmarkStart w:id="5" w:name="References"/>
      <w:r w:rsidRPr="005F2C88">
        <w:t>(2025/3007(RSP))</w:t>
      </w:r>
      <w:bookmarkEnd w:id="5"/>
    </w:p>
    <w:p w14:paraId="25B96ED9" w14:textId="77777777" w:rsidR="00320B32" w:rsidRPr="005F2C88" w:rsidRDefault="00320B32" w:rsidP="00320B32">
      <w:pPr>
        <w:pStyle w:val="EPComma"/>
      </w:pPr>
      <w:bookmarkStart w:id="6" w:name="TextBodyBegin"/>
      <w:bookmarkEnd w:id="6"/>
      <w:r w:rsidRPr="005F2C88">
        <w:rPr>
          <w:i/>
        </w:rPr>
        <w:t>Europski parlament</w:t>
      </w:r>
      <w:r w:rsidRPr="005F2C88">
        <w:t>,</w:t>
      </w:r>
    </w:p>
    <w:p w14:paraId="55DE34E7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europsku građansku inicijativu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: za siguran i dostupan pobačaj” (ECI(2024)000004),</w:t>
      </w:r>
    </w:p>
    <w:p w14:paraId="48A052FD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Provedbenu odluku Komisije (EU) 2024/1158 </w:t>
      </w:r>
      <w:proofErr w:type="spellStart"/>
      <w:r w:rsidRPr="005F2C88">
        <w:t>оd</w:t>
      </w:r>
      <w:proofErr w:type="spellEnd"/>
      <w:r w:rsidRPr="005F2C88">
        <w:t xml:space="preserve"> 10. travnja 2024. o zahtjevu za registraciju europske građanske inicijative pod nazivom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: za siguran i dostupan pobačaj” u skladu s Uredbom (EU) 2019/788 Europskog parlamenta i Vijeća</w:t>
      </w:r>
      <w:r w:rsidRPr="005F2C88">
        <w:rPr>
          <w:rStyle w:val="FootnoteReference"/>
        </w:rPr>
        <w:footnoteReference w:id="1"/>
      </w:r>
      <w:r w:rsidRPr="005F2C88">
        <w:t>,</w:t>
      </w:r>
    </w:p>
    <w:p w14:paraId="499CA247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članak 9., članak 19., članak 24. prvi stavak i članak 168. stavke 5. i 7. Ugovora o funkcioniranju Europske unije,</w:t>
      </w:r>
    </w:p>
    <w:p w14:paraId="190A6CFD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članak 2., članak 3. i članak 11. stavak 4. Ugovora o Europskoj uniji,</w:t>
      </w:r>
    </w:p>
    <w:p w14:paraId="4003EEAA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članke 1., 3., 4. i 21. Povelje Europske unije o temeljnim pravima,</w:t>
      </w:r>
    </w:p>
    <w:p w14:paraId="71E7D7E8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Konvenciju o ukidanju svih oblika diskriminacije žena iz 1979.,</w:t>
      </w:r>
    </w:p>
    <w:p w14:paraId="6652CB8D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Opću deklaraciju o ljudskim pravima iz 1948.,</w:t>
      </w:r>
    </w:p>
    <w:p w14:paraId="1157CC33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Europsku konvenciju o ljudskim pravima iz 1950.,</w:t>
      </w:r>
    </w:p>
    <w:p w14:paraId="70416A2F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Pekinšku deklaraciju i Platformu za djelovanje iz 1995.,</w:t>
      </w:r>
    </w:p>
    <w:p w14:paraId="18938CFB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svoju Rezoluciju od 26. studenoga 2020. o </w:t>
      </w:r>
      <w:r w:rsidRPr="005F2C88">
        <w:rPr>
          <w:i/>
        </w:rPr>
        <w:t>de facto</w:t>
      </w:r>
      <w:r w:rsidRPr="005F2C88">
        <w:t xml:space="preserve"> zabrani prava na pobačaj u Poljskoj</w:t>
      </w:r>
      <w:r w:rsidRPr="005F2C88">
        <w:rPr>
          <w:rStyle w:val="FootnoteReference"/>
        </w:rPr>
        <w:footnoteReference w:id="2"/>
      </w:r>
      <w:r w:rsidRPr="005F2C88">
        <w:t>,</w:t>
      </w:r>
    </w:p>
    <w:p w14:paraId="6F942F0E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svoju Rezoluciju od 24. lipnja 2021. o stanju u pogledu seksualnog i </w:t>
      </w:r>
      <w:r w:rsidRPr="005F2C88">
        <w:lastRenderedPageBreak/>
        <w:t>reproduktivnog zdravlja i prava u EU-u u kontekstu zdravlja žena</w:t>
      </w:r>
      <w:r w:rsidRPr="005F2C88">
        <w:rPr>
          <w:rStyle w:val="FootnoteReference"/>
        </w:rPr>
        <w:footnoteReference w:id="3"/>
      </w:r>
      <w:r w:rsidRPr="005F2C88">
        <w:t>,</w:t>
      </w:r>
    </w:p>
    <w:p w14:paraId="22DE1CEE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svoju Rezoluciju od 11. studenoga 2021. o prvoj obljetnici </w:t>
      </w:r>
      <w:r w:rsidRPr="005F2C88">
        <w:rPr>
          <w:i/>
        </w:rPr>
        <w:t>de facto</w:t>
      </w:r>
      <w:r w:rsidRPr="005F2C88">
        <w:t xml:space="preserve"> zabrane pobačaja u Poljskoj</w:t>
      </w:r>
      <w:r w:rsidRPr="005F2C88">
        <w:rPr>
          <w:rStyle w:val="FootnoteReference"/>
        </w:rPr>
        <w:footnoteReference w:id="4"/>
      </w:r>
      <w:r w:rsidRPr="005F2C88">
        <w:t>,</w:t>
      </w:r>
    </w:p>
    <w:p w14:paraId="3E089F37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5. svibnja 2022. o posljedicama koje rat u Ukrajini ostavlja na žene</w:t>
      </w:r>
      <w:r w:rsidRPr="005F2C88">
        <w:rPr>
          <w:rStyle w:val="FootnoteReference"/>
        </w:rPr>
        <w:footnoteReference w:id="5"/>
      </w:r>
      <w:r w:rsidRPr="005F2C88">
        <w:t>,</w:t>
      </w:r>
    </w:p>
    <w:p w14:paraId="6BD0E921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9. lipnja 2022. o prijetnjama pravu na pobačaj u svijetu: moguće ukidanje prava na pobačaj u SAD-u od strane Vrhovnog suda</w:t>
      </w:r>
      <w:r w:rsidRPr="005F2C88">
        <w:rPr>
          <w:rStyle w:val="FootnoteReference"/>
        </w:rPr>
        <w:footnoteReference w:id="6"/>
      </w:r>
      <w:r w:rsidRPr="005F2C88">
        <w:t>,</w:t>
      </w:r>
    </w:p>
    <w:p w14:paraId="488C8342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7. srpnja 2022. o odluci Vrhovnog suda SAD-a o ukidanju prava na pobačaj u Sjedinjenim Američkim Državama i potrebi za zaštitom prava na pobačaj i zdravlja žena u EU-u</w:t>
      </w:r>
      <w:r w:rsidRPr="005F2C88">
        <w:rPr>
          <w:rStyle w:val="FootnoteReference"/>
        </w:rPr>
        <w:footnoteReference w:id="7"/>
      </w:r>
      <w:r w:rsidRPr="005F2C88">
        <w:t>,</w:t>
      </w:r>
    </w:p>
    <w:p w14:paraId="519466F3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22. studenoga 2023. o prijedlozima Europskog parlamenta za izmjenu Ugovorâ</w:t>
      </w:r>
      <w:r w:rsidRPr="005F2C88">
        <w:rPr>
          <w:rStyle w:val="FootnoteReference"/>
        </w:rPr>
        <w:footnoteReference w:id="8"/>
      </w:r>
      <w:r w:rsidRPr="005F2C88">
        <w:t>,</w:t>
      </w:r>
    </w:p>
    <w:p w14:paraId="453E484D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28. veljače 2024. o Izvješću Komisije o vladavini prava za 2023.</w:t>
      </w:r>
      <w:r w:rsidRPr="005F2C88">
        <w:rPr>
          <w:rStyle w:val="FootnoteReference"/>
        </w:rPr>
        <w:footnoteReference w:id="9"/>
      </w:r>
      <w:r w:rsidRPr="005F2C88">
        <w:t>,</w:t>
      </w:r>
    </w:p>
    <w:p w14:paraId="01688B84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svoju Rezoluciju od 11. travnja 2024. o uključivanju prava na pobačaj u Povelju EU-a o temeljnim pravima</w:t>
      </w:r>
      <w:r w:rsidRPr="005F2C88">
        <w:rPr>
          <w:rStyle w:val="FootnoteReference"/>
        </w:rPr>
        <w:footnoteReference w:id="10"/>
      </w:r>
      <w:r w:rsidRPr="005F2C88">
        <w:t>,</w:t>
      </w:r>
    </w:p>
    <w:p w14:paraId="22BCFCC1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smjernice Svjetske zdravstvene organizacije (SZO) iz 2015. naslovljene „Siguran pobačaj: tehničke i političke smjernice za zdravstvene sustave”,</w:t>
      </w:r>
    </w:p>
    <w:p w14:paraId="47393BA0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Strategiju SZO-a za razdoblje 2017. – 2021. o zdravlju i dobrobiti žena u europskoj regiji SZO-a i povezano izvješće naslovljeno „Zdravlje i dobrobit žena u Europi: korak dalje od prednosti u pogledu smrtnosti”, koji su objavljeni 30. rujna 2016.,</w:t>
      </w:r>
    </w:p>
    <w:p w14:paraId="79B1415A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akcijski plan SZO-a naslovljen „Akcijski plan za spolno i reproduktivno zdravlje: prema ostvarenju ciljeva održivog razvoja do 2030. u Europi – nitko ne smije biti zapostavljen”, koji je objavljen 12. rujna 2016., </w:t>
      </w:r>
    </w:p>
    <w:p w14:paraId="20250226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smjernice SZO-a o skrbi povezanoj s pobačajem, objavljene 8. ožujka 2022., i drugo izdanje tih smjernica, objavljeno 24. kolovoza 2025.,</w:t>
      </w:r>
    </w:p>
    <w:p w14:paraId="46D0275F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komunikaciju Komisije od 5. ožujka 2020. naslovljenu „Unija ravnopravnosti: Strategija za rodnu ravnopravnost 2020. – 2025.” (COM(2020)0152),</w:t>
      </w:r>
    </w:p>
    <w:p w14:paraId="3A8350DD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komunikaciju Komisije od 12. studenoga 2020. naslovljenu „Unija </w:t>
      </w:r>
      <w:r w:rsidRPr="005F2C88">
        <w:lastRenderedPageBreak/>
        <w:t xml:space="preserve">ravnopravnosti: Strategija o ravnopravnosti LGBTIQ osoba 2020. – 2025.” </w:t>
      </w:r>
      <w:bookmarkStart w:id="7" w:name="_Hlk211931820"/>
      <w:r w:rsidRPr="005F2C88">
        <w:t>(COM(2020)0698),</w:t>
      </w:r>
      <w:bookmarkEnd w:id="7"/>
    </w:p>
    <w:p w14:paraId="5AC1F098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komunikaciju Komisije od 8. listopada 2025. naslovljenu „Unija ravnopravnosti: strategija o ravnopravnosti LGBTIQ+ osoba za razdoblje 2026. – 2030.” (COM(2025)0725),</w:t>
      </w:r>
    </w:p>
    <w:p w14:paraId="5D37EDE7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Plan EU-a za prava žena za 2025. (COM(2025)0097) i njegov prilog,</w:t>
      </w:r>
    </w:p>
    <w:p w14:paraId="45AEAC55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Direktivu 2011/24/EU Europskog parlamenta i Vijeća od 9. ožujka 2011. o primjeni prava pacijenata u prekograničnoj zdravstvenoj skrbi</w:t>
      </w:r>
      <w:r w:rsidRPr="005F2C88">
        <w:rPr>
          <w:rStyle w:val="FootnoteReference"/>
        </w:rPr>
        <w:footnoteReference w:id="11"/>
      </w:r>
      <w:r w:rsidRPr="005F2C88">
        <w:t>,</w:t>
      </w:r>
    </w:p>
    <w:p w14:paraId="5916048E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relevantnu sudsku praksu Europskog suda za ljudska prava u pogledu pristupa uslugama reproduktivne zdravstvene skrbi, uključujući njegovu presudu od 16. prosinca 2010. u predmetu </w:t>
      </w:r>
      <w:r w:rsidRPr="005F2C88">
        <w:rPr>
          <w:i/>
          <w:iCs/>
        </w:rPr>
        <w:t>A, B i C</w:t>
      </w:r>
      <w:r w:rsidRPr="005F2C88">
        <w:t xml:space="preserve"> / </w:t>
      </w:r>
      <w:r w:rsidRPr="005F2C88">
        <w:rPr>
          <w:i/>
          <w:iCs/>
        </w:rPr>
        <w:t>Irska</w:t>
      </w:r>
      <w:r w:rsidRPr="005F2C88">
        <w:t xml:space="preserve"> (zahtjev br. 25579/05), njegovu presudu od 30. listopada 2012. u predmetu </w:t>
      </w:r>
      <w:r w:rsidRPr="005F2C88">
        <w:rPr>
          <w:i/>
          <w:iCs/>
        </w:rPr>
        <w:t>P. i S.</w:t>
      </w:r>
      <w:r w:rsidRPr="005F2C88">
        <w:t xml:space="preserve"> / </w:t>
      </w:r>
      <w:r w:rsidRPr="005F2C88">
        <w:rPr>
          <w:i/>
          <w:iCs/>
        </w:rPr>
        <w:t>Poljska</w:t>
      </w:r>
      <w:r w:rsidRPr="005F2C88">
        <w:t xml:space="preserve"> (zahtjev br. 57375/08) i njegovu presudu od 25. srpnja 2017. u predmetu </w:t>
      </w:r>
      <w:proofErr w:type="spellStart"/>
      <w:r w:rsidRPr="005F2C88">
        <w:rPr>
          <w:i/>
          <w:iCs/>
        </w:rPr>
        <w:t>Carvalho</w:t>
      </w:r>
      <w:proofErr w:type="spellEnd"/>
      <w:r w:rsidRPr="005F2C88">
        <w:rPr>
          <w:i/>
          <w:iCs/>
        </w:rPr>
        <w:t xml:space="preserve"> Pinto de </w:t>
      </w:r>
      <w:proofErr w:type="spellStart"/>
      <w:r w:rsidRPr="005F2C88">
        <w:rPr>
          <w:i/>
          <w:iCs/>
        </w:rPr>
        <w:t>Sousa</w:t>
      </w:r>
      <w:proofErr w:type="spellEnd"/>
      <w:r w:rsidRPr="005F2C88">
        <w:rPr>
          <w:i/>
          <w:iCs/>
        </w:rPr>
        <w:t xml:space="preserve"> </w:t>
      </w:r>
      <w:proofErr w:type="spellStart"/>
      <w:r w:rsidRPr="005F2C88">
        <w:rPr>
          <w:i/>
          <w:iCs/>
        </w:rPr>
        <w:t>Morais</w:t>
      </w:r>
      <w:proofErr w:type="spellEnd"/>
      <w:r w:rsidRPr="005F2C88">
        <w:t xml:space="preserve"> / </w:t>
      </w:r>
      <w:r w:rsidRPr="005F2C88">
        <w:rPr>
          <w:i/>
          <w:iCs/>
        </w:rPr>
        <w:t>Portugal</w:t>
      </w:r>
      <w:r w:rsidRPr="005F2C88">
        <w:t xml:space="preserve"> (zahtjev br. 17484/15),</w:t>
      </w:r>
    </w:p>
    <w:p w14:paraId="3CB9A6F5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izvješće Centra za reproduktivna prava od 23. rujna 2025. naslovljeno „Europski zakoni o pobačaju 2025. – politike, napredak i izazovi”,</w:t>
      </w:r>
    </w:p>
    <w:p w14:paraId="3946EA02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 xml:space="preserve">uzimajući u obzir dokument Europskog parlamentarnog foruma za spolna i reproduktivna prava naslovljen „Atlas Europe prema politici u području kontracepcije 2025.”, objavljen 14. veljače 2025., </w:t>
      </w:r>
    </w:p>
    <w:p w14:paraId="708C22DE" w14:textId="77777777" w:rsidR="00320B32" w:rsidRPr="005F2C88" w:rsidRDefault="00320B32" w:rsidP="00320B32">
      <w:pPr>
        <w:pStyle w:val="NormalHanging12a"/>
      </w:pPr>
      <w:r w:rsidRPr="005F2C88">
        <w:t>–</w:t>
      </w:r>
      <w:r w:rsidRPr="005F2C88">
        <w:tab/>
        <w:t>uzimajući u obzir članak 228. stavak 8. Poslovnika,</w:t>
      </w:r>
    </w:p>
    <w:p w14:paraId="4B229E2D" w14:textId="77777777" w:rsidR="00320B32" w:rsidRPr="005F2C88" w:rsidDel="00D97F92" w:rsidRDefault="00320B32" w:rsidP="00320B32">
      <w:pPr>
        <w:pStyle w:val="NormalHanging12a"/>
      </w:pPr>
      <w:r w:rsidRPr="005F2C88">
        <w:t>–</w:t>
      </w:r>
      <w:r w:rsidRPr="005F2C88">
        <w:tab/>
        <w:t>uzimajući u obzir Prijedlog rezolucije Odbora za prava žena i rodnu ravnopravnost,</w:t>
      </w:r>
    </w:p>
    <w:p w14:paraId="0A1B042F" w14:textId="77777777" w:rsidR="00320B32" w:rsidRPr="005F2C88" w:rsidRDefault="00320B32" w:rsidP="00320B32">
      <w:pPr>
        <w:pStyle w:val="NormalHanging12a"/>
      </w:pPr>
      <w:r w:rsidRPr="005F2C88">
        <w:t>A.</w:t>
      </w:r>
      <w:r w:rsidRPr="005F2C88">
        <w:tab/>
        <w:t>budući da je europska građanska inicijativa instrument s pomoću kojeg građani EU-a mogu pozvati Komisiju da predloži novo zakonodavstvo; budući da, kad europska građanska inicijativa prikupi najmanje milijun potpisa, Komisija u roku od šest mjeseci od njezina potvrđivanja mora navesti koje mjere namjerava poduzeti kao odgovor na tu inicijativu;</w:t>
      </w:r>
    </w:p>
    <w:p w14:paraId="497C3EC3" w14:textId="77777777" w:rsidR="00320B32" w:rsidRPr="005F2C88" w:rsidRDefault="00320B32" w:rsidP="00320B32">
      <w:pPr>
        <w:pStyle w:val="NormalHanging12a"/>
      </w:pPr>
      <w:r w:rsidRPr="005F2C88">
        <w:t>B.</w:t>
      </w:r>
      <w:r w:rsidRPr="005F2C88">
        <w:tab/>
        <w:t xml:space="preserve">budući da je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” građanski pokret koji okuplja više od 300 organizacija diljem Europe; budući da taj pokret poziva EU da osigura siguran i dostupan pobačaj za sve i zahtijeva od EU-a da donese zakonodavstvo kojim bi se stvorio financijski mehanizam za pomoć državama članicama koje se dobrovoljno priključe mehanizmu za pružanje sigurne skrbi u vezi s pobačajem za sve one koji mu nemaju pristup;</w:t>
      </w:r>
    </w:p>
    <w:p w14:paraId="3E80A7D1" w14:textId="77777777" w:rsidR="00320B32" w:rsidRPr="005F2C88" w:rsidRDefault="00320B32" w:rsidP="00320B32">
      <w:pPr>
        <w:pStyle w:val="NormalHanging12a"/>
      </w:pPr>
      <w:r w:rsidRPr="005F2C88">
        <w:t>C.</w:t>
      </w:r>
      <w:r w:rsidRPr="005F2C88">
        <w:tab/>
        <w:t>budući da je u Odluci (EU) 2024/1158 o registraciji te europske građanske inicijative Komisija navela da se „čini da sama činjenica pružanja financijske potpore za pružanje te vrste zdravstvenih usluga ne bi bila izravno ciljano zadiranje u nadležnosti država članica za utvrđivanje vlastite zdravstvene politike i organizaciju pružanja zdravstvenih usluga”;</w:t>
      </w:r>
    </w:p>
    <w:p w14:paraId="68B2C2C2" w14:textId="77777777" w:rsidR="00320B32" w:rsidRPr="005F2C88" w:rsidRDefault="00320B32" w:rsidP="00320B32">
      <w:pPr>
        <w:pStyle w:val="NormalHanging12a"/>
      </w:pPr>
      <w:r w:rsidRPr="005F2C88">
        <w:t>D.</w:t>
      </w:r>
      <w:r w:rsidRPr="005F2C88">
        <w:tab/>
        <w:t xml:space="preserve">budući da je pristup spolnom i reproduktivnom zdravlju i pravima, uključujući sigurnu, </w:t>
      </w:r>
      <w:r w:rsidRPr="005F2C88">
        <w:lastRenderedPageBreak/>
        <w:t>univerzalno dostupnu i zakonitu skrb u vezi s pobačajem, jedno od temeljnih prava; budući da se zabranom pristupa reproduktivnoj skrbi ne smanjuje potreba za skrbi u vezi s pobačajem, već se povećava učestalost pribjegavanja nesigurnom pobačaju, što negativno utječe na mnoga područja života žena i djevojčica, uključujući njihovu plodnost i smrtnost, ili prisiljava pacijentice da putuju u inozemstvo kako bi dobile zakonitu skrb u vezi s pobačajem;</w:t>
      </w:r>
    </w:p>
    <w:p w14:paraId="2CE67168" w14:textId="77777777" w:rsidR="00320B32" w:rsidRPr="005F2C88" w:rsidRDefault="00320B32" w:rsidP="00320B32">
      <w:pPr>
        <w:pStyle w:val="NormalHanging12a"/>
      </w:pPr>
      <w:r w:rsidRPr="005F2C88">
        <w:t>E.</w:t>
      </w:r>
      <w:r w:rsidRPr="005F2C88">
        <w:tab/>
        <w:t>budući da se mora zajamčiti pravo pojedinaca da ostvaruju svoju reproduktivnu autonomiju, uključujući pravo da slobodno i odgovorno odlučuju o tome hoće li, kada i kako imati djecu, kako bi se postigla rodna ravnopravnost i potpuno uživanje ljudskih prava za sve u Europi; budući da se pravo na tjelesni integritet i autonomiju mora u potpunosti poštovati i jamčiti;</w:t>
      </w:r>
    </w:p>
    <w:p w14:paraId="1F996FF6" w14:textId="77777777" w:rsidR="00320B32" w:rsidRPr="005F2C88" w:rsidRDefault="00320B32" w:rsidP="00320B32">
      <w:pPr>
        <w:pStyle w:val="NormalHanging12a"/>
      </w:pPr>
      <w:r w:rsidRPr="005F2C88">
        <w:t>F.</w:t>
      </w:r>
      <w:r w:rsidRPr="005F2C88">
        <w:tab/>
        <w:t>budući da, prema Odboru UN-a za ukidanje diskriminacije žena, pravo žena na zdravlje uključuje njihova spolna i reproduktivna prava te da Odbor u svojoj Općoj preporuci br. 35 navodi da su „kršenja spolnog i reproduktivnog zdravlja i prava žena, kao što su prisilna sterilizacija, prisilni pobačaj, prisilna trudnoća, kriminalizacija pobačaja, uskraćivanje ili odgoda sigurnog pobačaja ili skrbi nakon pobačaja, prisilni nastavak trudnoće te zlostavljanje i maltretiranje žena i djevojčica koje traže informacije, robu i usluge povezane sa spolnim i reproduktivnim zdravljem, oblici rodno uvjetovanog nasilja koji se, ovisno o okolnostima, mogu smatrati mučenjem ili okrutnim, neljudskim ili ponižavajućim postupanjem”; budući da taj odbor poziva države da stave izvan snage zakone kojima se kriminalizira pobačaj; budući da SZO i međunarodna tijela za ljudska prava pozivaju zemlje da legaliziraju pobačaj na zahtjev i uklone nepotrebne i štetne prepreke kojima se odgađa ili sprečava pravodoban pristup skrbi povezanoj s pobačajem;</w:t>
      </w:r>
    </w:p>
    <w:p w14:paraId="5C68E74A" w14:textId="77777777" w:rsidR="00320B32" w:rsidRPr="005F2C88" w:rsidRDefault="00320B32" w:rsidP="00320B32">
      <w:pPr>
        <w:pStyle w:val="NormalHanging12a"/>
      </w:pPr>
      <w:r w:rsidRPr="005F2C88">
        <w:t>G.</w:t>
      </w:r>
      <w:r w:rsidRPr="005F2C88">
        <w:tab/>
        <w:t>budući da su spolno i reproduktivno zdravlje i prava uključeni u ciljeve održivog razvoja UN-a, posebno cilj 3.7. o osiguravanju univerzalnog pristupa uslugama zdravstvene skrbi u području spolnog i reproduktivnog zdravlja te cilj 5.6. o osiguravanju univerzalnog pristupa spolnom i reproduktivnom zdravlju i pravima;</w:t>
      </w:r>
    </w:p>
    <w:p w14:paraId="3F7DE131" w14:textId="77777777" w:rsidR="00320B32" w:rsidRPr="005F2C88" w:rsidRDefault="00320B32" w:rsidP="00320B32">
      <w:pPr>
        <w:pStyle w:val="NormalHanging12a"/>
      </w:pPr>
      <w:r w:rsidRPr="005F2C88">
        <w:t>H.</w:t>
      </w:r>
      <w:r w:rsidRPr="005F2C88">
        <w:tab/>
        <w:t>budući da je ostvarenje spolnog i reproduktivnog zdravlja i prava ključno za poštovanje ljudskog dostojanstva te je neodvojivo povezano s borbom protiv seksualnog i rodno uvjetovanog nasilja, postizanjem rodne ravnopravnosti i poštovanjem drugih ljudskih prava, kao što su prava na život, zdravlje, privatnost i sigurnost osobe, nediskriminacija, jednakost pred zakonom i sloboda od mučenja i drugog okrutnog, nečovječnog ili ponižavajućeg postupanja ili kažnjavanja;</w:t>
      </w:r>
    </w:p>
    <w:p w14:paraId="5B34F070" w14:textId="77777777" w:rsidR="00320B32" w:rsidRPr="005F2C88" w:rsidRDefault="00320B32" w:rsidP="00320B32">
      <w:pPr>
        <w:pStyle w:val="NormalHanging12a"/>
      </w:pPr>
      <w:r w:rsidRPr="005F2C88">
        <w:t>I.</w:t>
      </w:r>
      <w:r w:rsidRPr="005F2C88">
        <w:tab/>
        <w:t>budući da nemogućnost pristupa univerzalno dostupnom, sigurnom i zakonitom pobačaju izravno ograničava prava žena, uključujući njihova prava na samoodređenje, tjelesni i mentalni integritet, zdravlje, obrazovanje i rad; budući da ograničavanje takvih prava svodi žene na njihovu reproduktivnu ulogu i time stvara diskriminaciju na temelju spola;</w:t>
      </w:r>
    </w:p>
    <w:p w14:paraId="18F8D826" w14:textId="77777777" w:rsidR="00320B32" w:rsidRPr="005F2C88" w:rsidRDefault="00320B32" w:rsidP="00320B32">
      <w:pPr>
        <w:pStyle w:val="NormalHanging12a"/>
      </w:pPr>
      <w:r w:rsidRPr="005F2C88">
        <w:t>J.</w:t>
      </w:r>
      <w:r w:rsidRPr="005F2C88">
        <w:tab/>
        <w:t xml:space="preserve">budući da su mnoge države članice EU-a poduzele smislene zakonodavne korake kako bi unaprijedile pristup pobačaju uklanjanjem štetnih </w:t>
      </w:r>
      <w:proofErr w:type="spellStart"/>
      <w:r w:rsidRPr="005F2C88">
        <w:t>postupovnih</w:t>
      </w:r>
      <w:proofErr w:type="spellEnd"/>
      <w:r w:rsidRPr="005F2C88">
        <w:t xml:space="preserve"> i regulatornih prepreka te ukidanjem kaznenih sankcija; budući da, međutim, dvije države članice i dalje ne dopuštaju pobačaj na zahtjev, osam država članica i dalje ima obvezno razdoblje čekanja, a nekoliko država članica ne nadoknađuje ni ne subvencionira skrb povezanu s pobačajem ili nudi samo ograničenu financijsku pokrivenost; budući da 11 zemalja u </w:t>
      </w:r>
      <w:r w:rsidRPr="005F2C88">
        <w:lastRenderedPageBreak/>
        <w:t xml:space="preserve">Europi ne pruža mogućnost medicinskog pobačaja (tj. </w:t>
      </w:r>
      <w:proofErr w:type="spellStart"/>
      <w:r w:rsidRPr="005F2C88">
        <w:t>nekirurškog</w:t>
      </w:r>
      <w:proofErr w:type="spellEnd"/>
      <w:r w:rsidRPr="005F2C88">
        <w:t xml:space="preserve"> pobačaja), a samo pet zemalja dopušta skrb u vezi s pobačajem putem telemedicine; budući da se rokovi za pobačaj na zahtjev znatno razlikuju unutar Europe, odnosno variraju od 10 tjedana do 24 tjedna;</w:t>
      </w:r>
    </w:p>
    <w:p w14:paraId="1D88ED05" w14:textId="77777777" w:rsidR="00320B32" w:rsidRPr="005F2C88" w:rsidRDefault="00320B32" w:rsidP="00320B32">
      <w:pPr>
        <w:pStyle w:val="NormalHanging12a"/>
      </w:pPr>
      <w:r w:rsidRPr="005F2C88">
        <w:t>K.</w:t>
      </w:r>
      <w:r w:rsidRPr="005F2C88">
        <w:tab/>
        <w:t>budući da neke države članice i dalje zadržavaju regresivne prepreke pristupu pobačaju, uključujući obvezno savjetovanje, mogućnost da zdravstveni djelatnici odbiju pružiti skrb povezanu s pobačajem, obvezne ultrazvuke, nedovoljnu pokrivenost financijskih troškova, obvezna odobrenja trećih strana, ograničenja razloga za odobravanje skrbi povezane s pobačajem i ograničenja metoda pobačaja; budući da su neke države članice čak nedavno uvele takve prepreke;</w:t>
      </w:r>
    </w:p>
    <w:p w14:paraId="28F989AC" w14:textId="77777777" w:rsidR="00320B32" w:rsidRPr="005F2C88" w:rsidRDefault="00320B32" w:rsidP="00320B32">
      <w:pPr>
        <w:pStyle w:val="NormalHanging12a"/>
      </w:pPr>
      <w:r w:rsidRPr="005F2C88">
        <w:t>L.</w:t>
      </w:r>
      <w:r w:rsidRPr="005F2C88">
        <w:tab/>
        <w:t>budući da podaci pokazuju da se većina pobačaja obavlja u prvom tromjesečju i da većina žena koje imaju pobačaj već ima djecu, da su u braku ili u dugoročnoj vezi ili da su u to vrijeme upotrebljavale kontracepciju;</w:t>
      </w:r>
    </w:p>
    <w:p w14:paraId="08234F73" w14:textId="77777777" w:rsidR="00320B32" w:rsidRPr="005F2C88" w:rsidRDefault="00320B32" w:rsidP="00320B32">
      <w:pPr>
        <w:pStyle w:val="NormalHanging12a"/>
      </w:pPr>
      <w:r w:rsidRPr="005F2C88">
        <w:t>M.</w:t>
      </w:r>
      <w:r w:rsidRPr="005F2C88">
        <w:tab/>
        <w:t>budući da oko 20 milijuna žena u Europi</w:t>
      </w:r>
      <w:r w:rsidRPr="005F2C88">
        <w:rPr>
          <w:vertAlign w:val="superscript"/>
        </w:rPr>
        <w:footnoteReference w:id="12"/>
      </w:r>
      <w:r w:rsidRPr="005F2C88">
        <w:t xml:space="preserve"> nema pristup sigurnoj i zakonitoj skrbi povezanoj s pobačajem te da je njihovo zdravlje i dalje ugroženo; budući da ta brojka uključuje žene koje bježe od sukoba i ratova te migrantice;</w:t>
      </w:r>
    </w:p>
    <w:p w14:paraId="4DAB9896" w14:textId="77777777" w:rsidR="00320B32" w:rsidRPr="005F2C88" w:rsidRDefault="00320B32" w:rsidP="00320B32">
      <w:pPr>
        <w:pStyle w:val="NormalHanging12a"/>
      </w:pPr>
      <w:r w:rsidRPr="005F2C88">
        <w:t>N.</w:t>
      </w:r>
      <w:r w:rsidRPr="005F2C88">
        <w:tab/>
        <w:t>budući da su mnoge žene prisiljene putovati preko granica kako bi pristupile skrbi povezanoj s pobačajem u drugoj zemlji EU-a, pri čemu se često suočavaju s financijskim, logističkim i psihološkim preprekama, unatoč tome što postoje pravila EU-a o prekograničnoj zdravstvenoj skrbi;</w:t>
      </w:r>
    </w:p>
    <w:p w14:paraId="4B0999F8" w14:textId="29BD332E" w:rsidR="00320B32" w:rsidRPr="005F2C88" w:rsidRDefault="00320B32" w:rsidP="00320B32">
      <w:pPr>
        <w:pStyle w:val="NormalHanging12a"/>
      </w:pPr>
      <w:r w:rsidRPr="005F2C88">
        <w:t>O.</w:t>
      </w:r>
      <w:r w:rsidRPr="005F2C88">
        <w:tab/>
        <w:t>budući da prema Ugovoru o funkcioniranju Europske unije „Unija uzima u obzir zahtjeve povezane sa ... zaštitom zdravlja ljudi” (članak 9.) i da može „usvajati i poticajne mjere čiji je cilj štititi i poboljšati zdravlje ljudi” (članak 168.);</w:t>
      </w:r>
    </w:p>
    <w:p w14:paraId="4A649303" w14:textId="77777777" w:rsidR="00320B32" w:rsidRDefault="00320B32" w:rsidP="00320B32">
      <w:pPr>
        <w:pStyle w:val="NormalHanging12a"/>
      </w:pPr>
      <w:r w:rsidRPr="005F2C88">
        <w:t>P.</w:t>
      </w:r>
      <w:r w:rsidRPr="005F2C88">
        <w:tab/>
        <w:t xml:space="preserve">budući da bi sve žene i djevojčice trebale imati jednak pristup zdravstvenim uslugama bez obzira na to gdje borave, bez diskriminacije; budući da se marginalizirane osobe, uključujući rasne, etničke i vjerske manjine, migrante, osobe u nepovoljnom socioekonomskom položaju, osobe koje žive u ruralnim područjima, osobe s invaliditetom, pripadnike zajednice LGBTQI+ i žrtve nasilja, često suočavaju s dodatnim preprekama, </w:t>
      </w:r>
      <w:proofErr w:type="spellStart"/>
      <w:r w:rsidRPr="005F2C88">
        <w:t>intersekcijskom</w:t>
      </w:r>
      <w:proofErr w:type="spellEnd"/>
      <w:r w:rsidRPr="005F2C88">
        <w:t xml:space="preserve"> diskriminacijom i nasiljem u pristupu zdravstvenoj skrbi;</w:t>
      </w:r>
    </w:p>
    <w:p w14:paraId="76841A22" w14:textId="1C7B6068" w:rsidR="00646E2D" w:rsidRPr="00646E2D" w:rsidRDefault="00646E2D" w:rsidP="00320B32">
      <w:pPr>
        <w:pStyle w:val="NormalHanging12a"/>
        <w:rPr>
          <w:bCs/>
          <w:iCs/>
        </w:rPr>
      </w:pPr>
      <w:r>
        <w:rPr>
          <w:bCs/>
          <w:iCs/>
        </w:rPr>
        <w:t>Q</w:t>
      </w:r>
      <w:r w:rsidRPr="007556E4">
        <w:rPr>
          <w:bCs/>
          <w:iCs/>
        </w:rPr>
        <w:t>.</w:t>
      </w:r>
      <w:r w:rsidRPr="007556E4">
        <w:rPr>
          <w:bCs/>
          <w:iCs/>
        </w:rPr>
        <w:tab/>
        <w:t>budući da samo biološke žene mogu zatrudnjeti i rađati djecu;</w:t>
      </w:r>
    </w:p>
    <w:p w14:paraId="0F68C4B7" w14:textId="5A61257B" w:rsidR="00320B32" w:rsidRPr="005F2C88" w:rsidRDefault="00646E2D" w:rsidP="00320B32">
      <w:pPr>
        <w:pStyle w:val="NormalHanging12a"/>
      </w:pPr>
      <w:r>
        <w:t>R</w:t>
      </w:r>
      <w:r w:rsidR="00320B32" w:rsidRPr="005F2C88">
        <w:t>.</w:t>
      </w:r>
      <w:r w:rsidR="00320B32" w:rsidRPr="005F2C88">
        <w:tab/>
        <w:t>budući da su razlike u skrbi povezanoj s pobačajem u Europi stvarnost; budući da zdravstveni sustavi nekih država članica već moraju obuhvatiti pacijentice iz drugih država članica koje traže skrb u vezi s pobačajem zbog ograničenja koja ondje postoje, stoga se ovom europskom građanskom inicijativom predlaže financijska kompenzacija za te države članice;</w:t>
      </w:r>
    </w:p>
    <w:p w14:paraId="414F662A" w14:textId="5BE7BB3F" w:rsidR="00320B32" w:rsidRPr="005F2C88" w:rsidRDefault="00646E2D" w:rsidP="00320B32">
      <w:pPr>
        <w:pStyle w:val="NormalHanging12a"/>
      </w:pPr>
      <w:r>
        <w:t>S</w:t>
      </w:r>
      <w:r w:rsidR="00320B32" w:rsidRPr="005F2C88">
        <w:t>.</w:t>
      </w:r>
      <w:r w:rsidR="00320B32" w:rsidRPr="005F2C88">
        <w:tab/>
        <w:t>budući da neke žene ne mogu putovati radi pristupa skrbi povezanoj s pobačajem zbog financijskih ograničenja;</w:t>
      </w:r>
    </w:p>
    <w:p w14:paraId="1E0F3041" w14:textId="64073860" w:rsidR="00320B32" w:rsidRPr="005F2C88" w:rsidRDefault="00646E2D" w:rsidP="00320B32">
      <w:pPr>
        <w:pStyle w:val="NormalHanging12a"/>
      </w:pPr>
      <w:r>
        <w:lastRenderedPageBreak/>
        <w:t>T</w:t>
      </w:r>
      <w:r w:rsidR="00320B32" w:rsidRPr="005F2C88">
        <w:t>.</w:t>
      </w:r>
      <w:r w:rsidR="00320B32" w:rsidRPr="005F2C88">
        <w:tab/>
        <w:t>budući da postojeće zakonodavstvo EU-a nije prikladno za odgovor na izazove prekogranične skrbi povezane s pobačajem;</w:t>
      </w:r>
    </w:p>
    <w:p w14:paraId="47BADCAB" w14:textId="77777777" w:rsidR="00320B32" w:rsidRPr="005F2C88" w:rsidRDefault="00320B32" w:rsidP="00320B32">
      <w:pPr>
        <w:pStyle w:val="NormalHanging12a"/>
      </w:pPr>
      <w:r w:rsidRPr="005F2C88">
        <w:t>1.</w:t>
      </w:r>
      <w:r w:rsidRPr="005F2C88">
        <w:tab/>
        <w:t xml:space="preserve">pozdravlja europsku građansku inicijativu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”, koja je prikupila 1,2 milijuna potpisa i koju je Komisija službeno priznala 1. rujna 2025., te ističe da je tom inicijativom stvoren dosad nezabilježen pokret diljem Europe koji okuplja razne građane, posebno mlade;</w:t>
      </w:r>
    </w:p>
    <w:p w14:paraId="66B068A8" w14:textId="77777777" w:rsidR="00320B32" w:rsidRPr="005F2C88" w:rsidRDefault="00320B32" w:rsidP="00320B32">
      <w:pPr>
        <w:pStyle w:val="NormalHanging12a"/>
      </w:pPr>
      <w:r w:rsidRPr="005F2C88">
        <w:t>2.</w:t>
      </w:r>
      <w:r w:rsidRPr="005F2C88">
        <w:tab/>
        <w:t xml:space="preserve">poziva Komisiju da u skladu s prijedlogom europske građanske inicijative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” uspostavi mehanizam u kojem će države članice moći sudjelovati na dobrovoljnoj osnovi, uz financijsku potporu EU-a kako bi se osigurala solidarnost, bez uplitanja u nacionalne zakone i propise; poziva Komisiju da podnese prijedlog kojim bi se državama članicama pružila financijska potpora kako bi im se omogućilo da osiguraju siguran prekid trudnoće, u skladu sa svojim nacionalnim pravom, za sve osobe u EU-u koje još uvijek nemaju pristup sigurnom i zakonitom pobačaju;</w:t>
      </w:r>
    </w:p>
    <w:p w14:paraId="18ABDB63" w14:textId="77777777" w:rsidR="00320B32" w:rsidRPr="005F2C88" w:rsidRDefault="00320B32" w:rsidP="00320B32">
      <w:pPr>
        <w:pStyle w:val="NormalHanging12a"/>
      </w:pPr>
      <w:r w:rsidRPr="005F2C88">
        <w:t>3.</w:t>
      </w:r>
      <w:r w:rsidRPr="005F2C88">
        <w:tab/>
        <w:t xml:space="preserve">naglašava da je europska građanska inicijativa „My </w:t>
      </w:r>
      <w:proofErr w:type="spellStart"/>
      <w:r w:rsidRPr="005F2C88">
        <w:t>Voice</w:t>
      </w:r>
      <w:proofErr w:type="spellEnd"/>
      <w:r w:rsidRPr="005F2C88">
        <w:t xml:space="preserve">, My </w:t>
      </w:r>
      <w:proofErr w:type="spellStart"/>
      <w:r w:rsidRPr="005F2C88">
        <w:t>Choice</w:t>
      </w:r>
      <w:proofErr w:type="spellEnd"/>
      <w:r w:rsidRPr="005F2C88">
        <w:t>” izravan poziv građana EU-a i da joj je cilj stvoriti sigurniji i ravnopravniji EU koji pruža jednaku razinu zdravstvenih usluga svima u Europi te EU koji ljudima nudi priliku za slobodniji, sigurniji i bolji život bez obzira na to gdje žive i u kakvim se uvjetima nalaze; napominje da je cilj predloženog programa služiti širokoj skupini pacijentica u širokom spektru usluga povezanih s pobačajem;</w:t>
      </w:r>
    </w:p>
    <w:p w14:paraId="140C1D17" w14:textId="77777777" w:rsidR="00320B32" w:rsidRPr="005F2C88" w:rsidRDefault="00320B32" w:rsidP="00320B32">
      <w:pPr>
        <w:pStyle w:val="NormalHanging12a"/>
      </w:pPr>
      <w:r w:rsidRPr="005F2C88">
        <w:t>4.</w:t>
      </w:r>
      <w:r w:rsidRPr="005F2C88">
        <w:tab/>
        <w:t>podsjeća da su nediskriminacija, mentalni i tjelesni integritet, koordinacija i zajamčeni minimalni standardi za zdravstvenu skrb u svim državama članicama dio naših europskih vrijednosti i da ih je potrebno braniti; naglašava da EU ima važnu ulogu u podupiranju napora država članica da unaprijede pružanje kvalitetnih usluga u području spolnog i reproduktivnog zdravlja i prava, uključujući skrb u vezi s pobačajem;</w:t>
      </w:r>
    </w:p>
    <w:p w14:paraId="2FC4B0B5" w14:textId="77777777" w:rsidR="00320B32" w:rsidRPr="005F2C88" w:rsidRDefault="00320B32" w:rsidP="00320B32">
      <w:pPr>
        <w:pStyle w:val="NormalHanging12a"/>
      </w:pPr>
      <w:r w:rsidRPr="005F2C88">
        <w:t>5.</w:t>
      </w:r>
      <w:r w:rsidRPr="005F2C88">
        <w:tab/>
        <w:t xml:space="preserve">osuđuje nazadovanje u pogledu prava žena i rodne ravnopravnosti u Europi i svijetu, uključujući nazadovanje u pogledu spolnog i reproduktivnog zdravlja i prava te napade na borce za spolno i reproduktivno zdravlje i prava; oštro osuđuje </w:t>
      </w:r>
      <w:proofErr w:type="spellStart"/>
      <w:r w:rsidRPr="005F2C88">
        <w:t>antirodne</w:t>
      </w:r>
      <w:proofErr w:type="spellEnd"/>
      <w:r w:rsidRPr="005F2C88">
        <w:t xml:space="preserve"> pokrete kojima se nastoje ugroziti rodna ravnopravnost i prava žena; poziva na snažnije europsko djelovanje kako bi se suzbili </w:t>
      </w:r>
      <w:proofErr w:type="spellStart"/>
      <w:r w:rsidRPr="005F2C88">
        <w:t>antirodni</w:t>
      </w:r>
      <w:proofErr w:type="spellEnd"/>
      <w:r w:rsidRPr="005F2C88">
        <w:t xml:space="preserve"> pokreti, zaštitila tjelesna autonomija i osigurao univerzalan pristup spolnom i reproduktivnom zdravlju i pravima, uključujući informacije o planiranju obitelji, cjenovno pristupačnu kontracepciju, siguran i zakonit pobačaj te zdravstvenu skrb za majke;</w:t>
      </w:r>
    </w:p>
    <w:p w14:paraId="27BBCFD2" w14:textId="77777777" w:rsidR="00320B32" w:rsidRPr="005F2C88" w:rsidRDefault="00320B32" w:rsidP="00320B32">
      <w:pPr>
        <w:pStyle w:val="NormalHanging12a"/>
      </w:pPr>
      <w:r w:rsidRPr="005F2C88">
        <w:t>6.</w:t>
      </w:r>
      <w:r w:rsidRPr="005F2C88">
        <w:tab/>
        <w:t>ponavlja svoj poziv Komisiji da u potpunosti iskoristi svoju nadležnost u području zdravstvene politike i da pruži potporu državama članicama u jamčenju univerzalnog pristupa spolnom i reproduktivnom zdravlju i pravima u okviru programa „EU za zdravlje” za razdoblje 2021. – 2027.;</w:t>
      </w:r>
    </w:p>
    <w:p w14:paraId="6B206A60" w14:textId="77777777" w:rsidR="00320B32" w:rsidRPr="005F2C88" w:rsidRDefault="00320B32" w:rsidP="00320B32">
      <w:pPr>
        <w:pStyle w:val="NormalHanging12a"/>
      </w:pPr>
      <w:r w:rsidRPr="005F2C88">
        <w:t>7.</w:t>
      </w:r>
      <w:r w:rsidRPr="005F2C88">
        <w:tab/>
        <w:t>ponavlja svoj poziv da se pravo na pobačaj uključi u Povelju Europske unije o temeljnim pravima i potiče Vijeće da sazove konvenciju za reviziju Ugovorâ te da u Povelju doda zdravstvenu skrb u području spolnog i reproduktivnog zdravlja i pravo na siguran i zakonit pobačaj;</w:t>
      </w:r>
    </w:p>
    <w:p w14:paraId="559DE2D4" w14:textId="77777777" w:rsidR="00320B32" w:rsidRPr="005F2C88" w:rsidRDefault="00320B32" w:rsidP="00320B32">
      <w:pPr>
        <w:pStyle w:val="NormalHanging12a"/>
      </w:pPr>
      <w:r w:rsidRPr="005F2C88">
        <w:t>8.</w:t>
      </w:r>
      <w:r w:rsidRPr="005F2C88">
        <w:tab/>
        <w:t>podsjeća da nedostatak potpunog pristupa pobačaju u mnogim dijelovima Europe ne samo da dovodi žene u opasnost od tjelesnih ozljeda, već uzrokuje i neprimjeren gospodarski i mentalni stres za žene i obitelji;</w:t>
      </w:r>
    </w:p>
    <w:p w14:paraId="2513C5E5" w14:textId="77777777" w:rsidR="00320B32" w:rsidRPr="005F2C88" w:rsidRDefault="00320B32" w:rsidP="00320B32">
      <w:pPr>
        <w:pStyle w:val="NormalHanging12a"/>
      </w:pPr>
      <w:r w:rsidRPr="005F2C88">
        <w:lastRenderedPageBreak/>
        <w:t>9.</w:t>
      </w:r>
      <w:r w:rsidRPr="005F2C88">
        <w:tab/>
        <w:t>izražava zabrinutost zbog pravnih i praktičnih prepreka pobačaju u određenim državama članicama te poziva na dijalog i razmjenu najboljih praksi kako bi se osigurao pristup spolnom i reproduktivnom zdravlju i pravima; poziva države članice da reformiraju svoje zakone i politike o pobačaju kako bi ih uskladile s međunarodnim standardima u području ljudskih prava i smjernicama za javno zdravlje;</w:t>
      </w:r>
    </w:p>
    <w:p w14:paraId="029BA4BB" w14:textId="77777777" w:rsidR="00320B32" w:rsidRPr="005F2C88" w:rsidRDefault="00320B32" w:rsidP="00320B32">
      <w:pPr>
        <w:pStyle w:val="NormalHanging12a"/>
      </w:pPr>
      <w:r w:rsidRPr="005F2C88">
        <w:t>10.</w:t>
      </w:r>
      <w:r w:rsidRPr="005F2C88">
        <w:tab/>
        <w:t>podsjeća na nadležnost EU-a u području prekograničnih zdravstvenih usluga, jačanja nacionalnih zdravstvenih sustava i uzlazne konvergencije zdravstvenih standarda kako bi se smanjile zdravstvene nejednakosti; napominje da se sredstva EU-a koriste za izravno financiranje ili sufinanciranje zdravstvenih usluga u državama članicama u drugim slučajevima, na primjer za probir raka, u okviru potporne nadležnosti Unije;</w:t>
      </w:r>
    </w:p>
    <w:p w14:paraId="280B58CD" w14:textId="77777777" w:rsidR="00320B32" w:rsidRPr="005F2C88" w:rsidRDefault="00320B32" w:rsidP="00320B32">
      <w:pPr>
        <w:pStyle w:val="NormalHanging12a"/>
      </w:pPr>
      <w:r w:rsidRPr="005F2C88">
        <w:t>11.</w:t>
      </w:r>
      <w:r w:rsidRPr="005F2C88">
        <w:tab/>
        <w:t>podsjeća da Komisija u svojoj Odluci (EU) 2024/1158 smatra da je cilj inicijative izraditi zakonodavni prijedlog o financijskoj potpori državama članicama koja nije već pokrivena programom „EU za zdravlje”, čime bi se pružila znatna dodana vrijednost;</w:t>
      </w:r>
    </w:p>
    <w:p w14:paraId="565A7329" w14:textId="77777777" w:rsidR="00320B32" w:rsidRPr="005F2C88" w:rsidRDefault="00320B32" w:rsidP="00320B32">
      <w:pPr>
        <w:pStyle w:val="NormalHanging12a"/>
      </w:pPr>
      <w:r w:rsidRPr="005F2C88">
        <w:t>12.</w:t>
      </w:r>
      <w:r w:rsidRPr="005F2C88">
        <w:tab/>
        <w:t>u tom pogledu podsjeća da Komisija smatra da predloženi mehanizam financijske potpore ne utječe na utvrđivanje ili organizaciju zdravstvenih politika država članica;</w:t>
      </w:r>
    </w:p>
    <w:p w14:paraId="6700CFB2" w14:textId="77777777" w:rsidR="00320B32" w:rsidRPr="005F2C88" w:rsidRDefault="00320B32" w:rsidP="00320B32">
      <w:pPr>
        <w:pStyle w:val="NormalHanging12a"/>
      </w:pPr>
      <w:r w:rsidRPr="005F2C88">
        <w:t>13.</w:t>
      </w:r>
      <w:r w:rsidRPr="005F2C88">
        <w:tab/>
        <w:t>poziva Komisiju da osigura da se taj prijedlog uključi i u trenutačni i u sljedeći višegodišnji financijski okvir kako bi se nastavilo poboljšanje javnog zdravlja diljem Europe i poduprlo djelovanje država članica u promicanju pristupa spolnoj i reproduktivnoj zdravstvenoj skrbi;</w:t>
      </w:r>
    </w:p>
    <w:p w14:paraId="7D66D69E" w14:textId="4ADD9121" w:rsidR="00E365E1" w:rsidRPr="005F2C88" w:rsidRDefault="00320B32" w:rsidP="005F2C88">
      <w:pPr>
        <w:ind w:left="567" w:hanging="567"/>
      </w:pPr>
      <w:r w:rsidRPr="005F2C88">
        <w:t>14.</w:t>
      </w:r>
      <w:r w:rsidRPr="005F2C88">
        <w:tab/>
        <w:t>nalaže svojoj predsjednici da ovu Rezoluciju proslijedi Vijeću i Komisiji.</w:t>
      </w:r>
    </w:p>
    <w:sectPr w:rsidR="00E365E1" w:rsidRPr="005F2C88" w:rsidSect="00C92B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1B3D" w14:textId="77777777" w:rsidR="009E3682" w:rsidRPr="00C92B58" w:rsidRDefault="009E3682">
      <w:r w:rsidRPr="00C92B58">
        <w:separator/>
      </w:r>
    </w:p>
  </w:endnote>
  <w:endnote w:type="continuationSeparator" w:id="0">
    <w:p w14:paraId="57B6EC5A" w14:textId="77777777" w:rsidR="009E3682" w:rsidRPr="00C92B58" w:rsidRDefault="009E3682">
      <w:r w:rsidRPr="00C92B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3667" w14:textId="77777777" w:rsidR="00064002" w:rsidRPr="00C92B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0B7F" w14:textId="77777777" w:rsidR="00064002" w:rsidRPr="00C92B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5EFA8" w14:textId="77777777" w:rsidR="00064002" w:rsidRPr="00C92B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2BAFC" w14:textId="77777777" w:rsidR="009E3682" w:rsidRPr="00C92B58" w:rsidRDefault="009E3682">
      <w:r w:rsidRPr="00C92B58">
        <w:separator/>
      </w:r>
    </w:p>
  </w:footnote>
  <w:footnote w:type="continuationSeparator" w:id="0">
    <w:p w14:paraId="6F249BAC" w14:textId="77777777" w:rsidR="009E3682" w:rsidRPr="00C92B58" w:rsidRDefault="009E3682">
      <w:r w:rsidRPr="00C92B58">
        <w:continuationSeparator/>
      </w:r>
    </w:p>
  </w:footnote>
  <w:footnote w:id="1">
    <w:p w14:paraId="45449CF1" w14:textId="59B40B21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 xml:space="preserve">SL L, 2024/1158, 19.4.2024., ELI: </w:t>
      </w:r>
      <w:hyperlink r:id="rId1" w:history="1">
        <w:r w:rsidRPr="00C92B58">
          <w:rPr>
            <w:rStyle w:val="Hyperlink"/>
            <w:sz w:val="24"/>
            <w:lang w:val="hr-HR"/>
          </w:rPr>
          <w:t>http://data.europa.eu/eli/dec_impl/2024/1158/oj</w:t>
        </w:r>
      </w:hyperlink>
      <w:r w:rsidRPr="00C92B58">
        <w:rPr>
          <w:sz w:val="24"/>
          <w:lang w:val="hr-HR"/>
        </w:rPr>
        <w:t>.</w:t>
      </w:r>
    </w:p>
  </w:footnote>
  <w:footnote w:id="2">
    <w:p w14:paraId="7445A33D" w14:textId="23CDFDDD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 C 425, 20.10.2021., str. 147.</w:t>
      </w:r>
    </w:p>
  </w:footnote>
  <w:footnote w:id="3">
    <w:p w14:paraId="2E944543" w14:textId="3D03095F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 C 81, 18.2.2022., str. 43.</w:t>
      </w:r>
    </w:p>
  </w:footnote>
  <w:footnote w:id="4">
    <w:p w14:paraId="0931D69D" w14:textId="55C0976B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 C 205, 20.5.2022., str. 44.</w:t>
      </w:r>
    </w:p>
  </w:footnote>
  <w:footnote w:id="5">
    <w:p w14:paraId="5802EC26" w14:textId="6B28BDAF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 C 465, 6.12.2022., str. 155.</w:t>
      </w:r>
    </w:p>
  </w:footnote>
  <w:footnote w:id="6">
    <w:p w14:paraId="032A409B" w14:textId="0101A51A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 C 493, 27.12.2022., str. 120.</w:t>
      </w:r>
    </w:p>
  </w:footnote>
  <w:footnote w:id="7">
    <w:p w14:paraId="06FD22C6" w14:textId="00A6EE26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SL C 47, 7.2.2023., str. 268.</w:t>
      </w:r>
    </w:p>
  </w:footnote>
  <w:footnote w:id="8">
    <w:p w14:paraId="382BBCB5" w14:textId="7C9CC112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 xml:space="preserve">SL C, C/2024/4216, 24.7.2024., ELI: </w:t>
      </w:r>
      <w:hyperlink r:id="rId2" w:history="1">
        <w:r w:rsidRPr="00C92B58">
          <w:rPr>
            <w:rStyle w:val="Hyperlink"/>
            <w:sz w:val="24"/>
            <w:lang w:val="hr-HR"/>
          </w:rPr>
          <w:t>http://data.europa.eu/eli/C/2024/4216/oj</w:t>
        </w:r>
      </w:hyperlink>
      <w:r w:rsidRPr="00C92B58">
        <w:rPr>
          <w:sz w:val="24"/>
          <w:lang w:val="hr-HR"/>
        </w:rPr>
        <w:t>.</w:t>
      </w:r>
    </w:p>
  </w:footnote>
  <w:footnote w:id="9">
    <w:p w14:paraId="00F32DC3" w14:textId="537F1D64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 xml:space="preserve">SL C, C/2024/6743, 26.11.2024., ELI: </w:t>
      </w:r>
      <w:hyperlink r:id="rId3" w:history="1">
        <w:r w:rsidRPr="00C92B58">
          <w:rPr>
            <w:rStyle w:val="Hyperlink"/>
            <w:sz w:val="24"/>
            <w:lang w:val="hr-HR"/>
          </w:rPr>
          <w:t>http://data.europa.eu/eli/C/2024/6743/oj</w:t>
        </w:r>
      </w:hyperlink>
      <w:r w:rsidRPr="00C92B58">
        <w:rPr>
          <w:sz w:val="24"/>
          <w:lang w:val="hr-HR"/>
        </w:rPr>
        <w:t>.</w:t>
      </w:r>
    </w:p>
  </w:footnote>
  <w:footnote w:id="10">
    <w:p w14:paraId="0C2F3702" w14:textId="215898B7" w:rsidR="00320B32" w:rsidRPr="00C92B58" w:rsidRDefault="00320B32" w:rsidP="00C92B58">
      <w:pPr>
        <w:pStyle w:val="FootnoteText"/>
        <w:ind w:left="567" w:hanging="567"/>
        <w:rPr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 xml:space="preserve">SL C, C/2025/1279, 13.3.2025., ELI: </w:t>
      </w:r>
      <w:hyperlink r:id="rId4" w:history="1">
        <w:r w:rsidRPr="00C92B58">
          <w:rPr>
            <w:rStyle w:val="Hyperlink"/>
            <w:sz w:val="24"/>
            <w:lang w:val="hr-HR"/>
          </w:rPr>
          <w:t>http://data.europa.eu/eli/C/2025/1279/oj</w:t>
        </w:r>
      </w:hyperlink>
      <w:r w:rsidRPr="00C92B58">
        <w:rPr>
          <w:sz w:val="24"/>
          <w:lang w:val="hr-HR"/>
        </w:rPr>
        <w:t>.</w:t>
      </w:r>
    </w:p>
  </w:footnote>
  <w:footnote w:id="11">
    <w:p w14:paraId="0A5DFECE" w14:textId="703994BA" w:rsidR="00320B32" w:rsidRPr="00C92B58" w:rsidRDefault="00320B32" w:rsidP="00C92B58">
      <w:pPr>
        <w:ind w:left="567" w:hanging="567"/>
      </w:pPr>
      <w:r w:rsidRPr="00C92B58">
        <w:rPr>
          <w:rStyle w:val="FootnoteReference"/>
        </w:rPr>
        <w:footnoteRef/>
      </w:r>
      <w:r w:rsidR="00C92B58" w:rsidRPr="00C92B58">
        <w:t xml:space="preserve"> </w:t>
      </w:r>
      <w:r w:rsidR="00C92B58" w:rsidRPr="00C92B58">
        <w:tab/>
      </w:r>
      <w:r w:rsidRPr="00C92B58">
        <w:t xml:space="preserve">SL L 88, 4.4.2011., str. 45., ELI: </w:t>
      </w:r>
      <w:hyperlink r:id="rId5" w:history="1">
        <w:r w:rsidRPr="00C92B58">
          <w:rPr>
            <w:rStyle w:val="Hyperlink"/>
          </w:rPr>
          <w:t>http://data.europa.eu/eli/dir/2011/24/oj</w:t>
        </w:r>
      </w:hyperlink>
      <w:r w:rsidRPr="00C92B58">
        <w:t>.</w:t>
      </w:r>
    </w:p>
  </w:footnote>
  <w:footnote w:id="12">
    <w:p w14:paraId="5304D0DB" w14:textId="158E14FE" w:rsidR="00320B32" w:rsidRPr="00C92B58" w:rsidRDefault="00320B32" w:rsidP="00C92B58">
      <w:pPr>
        <w:pStyle w:val="FootnoteText"/>
        <w:ind w:left="567" w:hanging="567"/>
        <w:rPr>
          <w:rFonts w:eastAsia="Calibri"/>
          <w:sz w:val="24"/>
          <w:lang w:val="hr-HR"/>
        </w:rPr>
      </w:pPr>
      <w:r w:rsidRPr="00C92B58">
        <w:rPr>
          <w:rStyle w:val="FootnoteReference"/>
          <w:sz w:val="24"/>
          <w:lang w:val="hr-HR"/>
        </w:rPr>
        <w:footnoteRef/>
      </w:r>
      <w:r w:rsidR="00C92B58" w:rsidRPr="00C92B58">
        <w:rPr>
          <w:sz w:val="24"/>
          <w:lang w:val="hr-HR"/>
        </w:rPr>
        <w:t xml:space="preserve"> </w:t>
      </w:r>
      <w:r w:rsidR="00C92B58" w:rsidRPr="00C92B58">
        <w:rPr>
          <w:sz w:val="24"/>
          <w:lang w:val="hr-HR"/>
        </w:rPr>
        <w:tab/>
      </w:r>
      <w:r w:rsidRPr="00C92B58">
        <w:rPr>
          <w:sz w:val="24"/>
          <w:lang w:val="hr-HR"/>
        </w:rPr>
        <w:t>Ta se brojka temelji na broju žena koje žive u Poljskoj i Malti i koje nemaju pristup pobačaju zbog restriktivnih zakona u njihovim zemljama boravišta te ograničenja u drugim državama članicama EU-a.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829F6" w14:textId="77777777" w:rsidR="00064002" w:rsidRPr="00C92B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B5838" w14:textId="77777777" w:rsidR="00064002" w:rsidRPr="00C92B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E133B" w14:textId="77777777" w:rsidR="00064002" w:rsidRPr="00C92B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1466446">
    <w:abstractNumId w:val="9"/>
  </w:num>
  <w:num w:numId="2" w16cid:durableId="1459957242">
    <w:abstractNumId w:val="9"/>
  </w:num>
  <w:num w:numId="3" w16cid:durableId="754739342">
    <w:abstractNumId w:val="7"/>
  </w:num>
  <w:num w:numId="4" w16cid:durableId="346323779">
    <w:abstractNumId w:val="7"/>
  </w:num>
  <w:num w:numId="5" w16cid:durableId="771970044">
    <w:abstractNumId w:val="6"/>
  </w:num>
  <w:num w:numId="6" w16cid:durableId="836846620">
    <w:abstractNumId w:val="6"/>
  </w:num>
  <w:num w:numId="7" w16cid:durableId="735931009">
    <w:abstractNumId w:val="5"/>
  </w:num>
  <w:num w:numId="8" w16cid:durableId="3243915">
    <w:abstractNumId w:val="5"/>
  </w:num>
  <w:num w:numId="9" w16cid:durableId="747076069">
    <w:abstractNumId w:val="4"/>
  </w:num>
  <w:num w:numId="10" w16cid:durableId="43482676">
    <w:abstractNumId w:val="4"/>
  </w:num>
  <w:num w:numId="11" w16cid:durableId="298652321">
    <w:abstractNumId w:val="8"/>
  </w:num>
  <w:num w:numId="12" w16cid:durableId="2086294791">
    <w:abstractNumId w:val="8"/>
  </w:num>
  <w:num w:numId="13" w16cid:durableId="1293437415">
    <w:abstractNumId w:val="3"/>
  </w:num>
  <w:num w:numId="14" w16cid:durableId="497230549">
    <w:abstractNumId w:val="3"/>
  </w:num>
  <w:num w:numId="15" w16cid:durableId="2139449638">
    <w:abstractNumId w:val="2"/>
  </w:num>
  <w:num w:numId="16" w16cid:durableId="272907525">
    <w:abstractNumId w:val="2"/>
  </w:num>
  <w:num w:numId="17" w16cid:durableId="442766481">
    <w:abstractNumId w:val="1"/>
  </w:num>
  <w:num w:numId="18" w16cid:durableId="161896068">
    <w:abstractNumId w:val="1"/>
  </w:num>
  <w:num w:numId="19" w16cid:durableId="1305818209">
    <w:abstractNumId w:val="0"/>
  </w:num>
  <w:num w:numId="20" w16cid:durableId="1560675604">
    <w:abstractNumId w:val="0"/>
  </w:num>
  <w:num w:numId="21" w16cid:durableId="1302298616">
    <w:abstractNumId w:val="9"/>
  </w:num>
  <w:num w:numId="22" w16cid:durableId="139346867">
    <w:abstractNumId w:val="7"/>
  </w:num>
  <w:num w:numId="23" w16cid:durableId="996225016">
    <w:abstractNumId w:val="6"/>
  </w:num>
  <w:num w:numId="24" w16cid:durableId="475755788">
    <w:abstractNumId w:val="5"/>
  </w:num>
  <w:num w:numId="25" w16cid:durableId="1621692577">
    <w:abstractNumId w:val="4"/>
  </w:num>
  <w:num w:numId="26" w16cid:durableId="1246454751">
    <w:abstractNumId w:val="8"/>
  </w:num>
  <w:num w:numId="27" w16cid:durableId="1043284915">
    <w:abstractNumId w:val="3"/>
  </w:num>
  <w:num w:numId="28" w16cid:durableId="1337656515">
    <w:abstractNumId w:val="2"/>
  </w:num>
  <w:num w:numId="29" w16cid:durableId="1372533863">
    <w:abstractNumId w:val="1"/>
  </w:num>
  <w:num w:numId="30" w16cid:durableId="2012641220">
    <w:abstractNumId w:val="0"/>
  </w:num>
  <w:num w:numId="31" w16cid:durableId="1713188875">
    <w:abstractNumId w:val="9"/>
  </w:num>
  <w:num w:numId="32" w16cid:durableId="1674332447">
    <w:abstractNumId w:val="7"/>
  </w:num>
  <w:num w:numId="33" w16cid:durableId="1634941305">
    <w:abstractNumId w:val="6"/>
  </w:num>
  <w:num w:numId="34" w16cid:durableId="234435152">
    <w:abstractNumId w:val="5"/>
  </w:num>
  <w:num w:numId="35" w16cid:durableId="842358984">
    <w:abstractNumId w:val="4"/>
  </w:num>
  <w:num w:numId="36" w16cid:durableId="1616711053">
    <w:abstractNumId w:val="8"/>
  </w:num>
  <w:num w:numId="37" w16cid:durableId="536502839">
    <w:abstractNumId w:val="3"/>
  </w:num>
  <w:num w:numId="38" w16cid:durableId="1753769713">
    <w:abstractNumId w:val="2"/>
  </w:num>
  <w:num w:numId="39" w16cid:durableId="1787505936">
    <w:abstractNumId w:val="1"/>
  </w:num>
  <w:num w:numId="40" w16cid:durableId="795634578">
    <w:abstractNumId w:val="0"/>
  </w:num>
  <w:num w:numId="41" w16cid:durableId="1523857234">
    <w:abstractNumId w:val="10"/>
  </w:num>
  <w:num w:numId="42" w16cid:durableId="1319992836">
    <w:abstractNumId w:val="10"/>
  </w:num>
  <w:num w:numId="43" w16cid:durableId="1510174890">
    <w:abstractNumId w:val="10"/>
  </w:num>
  <w:num w:numId="44" w16cid:durableId="11697598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HR"/>
    <w:docVar w:name="dvnumam" w:val="0"/>
    <w:docVar w:name="dvpe" w:val="781.257"/>
    <w:docVar w:name="dvtitre" w:val="Rezolucija Europskog parlamenta od .... 2025. o europskoj građanskoj inicijativi „My Voice, My Choice: za siguran i dostupan pobačaj”(2025/3007(RSP))"/>
  </w:docVars>
  <w:rsids>
    <w:rsidRoot w:val="009E368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51DE"/>
    <w:rsid w:val="001F32AE"/>
    <w:rsid w:val="002767FF"/>
    <w:rsid w:val="002B18FE"/>
    <w:rsid w:val="002B5493"/>
    <w:rsid w:val="00320B32"/>
    <w:rsid w:val="00343214"/>
    <w:rsid w:val="00361C00"/>
    <w:rsid w:val="00395FA1"/>
    <w:rsid w:val="003B31C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C88"/>
    <w:rsid w:val="006037C0"/>
    <w:rsid w:val="00646E2D"/>
    <w:rsid w:val="006631B6"/>
    <w:rsid w:val="00680577"/>
    <w:rsid w:val="006F74FA"/>
    <w:rsid w:val="00731ADD"/>
    <w:rsid w:val="00734777"/>
    <w:rsid w:val="00747932"/>
    <w:rsid w:val="00751A4A"/>
    <w:rsid w:val="007556E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68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B58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467E3"/>
  <w15:chartTrackingRefBased/>
  <w15:docId w15:val="{DF68FB6C-8A78-4282-A055-0812D53B6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0B32"/>
    <w:pPr>
      <w:spacing w:before="480" w:after="240"/>
    </w:pPr>
  </w:style>
  <w:style w:type="paragraph" w:customStyle="1" w:styleId="NormalHanging12a">
    <w:name w:val="NormalHanging12a"/>
    <w:basedOn w:val="Normal"/>
    <w:rsid w:val="00320B32"/>
    <w:pPr>
      <w:spacing w:after="240"/>
      <w:ind w:left="567" w:hanging="567"/>
    </w:pPr>
  </w:style>
  <w:style w:type="character" w:styleId="Hyperlink">
    <w:name w:val="Hyperlink"/>
    <w:basedOn w:val="DefaultParagraphFont"/>
    <w:rsid w:val="00320B3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46E2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3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dec_impl/2024/1158/oj" TargetMode="External"/><Relationship Id="rId5" Type="http://schemas.openxmlformats.org/officeDocument/2006/relationships/hyperlink" Target="http://data.europa.eu/eli/dir/2011/24/oj" TargetMode="External"/><Relationship Id="rId4" Type="http://schemas.openxmlformats.org/officeDocument/2006/relationships/hyperlink" Target="http://data.europa.eu/eli/C/2025/12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2559</Words>
  <Characters>14941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2025-12-17T13:27:00Z</dcterms:created>
  <dcterms:modified xsi:type="dcterms:W3CDTF">2025-12-17T13:27:00Z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