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0D9F" w14:paraId="16430F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19F539" w14:textId="77777777" w:rsidR="00751A4A" w:rsidRPr="000A0D9F" w:rsidRDefault="007656CA" w:rsidP="0010095E">
            <w:pPr>
              <w:pStyle w:val="EPName"/>
            </w:pPr>
            <w:r w:rsidRPr="000A0D9F">
              <w:t>Evropský parlament</w:t>
            </w:r>
          </w:p>
          <w:p w14:paraId="44E18983" w14:textId="77777777" w:rsidR="00751A4A" w:rsidRPr="000A0D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0D9F">
              <w:t>2024</w:t>
            </w:r>
            <w:r w:rsidR="00817416" w:rsidRPr="000A0D9F">
              <w:t>-202</w:t>
            </w:r>
            <w:r w:rsidRPr="000A0D9F">
              <w:t>9</w:t>
            </w:r>
          </w:p>
        </w:tc>
        <w:tc>
          <w:tcPr>
            <w:tcW w:w="2268" w:type="dxa"/>
            <w:shd w:val="clear" w:color="auto" w:fill="auto"/>
          </w:tcPr>
          <w:p w14:paraId="1B653F88" w14:textId="77777777" w:rsidR="00751A4A" w:rsidRPr="000A0D9F" w:rsidRDefault="00187494" w:rsidP="0010095E">
            <w:pPr>
              <w:pStyle w:val="EPLogo"/>
            </w:pPr>
            <w:r w:rsidRPr="000A0D9F">
              <w:rPr>
                <w:noProof/>
                <w:lang w:eastAsia="ja-JP"/>
              </w:rPr>
              <w:drawing>
                <wp:inline distT="0" distB="0" distL="0" distR="0" wp14:anchorId="7D574FEB" wp14:editId="19A1E0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AA628E" w14:textId="77777777" w:rsidR="00D058B8" w:rsidRPr="000A0D9F" w:rsidRDefault="00D058B8" w:rsidP="004C5D52">
      <w:pPr>
        <w:pStyle w:val="LineTop"/>
      </w:pPr>
    </w:p>
    <w:p w14:paraId="1493AB51" w14:textId="77777777" w:rsidR="00680577" w:rsidRPr="000A0D9F" w:rsidRDefault="007656CA" w:rsidP="00680577">
      <w:pPr>
        <w:pStyle w:val="EPBodyTA1"/>
      </w:pPr>
      <w:r w:rsidRPr="000A0D9F">
        <w:t>PŘIJATÉ TEXTY</w:t>
      </w:r>
    </w:p>
    <w:p w14:paraId="00201214" w14:textId="77777777" w:rsidR="00D058B8" w:rsidRPr="000A0D9F" w:rsidRDefault="00D058B8" w:rsidP="00D058B8">
      <w:pPr>
        <w:pStyle w:val="LineBottom"/>
      </w:pPr>
    </w:p>
    <w:p w14:paraId="69623FF6" w14:textId="3F8C617A" w:rsidR="007656CA" w:rsidRPr="000A0D9F" w:rsidRDefault="007656CA" w:rsidP="007656CA">
      <w:pPr>
        <w:pStyle w:val="ATHeading1"/>
      </w:pPr>
      <w:bookmarkStart w:id="0" w:name="TANumber"/>
      <w:r w:rsidRPr="000A0D9F">
        <w:t>P10_TA(2025)0</w:t>
      </w:r>
      <w:bookmarkEnd w:id="0"/>
      <w:r w:rsidR="0036742E">
        <w:t>339</w:t>
      </w:r>
    </w:p>
    <w:p w14:paraId="793CB122" w14:textId="77777777" w:rsidR="007656CA" w:rsidRPr="000A0D9F" w:rsidRDefault="007656CA" w:rsidP="007656CA">
      <w:pPr>
        <w:pStyle w:val="ATHeading2"/>
      </w:pPr>
      <w:bookmarkStart w:id="1" w:name="title"/>
      <w:r w:rsidRPr="000A0D9F">
        <w:t xml:space="preserve">Svévolné zatčení a odsouzení akademiků </w:t>
      </w:r>
      <w:proofErr w:type="spellStart"/>
      <w:r w:rsidRPr="000A0D9F">
        <w:t>Bəhruze</w:t>
      </w:r>
      <w:proofErr w:type="spellEnd"/>
      <w:r w:rsidRPr="000A0D9F">
        <w:t xml:space="preserve"> </w:t>
      </w:r>
      <w:proofErr w:type="spellStart"/>
      <w:r w:rsidRPr="000A0D9F">
        <w:t>Səmədova</w:t>
      </w:r>
      <w:proofErr w:type="spellEnd"/>
      <w:r w:rsidRPr="000A0D9F">
        <w:t xml:space="preserve"> a </w:t>
      </w:r>
      <w:proofErr w:type="spellStart"/>
      <w:r w:rsidRPr="000A0D9F">
        <w:t>İqbala</w:t>
      </w:r>
      <w:proofErr w:type="spellEnd"/>
      <w:r w:rsidRPr="000A0D9F">
        <w:t xml:space="preserve"> </w:t>
      </w:r>
      <w:proofErr w:type="spellStart"/>
      <w:r w:rsidRPr="000A0D9F">
        <w:t>Əbilova</w:t>
      </w:r>
      <w:proofErr w:type="spellEnd"/>
      <w:r w:rsidRPr="000A0D9F">
        <w:t xml:space="preserve"> v Ázerbájdžánu</w:t>
      </w:r>
      <w:bookmarkEnd w:id="1"/>
    </w:p>
    <w:p w14:paraId="28645BBD" w14:textId="77777777" w:rsidR="007656CA" w:rsidRPr="000A0D9F" w:rsidRDefault="007656CA" w:rsidP="007656CA">
      <w:pPr>
        <w:rPr>
          <w:i/>
          <w:vanish/>
        </w:rPr>
      </w:pPr>
      <w:r w:rsidRPr="000A0D9F">
        <w:rPr>
          <w:i/>
        </w:rPr>
        <w:fldChar w:fldCharType="begin"/>
      </w:r>
      <w:r w:rsidRPr="000A0D9F">
        <w:rPr>
          <w:i/>
        </w:rPr>
        <w:instrText xml:space="preserve"> TC"(</w:instrText>
      </w:r>
      <w:bookmarkStart w:id="2" w:name="DocNumber"/>
      <w:r w:rsidRPr="000A0D9F">
        <w:rPr>
          <w:i/>
        </w:rPr>
        <w:instrText>B10-0567, 0576, 0581, 0583 a 0589/2025</w:instrText>
      </w:r>
      <w:bookmarkEnd w:id="2"/>
      <w:r w:rsidRPr="000A0D9F">
        <w:rPr>
          <w:i/>
        </w:rPr>
        <w:instrText xml:space="preserve">)"\l3 \n&gt; \* MERGEFORMAT </w:instrText>
      </w:r>
      <w:r w:rsidRPr="000A0D9F">
        <w:rPr>
          <w:i/>
        </w:rPr>
        <w:fldChar w:fldCharType="end"/>
      </w:r>
    </w:p>
    <w:p w14:paraId="2D203B33" w14:textId="77777777" w:rsidR="007656CA" w:rsidRPr="000A0D9F" w:rsidRDefault="007656CA" w:rsidP="007656CA">
      <w:pPr>
        <w:rPr>
          <w:vanish/>
        </w:rPr>
      </w:pPr>
      <w:bookmarkStart w:id="3" w:name="PE"/>
      <w:r w:rsidRPr="000A0D9F">
        <w:rPr>
          <w:vanish/>
        </w:rPr>
        <w:t>PE779.048</w:t>
      </w:r>
      <w:bookmarkEnd w:id="3"/>
    </w:p>
    <w:p w14:paraId="488BEFB0" w14:textId="56CFA7FF" w:rsidR="007656CA" w:rsidRPr="000A0D9F" w:rsidRDefault="007656CA" w:rsidP="007656CA">
      <w:pPr>
        <w:pStyle w:val="ATHeading3"/>
      </w:pPr>
      <w:bookmarkStart w:id="4" w:name="Sujet"/>
      <w:r w:rsidRPr="000A0D9F">
        <w:t>Usnesení Evropského parlamentu ze dne</w:t>
      </w:r>
      <w:r w:rsidR="003C66BE">
        <w:t xml:space="preserve"> 18. prosince</w:t>
      </w:r>
      <w:r w:rsidRPr="000A0D9F">
        <w:t xml:space="preserve"> 2025 o svévolném zatčení a odsouzení akademických pracovníků </w:t>
      </w:r>
      <w:proofErr w:type="spellStart"/>
      <w:r w:rsidRPr="000A0D9F">
        <w:t>Bəhruze</w:t>
      </w:r>
      <w:proofErr w:type="spellEnd"/>
      <w:r w:rsidRPr="000A0D9F">
        <w:t xml:space="preserve"> </w:t>
      </w:r>
      <w:proofErr w:type="spellStart"/>
      <w:r w:rsidRPr="000A0D9F">
        <w:t>Səmədova</w:t>
      </w:r>
      <w:proofErr w:type="spellEnd"/>
      <w:r w:rsidRPr="000A0D9F">
        <w:t xml:space="preserve"> a </w:t>
      </w:r>
      <w:proofErr w:type="spellStart"/>
      <w:r w:rsidRPr="000A0D9F">
        <w:t>İqbala</w:t>
      </w:r>
      <w:proofErr w:type="spellEnd"/>
      <w:r w:rsidRPr="000A0D9F">
        <w:t xml:space="preserve"> </w:t>
      </w:r>
      <w:proofErr w:type="spellStart"/>
      <w:r w:rsidRPr="000A0D9F">
        <w:t>Əbilova</w:t>
      </w:r>
      <w:proofErr w:type="spellEnd"/>
      <w:r w:rsidRPr="000A0D9F">
        <w:t xml:space="preserve"> v Ázerbájdžánu</w:t>
      </w:r>
      <w:bookmarkEnd w:id="4"/>
      <w:r w:rsidRPr="000A0D9F">
        <w:t xml:space="preserve"> </w:t>
      </w:r>
      <w:bookmarkStart w:id="5" w:name="References"/>
      <w:r w:rsidRPr="000A0D9F">
        <w:t>(2025/3028(RSP))</w:t>
      </w:r>
      <w:bookmarkEnd w:id="5"/>
    </w:p>
    <w:p w14:paraId="7531502B" w14:textId="77777777" w:rsidR="00EB3CCF" w:rsidRPr="000A0D9F" w:rsidRDefault="00EB3CCF" w:rsidP="00EB3CCF">
      <w:pPr>
        <w:pStyle w:val="EPComma"/>
      </w:pPr>
      <w:bookmarkStart w:id="6" w:name="TextBodyBegin"/>
      <w:bookmarkEnd w:id="6"/>
      <w:r w:rsidRPr="000A0D9F">
        <w:rPr>
          <w:i/>
        </w:rPr>
        <w:t>Evropský parlament</w:t>
      </w:r>
      <w:r w:rsidRPr="000A0D9F">
        <w:t>,</w:t>
      </w:r>
    </w:p>
    <w:p w14:paraId="7FDD7D53" w14:textId="77777777" w:rsidR="00EB3CCF" w:rsidRPr="000A0D9F" w:rsidRDefault="00EB3CCF" w:rsidP="00EB3CCF">
      <w:pPr>
        <w:pStyle w:val="NormalHanging12a"/>
      </w:pPr>
      <w:r w:rsidRPr="000A0D9F">
        <w:t>–</w:t>
      </w:r>
      <w:r w:rsidRPr="000A0D9F">
        <w:tab/>
        <w:t>s ohledem na svá předchozí usnesení o Ázerbájdžánu,</w:t>
      </w:r>
    </w:p>
    <w:p w14:paraId="6F1DD528" w14:textId="77777777" w:rsidR="00EB3CCF" w:rsidRPr="000A0D9F" w:rsidRDefault="00EB3CCF" w:rsidP="00EB3CCF">
      <w:pPr>
        <w:pStyle w:val="NormalHanging12a"/>
      </w:pPr>
      <w:r w:rsidRPr="000A0D9F">
        <w:t>–</w:t>
      </w:r>
      <w:r w:rsidRPr="000A0D9F">
        <w:tab/>
        <w:t>s ohledem na čl. 150 odst. 5 a čl. 136 odst. 4 jednacího řádu,</w:t>
      </w:r>
    </w:p>
    <w:p w14:paraId="6687510C" w14:textId="77777777" w:rsidR="00EB3CCF" w:rsidRPr="000A0D9F" w:rsidRDefault="00EB3CCF" w:rsidP="00EB3CCF">
      <w:pPr>
        <w:pStyle w:val="NormalHanging12a"/>
      </w:pPr>
      <w:r w:rsidRPr="000A0D9F">
        <w:t>A.</w:t>
      </w:r>
      <w:r w:rsidRPr="000A0D9F">
        <w:tab/>
        <w:t>vzhledem k tomu, že od začátku roku 2025 vzrostl počet politických vězňů v Ázerbájdžánu na téměř 400 osob, které jsou svévolně zadržovány na základě politicky motivovaných obvinění a mezi nimiž jsou aktivisté občanské společnosti, vedoucí představitelé opozice, novináři, akademičtí pracovníci a obhájci lidských práv;</w:t>
      </w:r>
    </w:p>
    <w:p w14:paraId="703D1A64" w14:textId="77777777" w:rsidR="00EB3CCF" w:rsidRPr="000A0D9F" w:rsidRDefault="00EB3CCF" w:rsidP="00EB3CCF">
      <w:pPr>
        <w:pStyle w:val="NormalHanging12a"/>
      </w:pPr>
      <w:r w:rsidRPr="000A0D9F">
        <w:t>B.</w:t>
      </w:r>
      <w:r w:rsidRPr="000A0D9F">
        <w:tab/>
        <w:t xml:space="preserve">vzhledem k tomu, že </w:t>
      </w:r>
      <w:proofErr w:type="spellStart"/>
      <w:r w:rsidRPr="000A0D9F">
        <w:t>İqbal</w:t>
      </w:r>
      <w:proofErr w:type="spellEnd"/>
      <w:r w:rsidRPr="000A0D9F">
        <w:t xml:space="preserve"> </w:t>
      </w:r>
      <w:proofErr w:type="spellStart"/>
      <w:r w:rsidRPr="000A0D9F">
        <w:t>Əbilov</w:t>
      </w:r>
      <w:proofErr w:type="spellEnd"/>
      <w:r w:rsidRPr="000A0D9F">
        <w:t xml:space="preserve">, výzkumný pracovník, který </w:t>
      </w:r>
      <w:proofErr w:type="gramStart"/>
      <w:r w:rsidRPr="000A0D9F">
        <w:t>patří</w:t>
      </w:r>
      <w:proofErr w:type="gramEnd"/>
      <w:r w:rsidRPr="000A0D9F">
        <w:t xml:space="preserve"> k </w:t>
      </w:r>
      <w:proofErr w:type="spellStart"/>
      <w:r w:rsidRPr="000A0D9F">
        <w:t>talyšské</w:t>
      </w:r>
      <w:proofErr w:type="spellEnd"/>
      <w:r w:rsidRPr="000A0D9F">
        <w:t xml:space="preserve"> etnické menšině a je šéfredaktorem Věstníku </w:t>
      </w:r>
      <w:proofErr w:type="spellStart"/>
      <w:r w:rsidRPr="000A0D9F">
        <w:t>Talyšské</w:t>
      </w:r>
      <w:proofErr w:type="spellEnd"/>
      <w:r w:rsidRPr="000A0D9F">
        <w:t xml:space="preserve"> národní akademie, byl na základě obvinění z vlastizrady odsouzen k 18 letům odnětí svobody a </w:t>
      </w:r>
      <w:proofErr w:type="spellStart"/>
      <w:r w:rsidRPr="000A0D9F">
        <w:t>Bəhruz</w:t>
      </w:r>
      <w:proofErr w:type="spellEnd"/>
      <w:r w:rsidRPr="000A0D9F">
        <w:t xml:space="preserve"> </w:t>
      </w:r>
      <w:proofErr w:type="spellStart"/>
      <w:r w:rsidRPr="000A0D9F">
        <w:t>Səmədov</w:t>
      </w:r>
      <w:proofErr w:type="spellEnd"/>
      <w:r w:rsidRPr="000A0D9F">
        <w:t>, student doktorandského studia na Karlově univerzitě, k 15 letům odnětí svobody z téhož důvodu;</w:t>
      </w:r>
    </w:p>
    <w:p w14:paraId="732A50C8" w14:textId="77777777" w:rsidR="00EB3CCF" w:rsidRPr="000A0D9F" w:rsidRDefault="00EB3CCF" w:rsidP="00EB3CCF">
      <w:pPr>
        <w:pStyle w:val="NormalHanging12a"/>
      </w:pPr>
      <w:r w:rsidRPr="000A0D9F">
        <w:t>C.</w:t>
      </w:r>
      <w:r w:rsidRPr="000A0D9F">
        <w:tab/>
        <w:t>vzhledem k tomu, že soudní řízení s oběma akademickými pracovníky se konala za zavřenými dveřmi, což je v rozporu s mezinárodními normami pro spravedlivý proces a presumpcí neviny; vzhledem k tomu, že údajné důkazy sestávaly výlučně z kontaktů a styků s arménskými vědeckými pracovníky; vzhledem k tomu, že během věznění došlo ke zhoršení jejich zdravotního stavu;</w:t>
      </w:r>
    </w:p>
    <w:p w14:paraId="3969FC92" w14:textId="77777777" w:rsidR="00EB3CCF" w:rsidRPr="000A0D9F" w:rsidRDefault="00EB3CCF" w:rsidP="00EB3CCF">
      <w:pPr>
        <w:pStyle w:val="NormalHanging12a"/>
      </w:pPr>
      <w:r w:rsidRPr="000A0D9F">
        <w:t>D.</w:t>
      </w:r>
      <w:r w:rsidRPr="000A0D9F">
        <w:tab/>
        <w:t xml:space="preserve">vzhledem k tomu, že tyto případy následují po nespravedlivém a svévolném odsouzení dvou dalších akademických pracovníků, </w:t>
      </w:r>
      <w:proofErr w:type="spellStart"/>
      <w:r w:rsidRPr="000A0D9F">
        <w:t>Qubada</w:t>
      </w:r>
      <w:proofErr w:type="spellEnd"/>
      <w:r w:rsidRPr="000A0D9F">
        <w:t xml:space="preserve"> </w:t>
      </w:r>
      <w:proofErr w:type="spellStart"/>
      <w:r w:rsidRPr="000A0D9F">
        <w:t>İbadoğlu</w:t>
      </w:r>
      <w:proofErr w:type="spellEnd"/>
      <w:r w:rsidRPr="000A0D9F">
        <w:t xml:space="preserve"> a </w:t>
      </w:r>
      <w:proofErr w:type="spellStart"/>
      <w:r w:rsidRPr="000A0D9F">
        <w:t>Fazila</w:t>
      </w:r>
      <w:proofErr w:type="spellEnd"/>
      <w:r w:rsidRPr="000A0D9F">
        <w:t xml:space="preserve"> </w:t>
      </w:r>
      <w:proofErr w:type="spellStart"/>
      <w:r w:rsidRPr="000A0D9F">
        <w:t>Qasımova</w:t>
      </w:r>
      <w:proofErr w:type="spellEnd"/>
      <w:r w:rsidRPr="000A0D9F">
        <w:t>;</w:t>
      </w:r>
    </w:p>
    <w:p w14:paraId="320B46E1" w14:textId="77777777" w:rsidR="00EB3CCF" w:rsidRPr="000A0D9F" w:rsidRDefault="00EB3CCF" w:rsidP="00EB3CCF">
      <w:pPr>
        <w:pStyle w:val="NormalHanging12a"/>
      </w:pPr>
      <w:r w:rsidRPr="000A0D9F">
        <w:t>E.</w:t>
      </w:r>
      <w:r w:rsidRPr="000A0D9F">
        <w:tab/>
        <w:t xml:space="preserve">vzhledem k tomu, že zatímco se v Ázerbájdžánu upevňují autoritářské praktiky, byl dne 1. prosince 2025 na základě obvinění z údajného převratu zatčen přední opoziční lídr </w:t>
      </w:r>
      <w:proofErr w:type="spellStart"/>
      <w:r w:rsidRPr="000A0D9F">
        <w:t>Əli</w:t>
      </w:r>
      <w:proofErr w:type="spellEnd"/>
      <w:r w:rsidRPr="000A0D9F">
        <w:t xml:space="preserve"> </w:t>
      </w:r>
      <w:proofErr w:type="spellStart"/>
      <w:r w:rsidRPr="000A0D9F">
        <w:t>Kərimli</w:t>
      </w:r>
      <w:proofErr w:type="spellEnd"/>
      <w:r w:rsidRPr="000A0D9F">
        <w:t>;</w:t>
      </w:r>
    </w:p>
    <w:p w14:paraId="75AAF768" w14:textId="77777777" w:rsidR="00EB3CCF" w:rsidRPr="000A0D9F" w:rsidRDefault="00EB3CCF" w:rsidP="00EB3CCF">
      <w:pPr>
        <w:pStyle w:val="NormalHanging12a"/>
      </w:pPr>
      <w:r w:rsidRPr="000A0D9F">
        <w:lastRenderedPageBreak/>
        <w:t>1.</w:t>
      </w:r>
      <w:r w:rsidRPr="000A0D9F">
        <w:tab/>
        <w:t xml:space="preserve">důrazně odsuzuje zatčení, stíhání a odsouzení </w:t>
      </w:r>
      <w:proofErr w:type="spellStart"/>
      <w:r w:rsidRPr="000A0D9F">
        <w:t>Bəhruze</w:t>
      </w:r>
      <w:proofErr w:type="spellEnd"/>
      <w:r w:rsidRPr="000A0D9F">
        <w:t xml:space="preserve"> </w:t>
      </w:r>
      <w:proofErr w:type="spellStart"/>
      <w:r w:rsidRPr="000A0D9F">
        <w:t>Səmədova</w:t>
      </w:r>
      <w:proofErr w:type="spellEnd"/>
      <w:r w:rsidRPr="000A0D9F">
        <w:t xml:space="preserve"> a </w:t>
      </w:r>
      <w:proofErr w:type="spellStart"/>
      <w:r w:rsidRPr="000A0D9F">
        <w:t>İqbala</w:t>
      </w:r>
      <w:proofErr w:type="spellEnd"/>
      <w:r w:rsidRPr="000A0D9F">
        <w:t xml:space="preserve"> </w:t>
      </w:r>
      <w:proofErr w:type="spellStart"/>
      <w:r w:rsidRPr="000A0D9F">
        <w:t>Əbilova</w:t>
      </w:r>
      <w:proofErr w:type="spellEnd"/>
      <w:r w:rsidRPr="000A0D9F">
        <w:t xml:space="preserve"> na základě politicky motivovaných obvinění;</w:t>
      </w:r>
    </w:p>
    <w:p w14:paraId="3AE25089" w14:textId="77777777" w:rsidR="00EB3CCF" w:rsidRPr="000A0D9F" w:rsidRDefault="00EB3CCF" w:rsidP="00EB3CCF">
      <w:pPr>
        <w:pStyle w:val="NormalHanging12a"/>
      </w:pPr>
      <w:r w:rsidRPr="000A0D9F">
        <w:t>2.</w:t>
      </w:r>
      <w:r w:rsidRPr="000A0D9F">
        <w:tab/>
        <w:t xml:space="preserve">vyzývá Ázerbájdžán, aby okamžitě a bezpodmínečně propustil všechny politické vězně, zejména B. </w:t>
      </w:r>
      <w:proofErr w:type="spellStart"/>
      <w:r w:rsidRPr="000A0D9F">
        <w:t>Səmədova</w:t>
      </w:r>
      <w:proofErr w:type="spellEnd"/>
      <w:r w:rsidRPr="000A0D9F">
        <w:t xml:space="preserve">, I. </w:t>
      </w:r>
      <w:proofErr w:type="spellStart"/>
      <w:r w:rsidRPr="000A0D9F">
        <w:t>Əbilova</w:t>
      </w:r>
      <w:proofErr w:type="spellEnd"/>
      <w:r w:rsidRPr="000A0D9F">
        <w:t xml:space="preserve"> a Q. </w:t>
      </w:r>
      <w:proofErr w:type="spellStart"/>
      <w:r w:rsidRPr="000A0D9F">
        <w:t>İbadoğlua</w:t>
      </w:r>
      <w:proofErr w:type="spellEnd"/>
      <w:r w:rsidRPr="000A0D9F">
        <w:t>, zaručil spravedlivé a řádné soudní procesy a ukončil represe vůči novinářům, aktivistům, akademickým pracovníkům, představitelům opozice, obhájcům lidských práv a jiným nezákonně zadržovaným osobám, včetně těch, které se nacházejí v exilu;</w:t>
      </w:r>
    </w:p>
    <w:p w14:paraId="17386613" w14:textId="77777777" w:rsidR="00EB3CCF" w:rsidRPr="000A0D9F" w:rsidRDefault="00EB3CCF" w:rsidP="00EB3CCF">
      <w:pPr>
        <w:pStyle w:val="NormalHanging12a"/>
      </w:pPr>
      <w:r w:rsidRPr="000A0D9F">
        <w:t>3.</w:t>
      </w:r>
      <w:r w:rsidRPr="000A0D9F">
        <w:tab/>
        <w:t xml:space="preserve">co nejdůrazněji odsuzuje zatčení </w:t>
      </w:r>
      <w:proofErr w:type="spellStart"/>
      <w:r w:rsidRPr="000A0D9F">
        <w:t>Əliho</w:t>
      </w:r>
      <w:proofErr w:type="spellEnd"/>
      <w:r w:rsidRPr="000A0D9F">
        <w:t xml:space="preserve"> </w:t>
      </w:r>
      <w:proofErr w:type="spellStart"/>
      <w:r w:rsidRPr="000A0D9F">
        <w:t>Kərimliho</w:t>
      </w:r>
      <w:proofErr w:type="spellEnd"/>
      <w:r w:rsidRPr="000A0D9F">
        <w:t xml:space="preserve"> a vyzývá k jeho okamžitému propuštění;</w:t>
      </w:r>
    </w:p>
    <w:p w14:paraId="69B09342" w14:textId="77777777" w:rsidR="00EB3CCF" w:rsidRPr="000A0D9F" w:rsidRDefault="00EB3CCF" w:rsidP="00EB3CCF">
      <w:pPr>
        <w:pStyle w:val="NormalHanging12a"/>
      </w:pPr>
      <w:r w:rsidRPr="000A0D9F">
        <w:t>4.</w:t>
      </w:r>
      <w:r w:rsidRPr="000A0D9F">
        <w:tab/>
        <w:t>vyjadřuje zvláštní znepokojení nad zneužíváním ustanovení o národní bezpečnosti jako nástrojů soudní šikany, zastrašování a kriminalizace svobody projevu, prosazování míru a veřejné kritiky; je hluboce znepokojen pokračujícím omezováním akademických svobod a kulturních práv v Ázerbájdžánu;</w:t>
      </w:r>
    </w:p>
    <w:p w14:paraId="360E3932" w14:textId="77777777" w:rsidR="00EB3CCF" w:rsidRPr="000A0D9F" w:rsidRDefault="00EB3CCF" w:rsidP="00EB3CCF">
      <w:pPr>
        <w:pStyle w:val="NormalHanging12a"/>
      </w:pPr>
      <w:r w:rsidRPr="000A0D9F">
        <w:t>5.</w:t>
      </w:r>
      <w:r w:rsidRPr="000A0D9F">
        <w:tab/>
        <w:t>vyzývá Ázerbájdžán, aby dodržoval mezinárodní závazky a normy v oblasti lidských práv, včetně těch, které se týkají svobody projevu a akademické svobody, a aby s nimi sladil své právní předpisy;</w:t>
      </w:r>
    </w:p>
    <w:p w14:paraId="5AB5146B" w14:textId="77777777" w:rsidR="00EB3CCF" w:rsidRPr="000A0D9F" w:rsidRDefault="00EB3CCF" w:rsidP="00EB3CCF">
      <w:pPr>
        <w:pStyle w:val="NormalHanging12a"/>
      </w:pPr>
      <w:r w:rsidRPr="000A0D9F">
        <w:t>6.</w:t>
      </w:r>
      <w:r w:rsidRPr="000A0D9F">
        <w:tab/>
        <w:t>vyzývá, aby v rámci globálního režimu sankcí EU v oblasti lidských práv byla zvážena vhodná opatření vůči příslušným odpovědným veřejným činitelům;</w:t>
      </w:r>
    </w:p>
    <w:p w14:paraId="6FDD443B" w14:textId="77777777" w:rsidR="00EB3CCF" w:rsidRPr="000A0D9F" w:rsidRDefault="00EB3CCF" w:rsidP="00EB3CCF">
      <w:pPr>
        <w:pStyle w:val="NormalHanging12a"/>
      </w:pPr>
      <w:r w:rsidRPr="000A0D9F">
        <w:t>7.</w:t>
      </w:r>
      <w:r w:rsidRPr="000A0D9F">
        <w:tab/>
        <w:t>vyzývá delegaci EU v Baku, aby sledovala výše uvedené případy, a zvláštní zástupkyni EU pro lidská práva, aby se sešla se zadrženými akademickými pracovníky;</w:t>
      </w:r>
    </w:p>
    <w:p w14:paraId="168F72D6" w14:textId="77777777" w:rsidR="00EB3CCF" w:rsidRPr="000A0D9F" w:rsidRDefault="00EB3CCF" w:rsidP="00EB3CCF">
      <w:pPr>
        <w:pStyle w:val="NormalHanging12a"/>
      </w:pPr>
      <w:r w:rsidRPr="000A0D9F">
        <w:t>8.</w:t>
      </w:r>
      <w:r w:rsidRPr="000A0D9F">
        <w:tab/>
        <w:t>vyzývá EU, aby dále podporovala lidská práva a demokratickou správu věcí veřejných v Ázerbájdžánu, mimo jiné zvýšením podpory občanské společnosti, a zajistila, aby diplomatická angažovanost zůstala v souladu se základními hodnotami EU;</w:t>
      </w:r>
    </w:p>
    <w:p w14:paraId="183548B2" w14:textId="77777777" w:rsidR="00EB3CCF" w:rsidRPr="000A0D9F" w:rsidRDefault="00EB3CCF" w:rsidP="00EB3CCF">
      <w:pPr>
        <w:pStyle w:val="NormalHanging12a"/>
      </w:pPr>
      <w:r w:rsidRPr="000A0D9F">
        <w:t>9.</w:t>
      </w:r>
      <w:r w:rsidRPr="000A0D9F">
        <w:tab/>
        <w:t>zdůrazňuje, že pokrok týkající se jakékoli budoucí dohody o partnerství by měl být podmíněn hmatatelným zlepšením v oblasti lidských práv, právního státu a dodržování hodnot a zásad EU, včetně propuštění politických vězňů a zrušení restriktivních právních předpisů, jak je uvedeno v předchozích usneseních Parlamentu;</w:t>
      </w:r>
    </w:p>
    <w:p w14:paraId="4F329D0B" w14:textId="2B17882D" w:rsidR="000A0D9F" w:rsidRPr="000A0D9F" w:rsidRDefault="00EB3CCF" w:rsidP="000A0D9F">
      <w:pPr>
        <w:pStyle w:val="NormalHanging12a"/>
      </w:pPr>
      <w:r w:rsidRPr="000A0D9F">
        <w:t>10.</w:t>
      </w:r>
      <w:r w:rsidRPr="000A0D9F">
        <w:tab/>
        <w:t>pověřuje svou předsedkyni, aby předala toto usnesení Radě, Komisi, vysoké představitelce, místopředsedkyni Komise, členským státům a prezidentovi, vládě a parlamentu Ázerbájdžánu.</w:t>
      </w:r>
    </w:p>
    <w:p w14:paraId="051204BA" w14:textId="3B09D2E1" w:rsidR="00E365E1" w:rsidRPr="000A0D9F" w:rsidRDefault="00E365E1" w:rsidP="007656CA"/>
    <w:sectPr w:rsidR="00E365E1" w:rsidRPr="000A0D9F" w:rsidSect="000A0D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0AC27" w14:textId="77777777" w:rsidR="007656CA" w:rsidRPr="000A0D9F" w:rsidRDefault="007656CA">
      <w:r w:rsidRPr="000A0D9F">
        <w:separator/>
      </w:r>
    </w:p>
  </w:endnote>
  <w:endnote w:type="continuationSeparator" w:id="0">
    <w:p w14:paraId="3CB5A9FB" w14:textId="77777777" w:rsidR="007656CA" w:rsidRPr="000A0D9F" w:rsidRDefault="007656CA">
      <w:r w:rsidRPr="000A0D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E017" w14:textId="77777777" w:rsidR="00064002" w:rsidRPr="000A0D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97FD" w14:textId="77777777" w:rsidR="00064002" w:rsidRPr="000A0D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EFFB" w14:textId="77777777" w:rsidR="00064002" w:rsidRPr="000A0D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F6A0E" w14:textId="77777777" w:rsidR="007656CA" w:rsidRPr="000A0D9F" w:rsidRDefault="007656CA">
      <w:r w:rsidRPr="000A0D9F">
        <w:separator/>
      </w:r>
    </w:p>
  </w:footnote>
  <w:footnote w:type="continuationSeparator" w:id="0">
    <w:p w14:paraId="17FA22A4" w14:textId="77777777" w:rsidR="007656CA" w:rsidRPr="000A0D9F" w:rsidRDefault="007656CA">
      <w:r w:rsidRPr="000A0D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97425" w14:textId="77777777" w:rsidR="00064002" w:rsidRPr="000A0D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BE2B" w14:textId="77777777" w:rsidR="00064002" w:rsidRPr="000A0D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B3598" w14:textId="77777777" w:rsidR="00064002" w:rsidRPr="000A0D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6001512">
    <w:abstractNumId w:val="9"/>
  </w:num>
  <w:num w:numId="2" w16cid:durableId="255208816">
    <w:abstractNumId w:val="9"/>
  </w:num>
  <w:num w:numId="3" w16cid:durableId="932782315">
    <w:abstractNumId w:val="7"/>
  </w:num>
  <w:num w:numId="4" w16cid:durableId="333531540">
    <w:abstractNumId w:val="7"/>
  </w:num>
  <w:num w:numId="5" w16cid:durableId="244806182">
    <w:abstractNumId w:val="6"/>
  </w:num>
  <w:num w:numId="6" w16cid:durableId="925381542">
    <w:abstractNumId w:val="6"/>
  </w:num>
  <w:num w:numId="7" w16cid:durableId="1501429807">
    <w:abstractNumId w:val="5"/>
  </w:num>
  <w:num w:numId="8" w16cid:durableId="434179540">
    <w:abstractNumId w:val="5"/>
  </w:num>
  <w:num w:numId="9" w16cid:durableId="922105180">
    <w:abstractNumId w:val="4"/>
  </w:num>
  <w:num w:numId="10" w16cid:durableId="1021513456">
    <w:abstractNumId w:val="4"/>
  </w:num>
  <w:num w:numId="11" w16cid:durableId="1157768310">
    <w:abstractNumId w:val="8"/>
  </w:num>
  <w:num w:numId="12" w16cid:durableId="1240559696">
    <w:abstractNumId w:val="8"/>
  </w:num>
  <w:num w:numId="13" w16cid:durableId="843594776">
    <w:abstractNumId w:val="3"/>
  </w:num>
  <w:num w:numId="14" w16cid:durableId="405496238">
    <w:abstractNumId w:val="3"/>
  </w:num>
  <w:num w:numId="15" w16cid:durableId="345207012">
    <w:abstractNumId w:val="2"/>
  </w:num>
  <w:num w:numId="16" w16cid:durableId="248657773">
    <w:abstractNumId w:val="2"/>
  </w:num>
  <w:num w:numId="17" w16cid:durableId="358892723">
    <w:abstractNumId w:val="1"/>
  </w:num>
  <w:num w:numId="18" w16cid:durableId="52122126">
    <w:abstractNumId w:val="1"/>
  </w:num>
  <w:num w:numId="19" w16cid:durableId="1517571258">
    <w:abstractNumId w:val="0"/>
  </w:num>
  <w:num w:numId="20" w16cid:durableId="655035013">
    <w:abstractNumId w:val="0"/>
  </w:num>
  <w:num w:numId="21" w16cid:durableId="1811288696">
    <w:abstractNumId w:val="9"/>
  </w:num>
  <w:num w:numId="22" w16cid:durableId="1144158025">
    <w:abstractNumId w:val="7"/>
  </w:num>
  <w:num w:numId="23" w16cid:durableId="1880896933">
    <w:abstractNumId w:val="6"/>
  </w:num>
  <w:num w:numId="24" w16cid:durableId="1628199530">
    <w:abstractNumId w:val="5"/>
  </w:num>
  <w:num w:numId="25" w16cid:durableId="702829767">
    <w:abstractNumId w:val="4"/>
  </w:num>
  <w:num w:numId="26" w16cid:durableId="913011462">
    <w:abstractNumId w:val="8"/>
  </w:num>
  <w:num w:numId="27" w16cid:durableId="514467177">
    <w:abstractNumId w:val="3"/>
  </w:num>
  <w:num w:numId="28" w16cid:durableId="867715126">
    <w:abstractNumId w:val="2"/>
  </w:num>
  <w:num w:numId="29" w16cid:durableId="604578986">
    <w:abstractNumId w:val="1"/>
  </w:num>
  <w:num w:numId="30" w16cid:durableId="290551502">
    <w:abstractNumId w:val="0"/>
  </w:num>
  <w:num w:numId="31" w16cid:durableId="1345672660">
    <w:abstractNumId w:val="9"/>
  </w:num>
  <w:num w:numId="32" w16cid:durableId="1825078918">
    <w:abstractNumId w:val="7"/>
  </w:num>
  <w:num w:numId="33" w16cid:durableId="1180393487">
    <w:abstractNumId w:val="6"/>
  </w:num>
  <w:num w:numId="34" w16cid:durableId="88746116">
    <w:abstractNumId w:val="5"/>
  </w:num>
  <w:num w:numId="35" w16cid:durableId="796139264">
    <w:abstractNumId w:val="4"/>
  </w:num>
  <w:num w:numId="36" w16cid:durableId="415370173">
    <w:abstractNumId w:val="8"/>
  </w:num>
  <w:num w:numId="37" w16cid:durableId="102922459">
    <w:abstractNumId w:val="3"/>
  </w:num>
  <w:num w:numId="38" w16cid:durableId="1382095862">
    <w:abstractNumId w:val="2"/>
  </w:num>
  <w:num w:numId="39" w16cid:durableId="32122714">
    <w:abstractNumId w:val="1"/>
  </w:num>
  <w:num w:numId="40" w16cid:durableId="357202018">
    <w:abstractNumId w:val="0"/>
  </w:num>
  <w:num w:numId="41" w16cid:durableId="707022727">
    <w:abstractNumId w:val="10"/>
  </w:num>
  <w:num w:numId="42" w16cid:durableId="2075932756">
    <w:abstractNumId w:val="10"/>
  </w:num>
  <w:num w:numId="43" w16cid:durableId="112869481">
    <w:abstractNumId w:val="10"/>
  </w:num>
  <w:num w:numId="44" w16cid:durableId="1667981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, 0576, 0581, 0583 a 0589/2025"/>
    <w:docVar w:name="dvlangue" w:val="CS"/>
    <w:docVar w:name="dvnumam" w:val="0"/>
    <w:docVar w:name="dvpe" w:val="779.048"/>
    <w:docVar w:name="dvtitre" w:val="Usnesení Evropského parlamentu ze dne.... 2025 o svévolném zatčení a odsouzení akademických pracovníků Bəhruze Səmədova a İqbala Əbilova v Ázerbájdžánu(2025/3028(RSP))"/>
  </w:docVars>
  <w:rsids>
    <w:rsidRoot w:val="007656CA"/>
    <w:rsid w:val="00002272"/>
    <w:rsid w:val="00064002"/>
    <w:rsid w:val="000677B9"/>
    <w:rsid w:val="000831BA"/>
    <w:rsid w:val="000A0D9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42E"/>
    <w:rsid w:val="00395FA1"/>
    <w:rsid w:val="003C66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6CA"/>
    <w:rsid w:val="00786EC0"/>
    <w:rsid w:val="007D1690"/>
    <w:rsid w:val="007E22AD"/>
    <w:rsid w:val="0081628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2A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CC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24E24"/>
  <w15:chartTrackingRefBased/>
  <w15:docId w15:val="{B908240F-F32C-4724-ACFC-7D28E076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B3CCF"/>
    <w:pPr>
      <w:spacing w:after="240"/>
      <w:ind w:left="567" w:hanging="567"/>
    </w:pPr>
  </w:style>
  <w:style w:type="paragraph" w:customStyle="1" w:styleId="EPComma">
    <w:name w:val="EPComma"/>
    <w:basedOn w:val="Normal"/>
    <w:rsid w:val="00EB3CC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B3CC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2025-12-18T11:39:00Z</dcterms:created>
  <dcterms:modified xsi:type="dcterms:W3CDTF">2025-12-18T11:39:00Z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B10-0567, 0576, 0581, 0583 a 0589/2025</vt:lpwstr>
  </property>
  <property fmtid="{D5CDD505-2E9C-101B-9397-08002B2CF9AE}" pid="4" name="&lt;Type&gt;">
    <vt:lpwstr>RR</vt:lpwstr>
  </property>
</Properties>
</file>