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09DD" w14:paraId="64F05A60" w14:textId="77777777" w:rsidTr="0010095E">
        <w:trPr>
          <w:trHeight w:hRule="exact" w:val="1418"/>
        </w:trPr>
        <w:tc>
          <w:tcPr>
            <w:tcW w:w="6804" w:type="dxa"/>
            <w:shd w:val="clear" w:color="auto" w:fill="auto"/>
            <w:vAlign w:val="center"/>
          </w:tcPr>
          <w:p w14:paraId="24D1A496" w14:textId="77777777" w:rsidR="00751A4A" w:rsidRPr="005109DD" w:rsidRDefault="005D66EC" w:rsidP="0010095E">
            <w:pPr>
              <w:pStyle w:val="EPName"/>
            </w:pPr>
            <w:r w:rsidRPr="005109DD">
              <w:t>Europa-Parlamentet</w:t>
            </w:r>
          </w:p>
          <w:p w14:paraId="19A3E304" w14:textId="77777777" w:rsidR="00751A4A" w:rsidRPr="005109DD" w:rsidRDefault="005F1B17" w:rsidP="005F1B17">
            <w:pPr>
              <w:pStyle w:val="EPTerm"/>
              <w:rPr>
                <w:rStyle w:val="HideTWBExt"/>
                <w:noProof w:val="0"/>
                <w:vanish w:val="0"/>
                <w:color w:val="auto"/>
              </w:rPr>
            </w:pPr>
            <w:r w:rsidRPr="005109DD">
              <w:t>2024</w:t>
            </w:r>
            <w:r w:rsidR="00817416" w:rsidRPr="005109DD">
              <w:t>-202</w:t>
            </w:r>
            <w:r w:rsidRPr="005109DD">
              <w:t>9</w:t>
            </w:r>
          </w:p>
        </w:tc>
        <w:tc>
          <w:tcPr>
            <w:tcW w:w="2268" w:type="dxa"/>
            <w:shd w:val="clear" w:color="auto" w:fill="auto"/>
          </w:tcPr>
          <w:p w14:paraId="3F48BFBC" w14:textId="77777777" w:rsidR="00751A4A" w:rsidRPr="005109DD" w:rsidRDefault="00187494" w:rsidP="0010095E">
            <w:pPr>
              <w:pStyle w:val="EPLogo"/>
            </w:pPr>
            <w:r w:rsidRPr="005109DD">
              <w:rPr>
                <w:noProof/>
                <w:lang w:eastAsia="ja-JP"/>
              </w:rPr>
              <w:drawing>
                <wp:inline distT="0" distB="0" distL="0" distR="0" wp14:anchorId="35AEAC42" wp14:editId="09133B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C7EEDC" w14:textId="77777777" w:rsidR="00D058B8" w:rsidRPr="005109DD" w:rsidRDefault="00D058B8" w:rsidP="004C5D52">
      <w:pPr>
        <w:pStyle w:val="LineTop"/>
      </w:pPr>
    </w:p>
    <w:p w14:paraId="582373E4" w14:textId="77777777" w:rsidR="00680577" w:rsidRPr="005109DD" w:rsidRDefault="005D66EC" w:rsidP="00680577">
      <w:pPr>
        <w:pStyle w:val="EPBodyTA1"/>
      </w:pPr>
      <w:r w:rsidRPr="005109DD">
        <w:t>VEDTAGNE TEKSTER</w:t>
      </w:r>
    </w:p>
    <w:p w14:paraId="6321E956" w14:textId="77777777" w:rsidR="00D058B8" w:rsidRPr="005109DD" w:rsidRDefault="00D058B8" w:rsidP="00D058B8">
      <w:pPr>
        <w:pStyle w:val="LineBottom"/>
      </w:pPr>
    </w:p>
    <w:p w14:paraId="27017D95" w14:textId="3DAC0E39" w:rsidR="005D66EC" w:rsidRPr="00EA31A1" w:rsidRDefault="005D66EC" w:rsidP="005D66EC">
      <w:pPr>
        <w:pStyle w:val="ATHeading1"/>
      </w:pPr>
      <w:bookmarkStart w:id="0" w:name="TANumber"/>
      <w:r w:rsidRPr="00EA31A1">
        <w:t>P10_TA(2025)0</w:t>
      </w:r>
      <w:r w:rsidR="00940620">
        <w:t>339</w:t>
      </w:r>
      <w:bookmarkEnd w:id="0"/>
    </w:p>
    <w:p w14:paraId="7F3B81D6" w14:textId="77777777" w:rsidR="005D66EC" w:rsidRPr="00EA31A1" w:rsidRDefault="005D66EC" w:rsidP="005D66EC">
      <w:pPr>
        <w:pStyle w:val="ATHeading2"/>
      </w:pPr>
      <w:bookmarkStart w:id="1" w:name="title"/>
      <w:r w:rsidRPr="00EA31A1">
        <w:t xml:space="preserve">Den vilkårlige anholdelse og domfældelse af akademikerne </w:t>
      </w:r>
      <w:proofErr w:type="spellStart"/>
      <w:r w:rsidRPr="00EA31A1">
        <w:t>Bahruz</w:t>
      </w:r>
      <w:proofErr w:type="spellEnd"/>
      <w:r w:rsidRPr="00EA31A1">
        <w:t xml:space="preserve"> </w:t>
      </w:r>
      <w:proofErr w:type="spellStart"/>
      <w:r w:rsidRPr="00EA31A1">
        <w:t>Samadov</w:t>
      </w:r>
      <w:proofErr w:type="spellEnd"/>
      <w:r w:rsidRPr="00EA31A1">
        <w:t xml:space="preserve"> og </w:t>
      </w:r>
      <w:proofErr w:type="spellStart"/>
      <w:r w:rsidRPr="00EA31A1">
        <w:t>Igbal</w:t>
      </w:r>
      <w:proofErr w:type="spellEnd"/>
      <w:r w:rsidRPr="00EA31A1">
        <w:t xml:space="preserve"> </w:t>
      </w:r>
      <w:proofErr w:type="spellStart"/>
      <w:r w:rsidRPr="00EA31A1">
        <w:t>Abilov</w:t>
      </w:r>
      <w:proofErr w:type="spellEnd"/>
      <w:r w:rsidRPr="00EA31A1">
        <w:t xml:space="preserve"> i Aserbajdsjan</w:t>
      </w:r>
      <w:bookmarkEnd w:id="1"/>
    </w:p>
    <w:p w14:paraId="28F0DE3D" w14:textId="1A4AB443" w:rsidR="005D66EC" w:rsidRPr="005109DD" w:rsidRDefault="005D66EC" w:rsidP="005D66EC">
      <w:pPr>
        <w:rPr>
          <w:i/>
          <w:vanish/>
        </w:rPr>
      </w:pPr>
      <w:r w:rsidRPr="005109DD">
        <w:rPr>
          <w:i/>
        </w:rPr>
        <w:fldChar w:fldCharType="begin"/>
      </w:r>
      <w:r w:rsidRPr="005109DD">
        <w:rPr>
          <w:i/>
        </w:rPr>
        <w:instrText xml:space="preserve"> TC"(</w:instrText>
      </w:r>
      <w:bookmarkStart w:id="2" w:name="DocNumber"/>
      <w:r w:rsidRPr="005109DD">
        <w:rPr>
          <w:i/>
        </w:rPr>
        <w:instrText>B10-0567</w:instrText>
      </w:r>
      <w:r w:rsidR="006A12BA" w:rsidRPr="005109DD">
        <w:rPr>
          <w:i/>
        </w:rPr>
        <w:instrText>, 0576, 0581, 0583 og 0589</w:instrText>
      </w:r>
      <w:r w:rsidRPr="005109DD">
        <w:rPr>
          <w:i/>
        </w:rPr>
        <w:instrText>/2025</w:instrText>
      </w:r>
      <w:bookmarkEnd w:id="2"/>
      <w:r w:rsidRPr="005109DD">
        <w:rPr>
          <w:i/>
        </w:rPr>
        <w:instrText xml:space="preserve">)"\l3 \n&gt; \* MERGEFORMAT </w:instrText>
      </w:r>
      <w:r w:rsidRPr="005109DD">
        <w:rPr>
          <w:i/>
        </w:rPr>
        <w:fldChar w:fldCharType="end"/>
      </w:r>
    </w:p>
    <w:p w14:paraId="3B8A886D" w14:textId="77777777" w:rsidR="005D66EC" w:rsidRPr="005109DD" w:rsidRDefault="005D66EC" w:rsidP="005D66EC">
      <w:pPr>
        <w:rPr>
          <w:vanish/>
        </w:rPr>
      </w:pPr>
      <w:bookmarkStart w:id="3" w:name="PE"/>
      <w:r w:rsidRPr="005109DD">
        <w:rPr>
          <w:vanish/>
        </w:rPr>
        <w:t>PE779.048</w:t>
      </w:r>
      <w:bookmarkEnd w:id="3"/>
    </w:p>
    <w:p w14:paraId="4CA09543" w14:textId="77777777" w:rsidR="005D66EC" w:rsidRPr="00EA31A1" w:rsidRDefault="005D66EC" w:rsidP="005D66EC">
      <w:pPr>
        <w:pStyle w:val="ATHeading3"/>
      </w:pPr>
      <w:bookmarkStart w:id="4" w:name="Sujet"/>
      <w:r w:rsidRPr="00EA31A1">
        <w:t xml:space="preserve">Europa-Parlamentets beslutning af 18. december 2025 om den vilkårlige anholdelse og domfældelse af akademikerne </w:t>
      </w:r>
      <w:proofErr w:type="spellStart"/>
      <w:r w:rsidRPr="00EA31A1">
        <w:t>Bahruz</w:t>
      </w:r>
      <w:proofErr w:type="spellEnd"/>
      <w:r w:rsidRPr="00EA31A1">
        <w:t xml:space="preserve"> </w:t>
      </w:r>
      <w:proofErr w:type="spellStart"/>
      <w:r w:rsidRPr="00EA31A1">
        <w:t>Samadov</w:t>
      </w:r>
      <w:proofErr w:type="spellEnd"/>
      <w:r w:rsidRPr="00EA31A1">
        <w:t xml:space="preserve"> og </w:t>
      </w:r>
      <w:proofErr w:type="spellStart"/>
      <w:r w:rsidRPr="00EA31A1">
        <w:t>Igbal</w:t>
      </w:r>
      <w:proofErr w:type="spellEnd"/>
      <w:r w:rsidRPr="00EA31A1">
        <w:t xml:space="preserve"> </w:t>
      </w:r>
      <w:proofErr w:type="spellStart"/>
      <w:r w:rsidRPr="00EA31A1">
        <w:t>Abilov</w:t>
      </w:r>
      <w:proofErr w:type="spellEnd"/>
      <w:r w:rsidRPr="00EA31A1">
        <w:t xml:space="preserve"> i Aserbajdsjan</w:t>
      </w:r>
      <w:bookmarkEnd w:id="4"/>
      <w:r w:rsidRPr="00EA31A1">
        <w:t xml:space="preserve"> </w:t>
      </w:r>
      <w:bookmarkStart w:id="5" w:name="References"/>
      <w:r w:rsidRPr="00EA31A1">
        <w:t>(2025/3028(RSP))</w:t>
      </w:r>
      <w:bookmarkEnd w:id="5"/>
    </w:p>
    <w:p w14:paraId="27BDF103" w14:textId="77777777" w:rsidR="003E6B50" w:rsidRPr="005109DD" w:rsidRDefault="003E6B50" w:rsidP="003E6B50">
      <w:pPr>
        <w:pStyle w:val="EPComma"/>
      </w:pPr>
      <w:bookmarkStart w:id="6" w:name="TextBodyBegin"/>
      <w:bookmarkEnd w:id="6"/>
      <w:r w:rsidRPr="005109DD">
        <w:rPr>
          <w:i/>
        </w:rPr>
        <w:t>Europa-Parlamentet</w:t>
      </w:r>
      <w:r w:rsidRPr="005109DD">
        <w:t>,</w:t>
      </w:r>
    </w:p>
    <w:p w14:paraId="3CD3BF41" w14:textId="77777777" w:rsidR="003E6B50" w:rsidRPr="005109DD" w:rsidRDefault="003E6B50" w:rsidP="003E6B50">
      <w:pPr>
        <w:pStyle w:val="NormalHanging12a"/>
      </w:pPr>
      <w:r w:rsidRPr="005109DD">
        <w:t>–</w:t>
      </w:r>
      <w:r w:rsidRPr="005109DD">
        <w:tab/>
        <w:t>der henviser til sine tidligere beslutninger om Aserbajdsjan,</w:t>
      </w:r>
    </w:p>
    <w:p w14:paraId="225CFF2D" w14:textId="77777777" w:rsidR="003E6B50" w:rsidRPr="005109DD" w:rsidRDefault="003E6B50" w:rsidP="003E6B50">
      <w:pPr>
        <w:pStyle w:val="NormalHanging12a"/>
      </w:pPr>
      <w:r w:rsidRPr="005109DD">
        <w:t>–</w:t>
      </w:r>
      <w:r w:rsidRPr="005109DD">
        <w:tab/>
        <w:t>der henviser til forretningsordenens artikel 150, stk. 5, og artikel 136, stk. 4,</w:t>
      </w:r>
    </w:p>
    <w:p w14:paraId="64B61DAA" w14:textId="77777777" w:rsidR="003E6B50" w:rsidRPr="005109DD" w:rsidRDefault="003E6B50" w:rsidP="003E6B50">
      <w:pPr>
        <w:pStyle w:val="NormalHanging12a"/>
      </w:pPr>
      <w:r w:rsidRPr="005109DD">
        <w:t>A.</w:t>
      </w:r>
      <w:r w:rsidRPr="005109DD">
        <w:tab/>
        <w:t>der henviser til, at antallet af politiske fanger i Aserbajdsjan siden begyndelsen af 2025 er steget til næsten 400 personer, som tilbageholdes vilkårligt på grundlag af politisk motiverede anklager og bl.a. tæller civilsamfundsaktivister, oppositionsledere, journalister, akademikere og menneskerettighedsforkæmpere;</w:t>
      </w:r>
    </w:p>
    <w:p w14:paraId="399CE510" w14:textId="77777777" w:rsidR="003E6B50" w:rsidRPr="005109DD" w:rsidRDefault="003E6B50" w:rsidP="003E6B50">
      <w:pPr>
        <w:pStyle w:val="NormalHanging12a"/>
      </w:pPr>
      <w:r w:rsidRPr="005109DD">
        <w:t>B.</w:t>
      </w:r>
      <w:r w:rsidRPr="005109DD">
        <w:tab/>
        <w:t xml:space="preserve">der henviser til, at </w:t>
      </w:r>
      <w:proofErr w:type="spellStart"/>
      <w:r w:rsidRPr="005109DD">
        <w:t>Igbal</w:t>
      </w:r>
      <w:proofErr w:type="spellEnd"/>
      <w:r w:rsidRPr="005109DD">
        <w:t xml:space="preserve"> </w:t>
      </w:r>
      <w:proofErr w:type="spellStart"/>
      <w:r w:rsidRPr="005109DD">
        <w:t>Abilov</w:t>
      </w:r>
      <w:proofErr w:type="spellEnd"/>
      <w:r w:rsidRPr="005109DD">
        <w:t xml:space="preserve">, som forsker i det etniske mindretal </w:t>
      </w:r>
      <w:proofErr w:type="spellStart"/>
      <w:r w:rsidRPr="005109DD">
        <w:t>talisherne</w:t>
      </w:r>
      <w:proofErr w:type="spellEnd"/>
      <w:r w:rsidRPr="005109DD">
        <w:t xml:space="preserve"> og er chefredaktør for </w:t>
      </w:r>
      <w:proofErr w:type="spellStart"/>
      <w:r w:rsidRPr="005109DD">
        <w:t>Talysh</w:t>
      </w:r>
      <w:proofErr w:type="spellEnd"/>
      <w:r w:rsidRPr="005109DD">
        <w:t xml:space="preserve"> National Academy News, og </w:t>
      </w:r>
      <w:proofErr w:type="spellStart"/>
      <w:r w:rsidRPr="005109DD">
        <w:t>Bahruz</w:t>
      </w:r>
      <w:proofErr w:type="spellEnd"/>
      <w:r w:rsidRPr="005109DD">
        <w:t xml:space="preserve"> </w:t>
      </w:r>
      <w:proofErr w:type="spellStart"/>
      <w:r w:rsidRPr="005109DD">
        <w:t>Samadov</w:t>
      </w:r>
      <w:proofErr w:type="spellEnd"/>
      <w:r w:rsidRPr="005109DD">
        <w:t xml:space="preserve">, ph.d.-studerende ved </w:t>
      </w:r>
      <w:proofErr w:type="spellStart"/>
      <w:r w:rsidRPr="005109DD">
        <w:t>Karlsuniversitetet</w:t>
      </w:r>
      <w:proofErr w:type="spellEnd"/>
      <w:r w:rsidRPr="005109DD">
        <w:t>, er blevet idømt henholdsvis 18 og 15 års fængsel på grundlag af anklager om højforræderi;</w:t>
      </w:r>
    </w:p>
    <w:p w14:paraId="530C7CA4" w14:textId="77777777" w:rsidR="003E6B50" w:rsidRPr="005109DD" w:rsidRDefault="003E6B50" w:rsidP="003E6B50">
      <w:pPr>
        <w:pStyle w:val="NormalHanging12a"/>
      </w:pPr>
      <w:r w:rsidRPr="005109DD">
        <w:t>C.</w:t>
      </w:r>
      <w:r w:rsidRPr="005109DD">
        <w:tab/>
        <w:t>der henviser til, at retssagerne mod de to akademikere blev gennemført bag lukkede døre i strid med internationale standarder for retfærdig rettergang og uskyldsformodningen; der henviser til, at de angivelige beviser udelukkende bestod af kontakter og udvekslinger med armenske forskere; der henviser til, at deres helbredstilstand er blevet forringet under deres tid i fængsel;</w:t>
      </w:r>
    </w:p>
    <w:p w14:paraId="211673A6" w14:textId="77777777" w:rsidR="003E6B50" w:rsidRPr="005109DD" w:rsidRDefault="003E6B50" w:rsidP="003E6B50">
      <w:pPr>
        <w:pStyle w:val="NormalHanging12a"/>
      </w:pPr>
      <w:r w:rsidRPr="005109DD">
        <w:t>D.</w:t>
      </w:r>
      <w:r w:rsidRPr="005109DD">
        <w:tab/>
        <w:t xml:space="preserve">der henviser til, at disse sager kommer efter de uretfærdige og vilkårlige domme mod to andre akademikere, </w:t>
      </w:r>
      <w:proofErr w:type="spellStart"/>
      <w:r w:rsidRPr="005109DD">
        <w:t>Gubad</w:t>
      </w:r>
      <w:proofErr w:type="spellEnd"/>
      <w:r w:rsidRPr="005109DD">
        <w:t xml:space="preserve"> </w:t>
      </w:r>
      <w:proofErr w:type="spellStart"/>
      <w:r w:rsidRPr="005109DD">
        <w:t>Ibadoghlu</w:t>
      </w:r>
      <w:proofErr w:type="spellEnd"/>
      <w:r w:rsidRPr="005109DD">
        <w:t xml:space="preserve"> og </w:t>
      </w:r>
      <w:proofErr w:type="spellStart"/>
      <w:r w:rsidRPr="005109DD">
        <w:t>Fazil</w:t>
      </w:r>
      <w:proofErr w:type="spellEnd"/>
      <w:r w:rsidRPr="005109DD">
        <w:t xml:space="preserve"> </w:t>
      </w:r>
      <w:proofErr w:type="spellStart"/>
      <w:r w:rsidRPr="005109DD">
        <w:t>Gasimov</w:t>
      </w:r>
      <w:proofErr w:type="spellEnd"/>
      <w:r w:rsidRPr="005109DD">
        <w:t>;</w:t>
      </w:r>
    </w:p>
    <w:p w14:paraId="755F7980" w14:textId="77777777" w:rsidR="003E6B50" w:rsidRPr="005109DD" w:rsidRDefault="003E6B50" w:rsidP="003E6B50">
      <w:pPr>
        <w:pStyle w:val="NormalHanging12a"/>
      </w:pPr>
      <w:r w:rsidRPr="005109DD">
        <w:t>E.</w:t>
      </w:r>
      <w:r w:rsidRPr="005109DD">
        <w:tab/>
        <w:t xml:space="preserve">der henviser til, at den fremtrædende oppositionsleder Ali </w:t>
      </w:r>
      <w:proofErr w:type="spellStart"/>
      <w:r w:rsidRPr="005109DD">
        <w:t>Karimli</w:t>
      </w:r>
      <w:proofErr w:type="spellEnd"/>
      <w:r w:rsidRPr="005109DD">
        <w:t xml:space="preserve"> den 1. december 2025 blev arresteret på grundlag af påståede kupanklager som en del af den igangværende konsolidering af autoritære metoder i Aserbajdsjan;</w:t>
      </w:r>
    </w:p>
    <w:p w14:paraId="6AC5074D" w14:textId="77777777" w:rsidR="003E6B50" w:rsidRPr="005109DD" w:rsidRDefault="003E6B50" w:rsidP="003E6B50">
      <w:pPr>
        <w:pStyle w:val="NormalHanging12a"/>
      </w:pPr>
      <w:r w:rsidRPr="005109DD">
        <w:t>1.</w:t>
      </w:r>
      <w:r w:rsidRPr="005109DD">
        <w:tab/>
        <w:t xml:space="preserve">fordømmer på det kraftigste anholdelsen, retsforfølgningen og domfældelsen af </w:t>
      </w:r>
      <w:proofErr w:type="spellStart"/>
      <w:r w:rsidRPr="005109DD">
        <w:t>Bahruz</w:t>
      </w:r>
      <w:proofErr w:type="spellEnd"/>
      <w:r w:rsidRPr="005109DD">
        <w:t xml:space="preserve"> </w:t>
      </w:r>
      <w:proofErr w:type="spellStart"/>
      <w:r w:rsidRPr="005109DD">
        <w:lastRenderedPageBreak/>
        <w:t>Samadov</w:t>
      </w:r>
      <w:proofErr w:type="spellEnd"/>
      <w:r w:rsidRPr="005109DD">
        <w:t xml:space="preserve"> og </w:t>
      </w:r>
      <w:proofErr w:type="spellStart"/>
      <w:r w:rsidRPr="005109DD">
        <w:t>Igbal</w:t>
      </w:r>
      <w:proofErr w:type="spellEnd"/>
      <w:r w:rsidRPr="005109DD">
        <w:t xml:space="preserve"> </w:t>
      </w:r>
      <w:proofErr w:type="spellStart"/>
      <w:r w:rsidRPr="005109DD">
        <w:t>Abilov</w:t>
      </w:r>
      <w:proofErr w:type="spellEnd"/>
      <w:r w:rsidRPr="005109DD">
        <w:t xml:space="preserve"> på grundlag af politisk motiverede anklager;</w:t>
      </w:r>
    </w:p>
    <w:p w14:paraId="23B61314" w14:textId="77777777" w:rsidR="003E6B50" w:rsidRPr="005109DD" w:rsidRDefault="003E6B50" w:rsidP="003E6B50">
      <w:pPr>
        <w:pStyle w:val="NormalHanging12a"/>
      </w:pPr>
      <w:r w:rsidRPr="005109DD">
        <w:t>2.</w:t>
      </w:r>
      <w:r w:rsidRPr="005109DD">
        <w:tab/>
        <w:t xml:space="preserve">opfordrer Aserbajdsjan til øjeblikkeligt og betingelsesløst at løslade alle politiske fanger, navnlig </w:t>
      </w:r>
      <w:proofErr w:type="spellStart"/>
      <w:r w:rsidRPr="005109DD">
        <w:t>Bahruz</w:t>
      </w:r>
      <w:proofErr w:type="spellEnd"/>
      <w:r w:rsidRPr="005109DD">
        <w:t xml:space="preserve"> </w:t>
      </w:r>
      <w:proofErr w:type="spellStart"/>
      <w:r w:rsidRPr="005109DD">
        <w:t>Samadov</w:t>
      </w:r>
      <w:proofErr w:type="spellEnd"/>
      <w:r w:rsidRPr="005109DD">
        <w:t xml:space="preserve">, </w:t>
      </w:r>
      <w:proofErr w:type="spellStart"/>
      <w:r w:rsidRPr="005109DD">
        <w:t>Igbal</w:t>
      </w:r>
      <w:proofErr w:type="spellEnd"/>
      <w:r w:rsidRPr="005109DD">
        <w:t xml:space="preserve"> </w:t>
      </w:r>
      <w:proofErr w:type="spellStart"/>
      <w:r w:rsidRPr="005109DD">
        <w:t>Abilov</w:t>
      </w:r>
      <w:proofErr w:type="spellEnd"/>
      <w:r w:rsidRPr="005109DD">
        <w:t xml:space="preserve"> og </w:t>
      </w:r>
      <w:proofErr w:type="spellStart"/>
      <w:r w:rsidRPr="005109DD">
        <w:t>Gubad</w:t>
      </w:r>
      <w:proofErr w:type="spellEnd"/>
      <w:r w:rsidRPr="005109DD">
        <w:t xml:space="preserve"> </w:t>
      </w:r>
      <w:proofErr w:type="spellStart"/>
      <w:r w:rsidRPr="005109DD">
        <w:t>Ibadoghlu</w:t>
      </w:r>
      <w:proofErr w:type="spellEnd"/>
      <w:r w:rsidRPr="005109DD">
        <w:t xml:space="preserve">, sikre retfærdig rettergang og retssikkerhed og sætte en stopper for undertrykkelsen af journalister, aktivister, akademikere, repræsentanter for oppositionen, menneskerettighedsforkæmpere og andre ulovligt </w:t>
      </w:r>
      <w:proofErr w:type="gramStart"/>
      <w:r w:rsidRPr="005109DD">
        <w:t>tilbageholdte</w:t>
      </w:r>
      <w:proofErr w:type="gramEnd"/>
      <w:r w:rsidRPr="005109DD">
        <w:t xml:space="preserve"> personer, herunder personer i eksil;</w:t>
      </w:r>
    </w:p>
    <w:p w14:paraId="1B06B4B8" w14:textId="77777777" w:rsidR="003E6B50" w:rsidRPr="005109DD" w:rsidRDefault="003E6B50" w:rsidP="003E6B50">
      <w:pPr>
        <w:pStyle w:val="NormalHanging12a"/>
      </w:pPr>
      <w:r w:rsidRPr="005109DD">
        <w:t>3.</w:t>
      </w:r>
      <w:r w:rsidRPr="005109DD">
        <w:tab/>
        <w:t xml:space="preserve">fordømmer på det kraftigste anholdelsen af Ali </w:t>
      </w:r>
      <w:proofErr w:type="spellStart"/>
      <w:r w:rsidRPr="005109DD">
        <w:t>Karimli</w:t>
      </w:r>
      <w:proofErr w:type="spellEnd"/>
      <w:r w:rsidRPr="005109DD">
        <w:t xml:space="preserve"> og opfordrer til, at han løslades øjeblikkeligt;</w:t>
      </w:r>
    </w:p>
    <w:p w14:paraId="6B4FB123" w14:textId="77777777" w:rsidR="003E6B50" w:rsidRPr="005109DD" w:rsidRDefault="003E6B50" w:rsidP="003E6B50">
      <w:pPr>
        <w:pStyle w:val="NormalHanging12a"/>
      </w:pPr>
      <w:r w:rsidRPr="005109DD">
        <w:t>4.</w:t>
      </w:r>
      <w:r w:rsidRPr="005109DD">
        <w:tab/>
        <w:t>udtrykker især foruroligelse over misbruget af bestemmelser om national sikkerhed som redskaber til juridisk chikane, intimidering og kriminalisering af ytringsfrihed, fredsfortalervirksomhed og offentlig kritik; udtrykker dyb bekymring over den fortsatte udhuling af akademisk frihed og kulturelle rettigheder i Aserbajdsjan;</w:t>
      </w:r>
    </w:p>
    <w:p w14:paraId="6B4B71B1" w14:textId="77777777" w:rsidR="003E6B50" w:rsidRPr="005109DD" w:rsidRDefault="003E6B50" w:rsidP="003E6B50">
      <w:pPr>
        <w:pStyle w:val="NormalHanging12a"/>
      </w:pPr>
      <w:r w:rsidRPr="005109DD">
        <w:t>5.</w:t>
      </w:r>
      <w:r w:rsidRPr="005109DD">
        <w:tab/>
        <w:t>opfordrer Aserbajdsjan til at overholde og tilpasse sin lovgivning til de internationale menneskerettighedsforpligtelser og -standarder, herunder dem, der vedrører ytringsfrihed og akademisk frihed;</w:t>
      </w:r>
    </w:p>
    <w:p w14:paraId="48557562" w14:textId="77777777" w:rsidR="003E6B50" w:rsidRPr="005109DD" w:rsidRDefault="003E6B50" w:rsidP="003E6B50">
      <w:pPr>
        <w:pStyle w:val="NormalHanging12a"/>
      </w:pPr>
      <w:r w:rsidRPr="005109DD">
        <w:t>6.</w:t>
      </w:r>
      <w:r w:rsidRPr="005109DD">
        <w:tab/>
        <w:t>opfordrer til, at der overvejes passende foranstaltninger inden for rammen af den globale EU-ordning for menneskerettighedssanktioner over for relevante ansvarlige embedsmænd;</w:t>
      </w:r>
    </w:p>
    <w:p w14:paraId="1185019A" w14:textId="77777777" w:rsidR="003E6B50" w:rsidRPr="005109DD" w:rsidRDefault="003E6B50" w:rsidP="003E6B50">
      <w:pPr>
        <w:pStyle w:val="NormalHanging12a"/>
      </w:pPr>
      <w:r w:rsidRPr="005109DD">
        <w:t>7.</w:t>
      </w:r>
      <w:r w:rsidRPr="005109DD">
        <w:tab/>
        <w:t>opfordrer EU's delegation i Baku til at overvåge de ovennævnte sager og EU's særlige repræsentant for menneskerettigheder til at afholde møder med de tilbageholdte akademikere;</w:t>
      </w:r>
    </w:p>
    <w:p w14:paraId="369B31FC" w14:textId="77777777" w:rsidR="003E6B50" w:rsidRPr="005109DD" w:rsidRDefault="003E6B50" w:rsidP="003E6B50">
      <w:pPr>
        <w:pStyle w:val="NormalHanging12a"/>
      </w:pPr>
      <w:r w:rsidRPr="005109DD">
        <w:t>8.</w:t>
      </w:r>
      <w:r w:rsidRPr="005109DD">
        <w:tab/>
        <w:t>opfordrer EU til yderligere at støtte menneskerettigheder og demokratisk regeringsførelse i Aserbajdsjan, herunder ved at øge støtten til civilsamfundet, og sikre, at det diplomatiske engagement fortsat er i overensstemmelse med EU's kerneværdier;</w:t>
      </w:r>
    </w:p>
    <w:p w14:paraId="7AD95D7F" w14:textId="77777777" w:rsidR="003E6B50" w:rsidRPr="005109DD" w:rsidRDefault="003E6B50" w:rsidP="003E6B50">
      <w:pPr>
        <w:pStyle w:val="NormalHanging12a"/>
      </w:pPr>
      <w:r w:rsidRPr="005109DD">
        <w:t>9.</w:t>
      </w:r>
      <w:r w:rsidRPr="005109DD">
        <w:tab/>
        <w:t>understreger, at fremskridt med enhver fremtidig partnerskabsaftale bør være betinget af håndgribelige fremskridt inden for menneskerettigheder, retsstatsprincippet og respekt for EU's værdier og principper, herunder løsladelse af politiske fanger og ophævelse af restriktiv lovgivning, sådan som det er anført i Parlamentets tidligere beslutninger;</w:t>
      </w:r>
    </w:p>
    <w:p w14:paraId="7D4A9AE7" w14:textId="66C57BAF" w:rsidR="00E365E1" w:rsidRPr="005109DD" w:rsidRDefault="003E6B50" w:rsidP="00E843DF">
      <w:pPr>
        <w:ind w:left="567" w:hanging="567"/>
      </w:pPr>
      <w:r w:rsidRPr="005109DD">
        <w:t>10.</w:t>
      </w:r>
      <w:r w:rsidRPr="005109DD">
        <w:tab/>
        <w:t>pålægger sin formand at sende denne beslutning til Rådet, Kommissionen, næstformanden for Kommissionen/Unionens højtstående repræsentant for udenrigsanliggender og sikkerhedspolitik, medlemsstaterne og Aserbajdsjans præsident, regering og parlament.</w:t>
      </w:r>
    </w:p>
    <w:sectPr w:rsidR="00E365E1" w:rsidRPr="005109DD" w:rsidSect="00A121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CC0AA" w14:textId="77777777" w:rsidR="005D66EC" w:rsidRPr="00A12165" w:rsidRDefault="005D66EC">
      <w:r w:rsidRPr="00A12165">
        <w:separator/>
      </w:r>
    </w:p>
  </w:endnote>
  <w:endnote w:type="continuationSeparator" w:id="0">
    <w:p w14:paraId="01BEF0EB" w14:textId="77777777" w:rsidR="005D66EC" w:rsidRPr="00A12165" w:rsidRDefault="005D66EC">
      <w:r w:rsidRPr="00A121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AE56C" w14:textId="77777777" w:rsidR="00064002" w:rsidRPr="00A121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551E5" w14:textId="77777777" w:rsidR="00064002" w:rsidRPr="00A121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3EBCB" w14:textId="77777777" w:rsidR="00064002" w:rsidRPr="00A121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51AE6" w14:textId="77777777" w:rsidR="005D66EC" w:rsidRPr="00A12165" w:rsidRDefault="005D66EC">
      <w:r w:rsidRPr="00A12165">
        <w:separator/>
      </w:r>
    </w:p>
  </w:footnote>
  <w:footnote w:type="continuationSeparator" w:id="0">
    <w:p w14:paraId="7DD99556" w14:textId="77777777" w:rsidR="005D66EC" w:rsidRPr="00A12165" w:rsidRDefault="005D66EC">
      <w:r w:rsidRPr="00A121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2B6EA" w14:textId="77777777" w:rsidR="00064002" w:rsidRPr="00A121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05DB7" w14:textId="77777777" w:rsidR="00064002" w:rsidRPr="00A121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98E1" w14:textId="77777777" w:rsidR="00064002" w:rsidRPr="00A121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3638219">
    <w:abstractNumId w:val="9"/>
  </w:num>
  <w:num w:numId="2" w16cid:durableId="137306217">
    <w:abstractNumId w:val="9"/>
  </w:num>
  <w:num w:numId="3" w16cid:durableId="495148613">
    <w:abstractNumId w:val="7"/>
  </w:num>
  <w:num w:numId="4" w16cid:durableId="1863666426">
    <w:abstractNumId w:val="7"/>
  </w:num>
  <w:num w:numId="5" w16cid:durableId="95174841">
    <w:abstractNumId w:val="6"/>
  </w:num>
  <w:num w:numId="6" w16cid:durableId="1077480841">
    <w:abstractNumId w:val="6"/>
  </w:num>
  <w:num w:numId="7" w16cid:durableId="1125388437">
    <w:abstractNumId w:val="5"/>
  </w:num>
  <w:num w:numId="8" w16cid:durableId="68311850">
    <w:abstractNumId w:val="5"/>
  </w:num>
  <w:num w:numId="9" w16cid:durableId="1793011706">
    <w:abstractNumId w:val="4"/>
  </w:num>
  <w:num w:numId="10" w16cid:durableId="1570723330">
    <w:abstractNumId w:val="4"/>
  </w:num>
  <w:num w:numId="11" w16cid:durableId="587006136">
    <w:abstractNumId w:val="8"/>
  </w:num>
  <w:num w:numId="12" w16cid:durableId="734202207">
    <w:abstractNumId w:val="8"/>
  </w:num>
  <w:num w:numId="13" w16cid:durableId="1695300810">
    <w:abstractNumId w:val="3"/>
  </w:num>
  <w:num w:numId="14" w16cid:durableId="226305918">
    <w:abstractNumId w:val="3"/>
  </w:num>
  <w:num w:numId="15" w16cid:durableId="2103725098">
    <w:abstractNumId w:val="2"/>
  </w:num>
  <w:num w:numId="16" w16cid:durableId="958727148">
    <w:abstractNumId w:val="2"/>
  </w:num>
  <w:num w:numId="17" w16cid:durableId="681123617">
    <w:abstractNumId w:val="1"/>
  </w:num>
  <w:num w:numId="18" w16cid:durableId="1731268396">
    <w:abstractNumId w:val="1"/>
  </w:num>
  <w:num w:numId="19" w16cid:durableId="959185499">
    <w:abstractNumId w:val="0"/>
  </w:num>
  <w:num w:numId="20" w16cid:durableId="1381175020">
    <w:abstractNumId w:val="0"/>
  </w:num>
  <w:num w:numId="21" w16cid:durableId="557281361">
    <w:abstractNumId w:val="9"/>
  </w:num>
  <w:num w:numId="22" w16cid:durableId="109210482">
    <w:abstractNumId w:val="7"/>
  </w:num>
  <w:num w:numId="23" w16cid:durableId="1194264412">
    <w:abstractNumId w:val="6"/>
  </w:num>
  <w:num w:numId="24" w16cid:durableId="1976711686">
    <w:abstractNumId w:val="5"/>
  </w:num>
  <w:num w:numId="25" w16cid:durableId="1710914829">
    <w:abstractNumId w:val="4"/>
  </w:num>
  <w:num w:numId="26" w16cid:durableId="1889369549">
    <w:abstractNumId w:val="8"/>
  </w:num>
  <w:num w:numId="27" w16cid:durableId="800878757">
    <w:abstractNumId w:val="3"/>
  </w:num>
  <w:num w:numId="28" w16cid:durableId="1317369590">
    <w:abstractNumId w:val="2"/>
  </w:num>
  <w:num w:numId="29" w16cid:durableId="2132623212">
    <w:abstractNumId w:val="1"/>
  </w:num>
  <w:num w:numId="30" w16cid:durableId="1252355197">
    <w:abstractNumId w:val="0"/>
  </w:num>
  <w:num w:numId="31" w16cid:durableId="865220075">
    <w:abstractNumId w:val="9"/>
  </w:num>
  <w:num w:numId="32" w16cid:durableId="1817061623">
    <w:abstractNumId w:val="7"/>
  </w:num>
  <w:num w:numId="33" w16cid:durableId="374351737">
    <w:abstractNumId w:val="6"/>
  </w:num>
  <w:num w:numId="34" w16cid:durableId="523641444">
    <w:abstractNumId w:val="5"/>
  </w:num>
  <w:num w:numId="35" w16cid:durableId="1630628124">
    <w:abstractNumId w:val="4"/>
  </w:num>
  <w:num w:numId="36" w16cid:durableId="1053697201">
    <w:abstractNumId w:val="8"/>
  </w:num>
  <w:num w:numId="37" w16cid:durableId="1257590656">
    <w:abstractNumId w:val="3"/>
  </w:num>
  <w:num w:numId="38" w16cid:durableId="977536219">
    <w:abstractNumId w:val="2"/>
  </w:num>
  <w:num w:numId="39" w16cid:durableId="1552687892">
    <w:abstractNumId w:val="1"/>
  </w:num>
  <w:num w:numId="40" w16cid:durableId="1882477994">
    <w:abstractNumId w:val="0"/>
  </w:num>
  <w:num w:numId="41" w16cid:durableId="1065297583">
    <w:abstractNumId w:val="10"/>
  </w:num>
  <w:num w:numId="42" w16cid:durableId="817842345">
    <w:abstractNumId w:val="10"/>
  </w:num>
  <w:num w:numId="43" w16cid:durableId="161162496">
    <w:abstractNumId w:val="10"/>
  </w:num>
  <w:num w:numId="44" w16cid:durableId="10855417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7/2025"/>
    <w:docVar w:name="dvlangue" w:val="DA"/>
    <w:docVar w:name="dvnumam" w:val="0"/>
    <w:docVar w:name="dvpe" w:val="779.048"/>
    <w:docVar w:name="dvtitre" w:val="Europa-Parlamentets beslutning af 18. december 2025 om den vilkårlige anholdelse og domfældelse af akademikerne Bahruz Samadov og Igbal Abilov i Aserbajdsjan(2025/3028(RSP))"/>
  </w:docVars>
  <w:rsids>
    <w:rsidRoot w:val="005D66E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6B50"/>
    <w:rsid w:val="00411CCE"/>
    <w:rsid w:val="0041666E"/>
    <w:rsid w:val="00421060"/>
    <w:rsid w:val="00471C19"/>
    <w:rsid w:val="00486714"/>
    <w:rsid w:val="004867E3"/>
    <w:rsid w:val="00494A28"/>
    <w:rsid w:val="004C0004"/>
    <w:rsid w:val="004C5D52"/>
    <w:rsid w:val="0050519A"/>
    <w:rsid w:val="005072A1"/>
    <w:rsid w:val="005109DD"/>
    <w:rsid w:val="00514517"/>
    <w:rsid w:val="00545827"/>
    <w:rsid w:val="00560270"/>
    <w:rsid w:val="005C2568"/>
    <w:rsid w:val="005D66EC"/>
    <w:rsid w:val="005F1B17"/>
    <w:rsid w:val="006037C0"/>
    <w:rsid w:val="006631B6"/>
    <w:rsid w:val="00680577"/>
    <w:rsid w:val="006A12B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620"/>
    <w:rsid w:val="009509D8"/>
    <w:rsid w:val="00950B64"/>
    <w:rsid w:val="00981893"/>
    <w:rsid w:val="00A1216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43DF"/>
    <w:rsid w:val="00EA31A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DDBCD"/>
  <w15:chartTrackingRefBased/>
  <w15:docId w15:val="{6169BA6E-5262-4B25-8CE6-31DA0166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E6B50"/>
    <w:pPr>
      <w:spacing w:after="240"/>
      <w:ind w:left="567" w:hanging="567"/>
    </w:pPr>
  </w:style>
  <w:style w:type="paragraph" w:customStyle="1" w:styleId="EPComma">
    <w:name w:val="EPComma"/>
    <w:basedOn w:val="Normal"/>
    <w:rsid w:val="003E6B50"/>
    <w:pPr>
      <w:spacing w:before="480" w:after="240"/>
    </w:pPr>
  </w:style>
  <w:style w:type="character" w:customStyle="1" w:styleId="NormalHanging12aChar">
    <w:name w:val="NormalHanging12a Char"/>
    <w:basedOn w:val="DefaultParagraphFont"/>
    <w:link w:val="NormalHanging12a"/>
    <w:locked/>
    <w:rsid w:val="003E6B50"/>
    <w:rPr>
      <w:sz w:val="24"/>
      <w:lang w:val="da-DK"/>
    </w:rPr>
  </w:style>
  <w:style w:type="paragraph" w:styleId="Revision">
    <w:name w:val="Revision"/>
    <w:hidden/>
    <w:uiPriority w:val="99"/>
    <w:semiHidden/>
    <w:rsid w:val="006A12BA"/>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2025-12-18T11:39:00Z</dcterms:created>
  <dcterms:modified xsi:type="dcterms:W3CDTF">2025-12-18T11:39:00Z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P10_TA-PROV(2025)0339_B10-0567_2025_</vt:lpwstr>
  </property>
  <property fmtid="{D5CDD505-2E9C-101B-9397-08002B2CF9AE}" pid="4" name="&lt;Type&gt;">
    <vt:lpwstr>RR</vt:lpwstr>
  </property>
</Properties>
</file>