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4E4A" w14:paraId="193804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DF67F9" w14:textId="77777777" w:rsidR="00751A4A" w:rsidRPr="00D44E4A" w:rsidRDefault="002D562C" w:rsidP="0010095E">
            <w:pPr>
              <w:pStyle w:val="EPName"/>
            </w:pPr>
            <w:r w:rsidRPr="00D44E4A">
              <w:t>Parlamento europeo</w:t>
            </w:r>
          </w:p>
          <w:p w14:paraId="26A48590" w14:textId="77777777" w:rsidR="00751A4A" w:rsidRPr="00D44E4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4E4A">
              <w:t>2024</w:t>
            </w:r>
            <w:r w:rsidR="00817416" w:rsidRPr="00D44E4A">
              <w:t>-202</w:t>
            </w:r>
            <w:r w:rsidRPr="00D44E4A">
              <w:t>9</w:t>
            </w:r>
          </w:p>
        </w:tc>
        <w:tc>
          <w:tcPr>
            <w:tcW w:w="2268" w:type="dxa"/>
            <w:shd w:val="clear" w:color="auto" w:fill="auto"/>
          </w:tcPr>
          <w:p w14:paraId="10A4B171" w14:textId="77777777" w:rsidR="00751A4A" w:rsidRPr="00D44E4A" w:rsidRDefault="00187494" w:rsidP="0010095E">
            <w:pPr>
              <w:pStyle w:val="EPLogo"/>
            </w:pPr>
            <w:r w:rsidRPr="00D44E4A">
              <w:rPr>
                <w:noProof/>
                <w:lang w:eastAsia="ja-JP"/>
              </w:rPr>
              <w:drawing>
                <wp:inline distT="0" distB="0" distL="0" distR="0" wp14:anchorId="30BD3BFD" wp14:editId="66B31D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11BB82" w14:textId="77777777" w:rsidR="00D058B8" w:rsidRPr="00D44E4A" w:rsidRDefault="00D058B8" w:rsidP="004C5D52">
      <w:pPr>
        <w:pStyle w:val="LineTop"/>
      </w:pPr>
    </w:p>
    <w:p w14:paraId="64531A41" w14:textId="77777777" w:rsidR="00680577" w:rsidRPr="00D44E4A" w:rsidRDefault="002D562C" w:rsidP="00680577">
      <w:pPr>
        <w:pStyle w:val="EPBodyTA1"/>
      </w:pPr>
      <w:r w:rsidRPr="00D44E4A">
        <w:t>TESTI APPROVATI</w:t>
      </w:r>
    </w:p>
    <w:p w14:paraId="63231A02" w14:textId="77777777" w:rsidR="00D058B8" w:rsidRPr="00D44E4A" w:rsidRDefault="00D058B8" w:rsidP="00D058B8">
      <w:pPr>
        <w:pStyle w:val="LineBottom"/>
      </w:pPr>
    </w:p>
    <w:p w14:paraId="54A9BC3B" w14:textId="3E20B1C8" w:rsidR="002D562C" w:rsidRPr="00D44E4A" w:rsidRDefault="002D562C" w:rsidP="002D562C">
      <w:pPr>
        <w:pStyle w:val="ATHeading1"/>
      </w:pPr>
      <w:bookmarkStart w:id="0" w:name="TANumber"/>
      <w:r w:rsidRPr="00D44E4A">
        <w:t>P10_</w:t>
      </w:r>
      <w:proofErr w:type="gramStart"/>
      <w:r w:rsidRPr="00D44E4A">
        <w:t>TA(</w:t>
      </w:r>
      <w:proofErr w:type="gramEnd"/>
      <w:r w:rsidRPr="00D44E4A">
        <w:t>2025)0</w:t>
      </w:r>
      <w:r w:rsidR="00FE48C1" w:rsidRPr="00D44E4A">
        <w:t>339</w:t>
      </w:r>
      <w:bookmarkEnd w:id="0"/>
    </w:p>
    <w:p w14:paraId="0EA706CB" w14:textId="77777777" w:rsidR="002D562C" w:rsidRPr="00D44E4A" w:rsidRDefault="002D562C" w:rsidP="002D562C">
      <w:pPr>
        <w:pStyle w:val="ATHeading2"/>
      </w:pPr>
      <w:bookmarkStart w:id="1" w:name="title"/>
      <w:r w:rsidRPr="00D44E4A">
        <w:t xml:space="preserve">Arresto arbitrario e condanna degli accademici </w:t>
      </w:r>
      <w:proofErr w:type="spellStart"/>
      <w:r w:rsidRPr="00D44E4A">
        <w:t>Bahruz</w:t>
      </w:r>
      <w:proofErr w:type="spellEnd"/>
      <w:r w:rsidRPr="00D44E4A">
        <w:t xml:space="preserve"> </w:t>
      </w:r>
      <w:proofErr w:type="spellStart"/>
      <w:r w:rsidRPr="00D44E4A">
        <w:t>Samadov</w:t>
      </w:r>
      <w:proofErr w:type="spellEnd"/>
      <w:r w:rsidRPr="00D44E4A">
        <w:t xml:space="preserve"> e </w:t>
      </w:r>
      <w:proofErr w:type="spellStart"/>
      <w:r w:rsidRPr="00D44E4A">
        <w:t>Igbal</w:t>
      </w:r>
      <w:proofErr w:type="spellEnd"/>
      <w:r w:rsidRPr="00D44E4A">
        <w:t xml:space="preserve"> </w:t>
      </w:r>
      <w:proofErr w:type="spellStart"/>
      <w:r w:rsidRPr="00D44E4A">
        <w:t>Abilov</w:t>
      </w:r>
      <w:proofErr w:type="spellEnd"/>
      <w:r w:rsidRPr="00D44E4A">
        <w:t xml:space="preserve"> in Azerbaigian</w:t>
      </w:r>
      <w:bookmarkEnd w:id="1"/>
    </w:p>
    <w:p w14:paraId="38BC47AE" w14:textId="0DF0E3DD" w:rsidR="002D562C" w:rsidRPr="00D44E4A" w:rsidRDefault="002D562C" w:rsidP="002D562C">
      <w:pPr>
        <w:rPr>
          <w:i/>
          <w:vanish/>
        </w:rPr>
      </w:pPr>
      <w:r w:rsidRPr="00D44E4A">
        <w:rPr>
          <w:i/>
        </w:rPr>
        <w:fldChar w:fldCharType="begin"/>
      </w:r>
      <w:r w:rsidRPr="00D44E4A">
        <w:rPr>
          <w:i/>
        </w:rPr>
        <w:instrText xml:space="preserve"> TC"(</w:instrText>
      </w:r>
      <w:bookmarkStart w:id="2" w:name="DocNumber"/>
      <w:r w:rsidRPr="00D44E4A">
        <w:rPr>
          <w:i/>
        </w:rPr>
        <w:instrText>B10-0567</w:instrText>
      </w:r>
      <w:r w:rsidR="00194165" w:rsidRPr="00D44E4A">
        <w:rPr>
          <w:i/>
        </w:rPr>
        <w:instrText>, 0576, 0581, 0583 e 0589</w:instrText>
      </w:r>
      <w:r w:rsidRPr="00D44E4A">
        <w:rPr>
          <w:i/>
        </w:rPr>
        <w:instrText>/2025</w:instrText>
      </w:r>
      <w:bookmarkEnd w:id="2"/>
      <w:r w:rsidRPr="00D44E4A">
        <w:rPr>
          <w:i/>
        </w:rPr>
        <w:instrText xml:space="preserve">)"\l3 \n&gt; \* MERGEFORMAT </w:instrText>
      </w:r>
      <w:r w:rsidRPr="00D44E4A">
        <w:rPr>
          <w:i/>
        </w:rPr>
        <w:fldChar w:fldCharType="end"/>
      </w:r>
    </w:p>
    <w:p w14:paraId="2A169EF3" w14:textId="77777777" w:rsidR="002D562C" w:rsidRPr="00D44E4A" w:rsidRDefault="002D562C" w:rsidP="002D562C">
      <w:pPr>
        <w:rPr>
          <w:vanish/>
        </w:rPr>
      </w:pPr>
      <w:bookmarkStart w:id="3" w:name="PE"/>
      <w:r w:rsidRPr="00D44E4A">
        <w:rPr>
          <w:vanish/>
        </w:rPr>
        <w:t>PE779.048</w:t>
      </w:r>
      <w:bookmarkEnd w:id="3"/>
    </w:p>
    <w:p w14:paraId="40DCA7B8" w14:textId="77777777" w:rsidR="002D562C" w:rsidRPr="00D44E4A" w:rsidRDefault="002D562C" w:rsidP="002D562C">
      <w:pPr>
        <w:pStyle w:val="ATHeading3"/>
      </w:pPr>
      <w:bookmarkStart w:id="4" w:name="Sujet"/>
      <w:r w:rsidRPr="00D44E4A">
        <w:t xml:space="preserve">Risoluzione del Parlamento europeo del 18 dicembre 2025 sull'arresto arbitrario e la condanna degli accademici </w:t>
      </w:r>
      <w:proofErr w:type="spellStart"/>
      <w:r w:rsidRPr="00D44E4A">
        <w:t>Bahruz</w:t>
      </w:r>
      <w:proofErr w:type="spellEnd"/>
      <w:r w:rsidRPr="00D44E4A">
        <w:t xml:space="preserve"> </w:t>
      </w:r>
      <w:proofErr w:type="spellStart"/>
      <w:r w:rsidRPr="00D44E4A">
        <w:t>Samadov</w:t>
      </w:r>
      <w:proofErr w:type="spellEnd"/>
      <w:r w:rsidRPr="00D44E4A">
        <w:t xml:space="preserve"> e </w:t>
      </w:r>
      <w:proofErr w:type="spellStart"/>
      <w:r w:rsidRPr="00D44E4A">
        <w:t>Igbal</w:t>
      </w:r>
      <w:proofErr w:type="spellEnd"/>
      <w:r w:rsidRPr="00D44E4A">
        <w:t xml:space="preserve"> </w:t>
      </w:r>
      <w:proofErr w:type="spellStart"/>
      <w:r w:rsidRPr="00D44E4A">
        <w:t>Abilov</w:t>
      </w:r>
      <w:proofErr w:type="spellEnd"/>
      <w:r w:rsidRPr="00D44E4A">
        <w:t xml:space="preserve"> in Azerbaigian</w:t>
      </w:r>
      <w:bookmarkEnd w:id="4"/>
      <w:r w:rsidRPr="00D44E4A">
        <w:t xml:space="preserve"> </w:t>
      </w:r>
      <w:bookmarkStart w:id="5" w:name="References"/>
      <w:r w:rsidRPr="00D44E4A">
        <w:t>(2025/3028(RSP))</w:t>
      </w:r>
      <w:bookmarkEnd w:id="5"/>
    </w:p>
    <w:p w14:paraId="664307ED" w14:textId="77777777" w:rsidR="007D4465" w:rsidRPr="00D44E4A" w:rsidRDefault="007D4465" w:rsidP="007D4465">
      <w:pPr>
        <w:pStyle w:val="EPComma"/>
      </w:pPr>
      <w:bookmarkStart w:id="6" w:name="TextBodyBegin"/>
      <w:bookmarkEnd w:id="6"/>
      <w:r w:rsidRPr="00D44E4A">
        <w:rPr>
          <w:i/>
        </w:rPr>
        <w:t>Il Parlamento europeo</w:t>
      </w:r>
      <w:r w:rsidRPr="00D44E4A">
        <w:t>,</w:t>
      </w:r>
    </w:p>
    <w:p w14:paraId="3493F7C6" w14:textId="77777777" w:rsidR="007D4465" w:rsidRPr="00D44E4A" w:rsidRDefault="007D4465" w:rsidP="007D4465">
      <w:pPr>
        <w:pStyle w:val="NormalHanging12a"/>
      </w:pPr>
      <w:r w:rsidRPr="00D44E4A">
        <w:t>–</w:t>
      </w:r>
      <w:r w:rsidRPr="00D44E4A">
        <w:tab/>
        <w:t>viste le sue precedenti risoluzioni sull'Azerbaigian,</w:t>
      </w:r>
    </w:p>
    <w:p w14:paraId="2B953741" w14:textId="77777777" w:rsidR="007D4465" w:rsidRPr="00D44E4A" w:rsidRDefault="007D4465" w:rsidP="007D4465">
      <w:pPr>
        <w:pStyle w:val="NormalHanging12a"/>
      </w:pPr>
      <w:r w:rsidRPr="00D44E4A">
        <w:t>–</w:t>
      </w:r>
      <w:r w:rsidRPr="00D44E4A">
        <w:tab/>
        <w:t>visti l'articolo 150, paragrafo 5, e l'articolo 136, paragrafo 4, del suo regolamento,</w:t>
      </w:r>
    </w:p>
    <w:p w14:paraId="167587AA" w14:textId="77777777" w:rsidR="007D4465" w:rsidRPr="00D44E4A" w:rsidRDefault="007D4465" w:rsidP="007D4465">
      <w:pPr>
        <w:pStyle w:val="NormalHanging12a"/>
      </w:pPr>
      <w:r w:rsidRPr="00D44E4A">
        <w:t>A.</w:t>
      </w:r>
      <w:r w:rsidRPr="00D44E4A">
        <w:tab/>
        <w:t>considerando che dall'inizio del 2025 il numero di prigionieri politici in Azerbaigian è salito a quasi 400 persone, detenute arbitrariamente sulla base di accuse di matrice politica, e che tra di esse figurano attivisti della società civile, leader dell'opposizione, giornalisti, accademici e difensori dei diritti umani;</w:t>
      </w:r>
    </w:p>
    <w:p w14:paraId="35E25070" w14:textId="77777777" w:rsidR="007D4465" w:rsidRPr="00D44E4A" w:rsidRDefault="007D4465" w:rsidP="007D4465">
      <w:pPr>
        <w:pStyle w:val="NormalHanging12a"/>
      </w:pPr>
      <w:r w:rsidRPr="00D44E4A">
        <w:t>B.</w:t>
      </w:r>
      <w:r w:rsidRPr="00D44E4A">
        <w:tab/>
        <w:t xml:space="preserve">considerando che </w:t>
      </w:r>
      <w:proofErr w:type="spellStart"/>
      <w:r w:rsidRPr="00D44E4A">
        <w:t>Igbal</w:t>
      </w:r>
      <w:proofErr w:type="spellEnd"/>
      <w:r w:rsidRPr="00D44E4A">
        <w:t xml:space="preserve"> </w:t>
      </w:r>
      <w:proofErr w:type="spellStart"/>
      <w:r w:rsidRPr="00D44E4A">
        <w:t>Abilov</w:t>
      </w:r>
      <w:proofErr w:type="spellEnd"/>
      <w:r w:rsidRPr="00D44E4A">
        <w:t xml:space="preserve">, ricercatore appartenente alla minoranza etnica </w:t>
      </w:r>
      <w:proofErr w:type="spellStart"/>
      <w:r w:rsidRPr="00D44E4A">
        <w:t>talysh</w:t>
      </w:r>
      <w:proofErr w:type="spellEnd"/>
      <w:r w:rsidRPr="00D44E4A">
        <w:t xml:space="preserve"> e caporedattore di "</w:t>
      </w:r>
      <w:proofErr w:type="spellStart"/>
      <w:r w:rsidRPr="00D44E4A">
        <w:t>Talysh</w:t>
      </w:r>
      <w:proofErr w:type="spellEnd"/>
      <w:r w:rsidRPr="00D44E4A">
        <w:t xml:space="preserve"> National Academy News", e </w:t>
      </w:r>
      <w:proofErr w:type="spellStart"/>
      <w:r w:rsidRPr="00D44E4A">
        <w:t>Bahruz</w:t>
      </w:r>
      <w:proofErr w:type="spellEnd"/>
      <w:r w:rsidRPr="00D44E4A">
        <w:t xml:space="preserve"> </w:t>
      </w:r>
      <w:proofErr w:type="spellStart"/>
      <w:r w:rsidRPr="00D44E4A">
        <w:t>Samadov</w:t>
      </w:r>
      <w:proofErr w:type="spellEnd"/>
      <w:r w:rsidRPr="00D44E4A">
        <w:t>, dottorando presso l'Università Carolina, sono stati condannati rispettivamente a 18 e 15 anni di reclusione con l'accusa di alto tradimento;</w:t>
      </w:r>
    </w:p>
    <w:p w14:paraId="46349DB2" w14:textId="77777777" w:rsidR="007D4465" w:rsidRPr="00D44E4A" w:rsidRDefault="007D4465" w:rsidP="007D4465">
      <w:pPr>
        <w:pStyle w:val="NormalHanging12a"/>
      </w:pPr>
      <w:r w:rsidRPr="00D44E4A">
        <w:t>C.</w:t>
      </w:r>
      <w:r w:rsidRPr="00D44E4A">
        <w:tab/>
        <w:t>considerando che i processi di entrambi gli accademici si sono svolti a porte chiuse, in violazione delle norme internazionali in materia di processo equo e della presunzione di innocenza; che i presunti elementi di prova consistevano esclusivamente in contatti e scambi con studiosi armeni; che le loro condizioni di salute sono peggiorate durante la detenzione;</w:t>
      </w:r>
    </w:p>
    <w:p w14:paraId="6B929AAA" w14:textId="77777777" w:rsidR="007D4465" w:rsidRPr="00D44E4A" w:rsidRDefault="007D4465" w:rsidP="007D4465">
      <w:pPr>
        <w:pStyle w:val="NormalHanging12a"/>
      </w:pPr>
      <w:r w:rsidRPr="00D44E4A">
        <w:t>D.</w:t>
      </w:r>
      <w:r w:rsidRPr="00D44E4A">
        <w:tab/>
        <w:t xml:space="preserve">considerando che questi casi fanno seguito alla condanna ingiusta e arbitraria di altri due accademici, </w:t>
      </w:r>
      <w:proofErr w:type="spellStart"/>
      <w:r w:rsidRPr="00D44E4A">
        <w:t>Gubad</w:t>
      </w:r>
      <w:proofErr w:type="spellEnd"/>
      <w:r w:rsidRPr="00D44E4A">
        <w:t xml:space="preserve"> </w:t>
      </w:r>
      <w:proofErr w:type="spellStart"/>
      <w:r w:rsidRPr="00D44E4A">
        <w:t>Ibadoghlu</w:t>
      </w:r>
      <w:proofErr w:type="spellEnd"/>
      <w:r w:rsidRPr="00D44E4A">
        <w:t xml:space="preserve"> e </w:t>
      </w:r>
      <w:proofErr w:type="spellStart"/>
      <w:r w:rsidRPr="00D44E4A">
        <w:t>Fazil</w:t>
      </w:r>
      <w:proofErr w:type="spellEnd"/>
      <w:r w:rsidRPr="00D44E4A">
        <w:t xml:space="preserve"> </w:t>
      </w:r>
      <w:proofErr w:type="spellStart"/>
      <w:r w:rsidRPr="00D44E4A">
        <w:t>Gasimov</w:t>
      </w:r>
      <w:proofErr w:type="spellEnd"/>
      <w:r w:rsidRPr="00D44E4A">
        <w:t>;</w:t>
      </w:r>
    </w:p>
    <w:p w14:paraId="72446643" w14:textId="77777777" w:rsidR="007D4465" w:rsidRPr="00D44E4A" w:rsidRDefault="007D4465" w:rsidP="007D4465">
      <w:pPr>
        <w:pStyle w:val="NormalHanging12a"/>
      </w:pPr>
      <w:r w:rsidRPr="00D44E4A">
        <w:t>E.</w:t>
      </w:r>
      <w:r w:rsidRPr="00D44E4A">
        <w:tab/>
        <w:t xml:space="preserve">considerando che il 1° dicembre 2025 Ali </w:t>
      </w:r>
      <w:proofErr w:type="spellStart"/>
      <w:r w:rsidRPr="00D44E4A">
        <w:t>Karimli</w:t>
      </w:r>
      <w:proofErr w:type="spellEnd"/>
      <w:r w:rsidRPr="00D44E4A">
        <w:t>, leader di spicco dell'opposizione, è stato arrestato con l'accusa di presunto colpo di Stato nell'ambito del consolidamento in corso delle pratiche autoritarie in Azerbaigian;</w:t>
      </w:r>
    </w:p>
    <w:p w14:paraId="451417F1" w14:textId="77777777" w:rsidR="007D4465" w:rsidRPr="00D44E4A" w:rsidRDefault="007D4465" w:rsidP="007D4465">
      <w:pPr>
        <w:pStyle w:val="NormalHanging12a"/>
      </w:pPr>
      <w:r w:rsidRPr="00D44E4A">
        <w:t>1.</w:t>
      </w:r>
      <w:r w:rsidRPr="00D44E4A">
        <w:tab/>
        <w:t xml:space="preserve">condanna fermamente l'arresto, l'incriminazione e la condanna, sulla base di accuse di matrice politica, di </w:t>
      </w:r>
      <w:proofErr w:type="spellStart"/>
      <w:r w:rsidRPr="00D44E4A">
        <w:t>Bahruz</w:t>
      </w:r>
      <w:proofErr w:type="spellEnd"/>
      <w:r w:rsidRPr="00D44E4A">
        <w:t xml:space="preserve"> </w:t>
      </w:r>
      <w:proofErr w:type="spellStart"/>
      <w:r w:rsidRPr="00D44E4A">
        <w:t>Samadov</w:t>
      </w:r>
      <w:proofErr w:type="spellEnd"/>
      <w:r w:rsidRPr="00D44E4A">
        <w:t xml:space="preserve"> e </w:t>
      </w:r>
      <w:proofErr w:type="spellStart"/>
      <w:r w:rsidRPr="00D44E4A">
        <w:t>Igbal</w:t>
      </w:r>
      <w:proofErr w:type="spellEnd"/>
      <w:r w:rsidRPr="00D44E4A">
        <w:t xml:space="preserve"> </w:t>
      </w:r>
      <w:proofErr w:type="spellStart"/>
      <w:r w:rsidRPr="00D44E4A">
        <w:t>Abilov</w:t>
      </w:r>
      <w:proofErr w:type="spellEnd"/>
      <w:r w:rsidRPr="00D44E4A">
        <w:t>;</w:t>
      </w:r>
    </w:p>
    <w:p w14:paraId="2EE75F47" w14:textId="77777777" w:rsidR="007D4465" w:rsidRPr="00D44E4A" w:rsidRDefault="007D4465" w:rsidP="007D4465">
      <w:pPr>
        <w:pStyle w:val="NormalHanging12a"/>
      </w:pPr>
      <w:r w:rsidRPr="00D44E4A">
        <w:t>2.</w:t>
      </w:r>
      <w:r w:rsidRPr="00D44E4A">
        <w:tab/>
        <w:t xml:space="preserve">invita l'Azerbaigian a rilasciare immediatamente e incondizionatamente tutti i </w:t>
      </w:r>
      <w:r w:rsidRPr="00D44E4A">
        <w:lastRenderedPageBreak/>
        <w:t xml:space="preserve">prigionieri politici, in particolare </w:t>
      </w:r>
      <w:proofErr w:type="spellStart"/>
      <w:r w:rsidRPr="00D44E4A">
        <w:t>Bahruz</w:t>
      </w:r>
      <w:proofErr w:type="spellEnd"/>
      <w:r w:rsidRPr="00D44E4A">
        <w:t xml:space="preserve"> </w:t>
      </w:r>
      <w:proofErr w:type="spellStart"/>
      <w:r w:rsidRPr="00D44E4A">
        <w:t>Samadov</w:t>
      </w:r>
      <w:proofErr w:type="spellEnd"/>
      <w:r w:rsidRPr="00D44E4A">
        <w:t xml:space="preserve">, </w:t>
      </w:r>
      <w:proofErr w:type="spellStart"/>
      <w:r w:rsidRPr="00D44E4A">
        <w:t>Igbal</w:t>
      </w:r>
      <w:proofErr w:type="spellEnd"/>
      <w:r w:rsidRPr="00D44E4A">
        <w:t xml:space="preserve"> </w:t>
      </w:r>
      <w:proofErr w:type="spellStart"/>
      <w:r w:rsidRPr="00D44E4A">
        <w:t>Abilov</w:t>
      </w:r>
      <w:proofErr w:type="spellEnd"/>
      <w:r w:rsidRPr="00D44E4A">
        <w:t xml:space="preserve"> e </w:t>
      </w:r>
      <w:proofErr w:type="spellStart"/>
      <w:r w:rsidRPr="00D44E4A">
        <w:t>Gubad</w:t>
      </w:r>
      <w:proofErr w:type="spellEnd"/>
      <w:r w:rsidRPr="00D44E4A">
        <w:t xml:space="preserve"> </w:t>
      </w:r>
      <w:proofErr w:type="spellStart"/>
      <w:r w:rsidRPr="00D44E4A">
        <w:t>Ibadoghlu</w:t>
      </w:r>
      <w:proofErr w:type="spellEnd"/>
      <w:r w:rsidRPr="00D44E4A">
        <w:t>, a garantire processi equi e un giusto processo e a porre fine alla repressione nei confronti di giornalisti, attivisti, accademici, rappresentanti dell'opposizione, difensori dei diritti umani e altre persone detenute illegalmente, comprese quelle in esilio;</w:t>
      </w:r>
    </w:p>
    <w:p w14:paraId="7D3F01C1" w14:textId="77777777" w:rsidR="007D4465" w:rsidRPr="00D44E4A" w:rsidRDefault="007D4465" w:rsidP="007D4465">
      <w:pPr>
        <w:pStyle w:val="NormalHanging12a"/>
      </w:pPr>
      <w:r w:rsidRPr="00D44E4A">
        <w:t>3.</w:t>
      </w:r>
      <w:r w:rsidRPr="00D44E4A">
        <w:tab/>
        <w:t xml:space="preserve">condanna con la massima fermezza l'arresto di Ali </w:t>
      </w:r>
      <w:proofErr w:type="spellStart"/>
      <w:r w:rsidRPr="00D44E4A">
        <w:t>Karimli</w:t>
      </w:r>
      <w:proofErr w:type="spellEnd"/>
      <w:r w:rsidRPr="00D44E4A">
        <w:t xml:space="preserve"> e ne chiede il rilascio immediato;</w:t>
      </w:r>
    </w:p>
    <w:p w14:paraId="75333695" w14:textId="77777777" w:rsidR="007D4465" w:rsidRPr="00D44E4A" w:rsidRDefault="007D4465" w:rsidP="007D4465">
      <w:pPr>
        <w:pStyle w:val="NormalHanging12a"/>
      </w:pPr>
      <w:r w:rsidRPr="00D44E4A">
        <w:t>4.</w:t>
      </w:r>
      <w:r w:rsidRPr="00D44E4A">
        <w:tab/>
        <w:t>esprime particolare preoccupazione per l'uso improprio delle disposizioni di sicurezza nazionale quali strumenti di vessazione giudiziaria, intimidazione e criminalizzazione della libertà di espressione, della difesa della pace e delle critiche pubbliche; esprime profonda preoccupazione per la continua erosione delle libertà accademiche e dei diritti culturali in Azerbaigian;</w:t>
      </w:r>
    </w:p>
    <w:p w14:paraId="48C1DA81" w14:textId="77777777" w:rsidR="007D4465" w:rsidRPr="00D44E4A" w:rsidRDefault="007D4465" w:rsidP="007D4465">
      <w:pPr>
        <w:pStyle w:val="NormalHanging12a"/>
      </w:pPr>
      <w:r w:rsidRPr="00D44E4A">
        <w:t>5.</w:t>
      </w:r>
      <w:r w:rsidRPr="00D44E4A">
        <w:tab/>
        <w:t>invita l'Azerbaigian a rispettare gli obblighi e le norme internazionali in materia di diritti umani, compresi quelli relativi alla libertà di espressione e alla libertà accademica, e ad allineare la sua legislazione agli stessi;</w:t>
      </w:r>
    </w:p>
    <w:p w14:paraId="4FE861C0" w14:textId="77777777" w:rsidR="007D4465" w:rsidRPr="00D44E4A" w:rsidRDefault="007D4465" w:rsidP="007D4465">
      <w:pPr>
        <w:pStyle w:val="NormalHanging12a"/>
      </w:pPr>
      <w:r w:rsidRPr="00D44E4A">
        <w:t>6.</w:t>
      </w:r>
      <w:r w:rsidRPr="00D44E4A">
        <w:tab/>
        <w:t>chiede che siano prese in considerazione misure adeguate nei confronti dei funzionari responsabili pertinenti, nell'ambito del regime globale di sanzioni dell'UE in materia di diritti umani;</w:t>
      </w:r>
    </w:p>
    <w:p w14:paraId="20FAE941" w14:textId="77777777" w:rsidR="007D4465" w:rsidRPr="00D44E4A" w:rsidRDefault="007D4465" w:rsidP="007D4465">
      <w:pPr>
        <w:pStyle w:val="NormalHanging12a"/>
      </w:pPr>
      <w:r w:rsidRPr="00D44E4A">
        <w:t>7.</w:t>
      </w:r>
      <w:r w:rsidRPr="00D44E4A">
        <w:tab/>
        <w:t xml:space="preserve">invita la delegazione dell'UE a Baku a monitorare i casi </w:t>
      </w:r>
      <w:proofErr w:type="gramStart"/>
      <w:r w:rsidRPr="00D44E4A">
        <w:t>summenzionati</w:t>
      </w:r>
      <w:proofErr w:type="gramEnd"/>
      <w:r w:rsidRPr="00D44E4A">
        <w:t xml:space="preserve"> e la rappresentante speciale dell'Unione europea per i diritti umani a organizzare incontri con gli accademici detenuti;</w:t>
      </w:r>
    </w:p>
    <w:p w14:paraId="54D328AC" w14:textId="77777777" w:rsidR="007D4465" w:rsidRPr="00D44E4A" w:rsidRDefault="007D4465" w:rsidP="007D4465">
      <w:pPr>
        <w:pStyle w:val="NormalHanging12a"/>
      </w:pPr>
      <w:r w:rsidRPr="00D44E4A">
        <w:t>8.</w:t>
      </w:r>
      <w:r w:rsidRPr="00D44E4A">
        <w:tab/>
        <w:t>invita l'UE a sostenere ulteriormente i diritti umani e la governance democratica in Azerbaigian, anche mediante un maggiore sostegno alla società civile, e a garantire che l'impegno diplomatico rimanga coerente con i valori fondamentali dell'UE;</w:t>
      </w:r>
    </w:p>
    <w:p w14:paraId="43CC21F4" w14:textId="77777777" w:rsidR="007D4465" w:rsidRPr="00D44E4A" w:rsidRDefault="007D4465" w:rsidP="007D4465">
      <w:pPr>
        <w:pStyle w:val="NormalHanging12a"/>
      </w:pPr>
      <w:r w:rsidRPr="00D44E4A">
        <w:t>9.</w:t>
      </w:r>
      <w:r w:rsidRPr="00D44E4A">
        <w:tab/>
        <w:t>sottolinea che i progressi relativi a qualsiasi futuro accordo di partenariato dovrebbero essere subordinati a risultati tangibili in materia di diritti umani, Stato di diritto e rispetto dei valori e dei principi dell'UE, il che comprende il rilascio dei detenuti politici e la revoca della legislazione restrittiva, come affermato in precedenti risoluzioni del Parlamento;</w:t>
      </w:r>
    </w:p>
    <w:p w14:paraId="62715455" w14:textId="4DD651FE" w:rsidR="00E365E1" w:rsidRPr="00D44E4A" w:rsidRDefault="007D4465" w:rsidP="00FE48C1">
      <w:pPr>
        <w:pStyle w:val="NormalHanging12a"/>
      </w:pPr>
      <w:r w:rsidRPr="00D44E4A">
        <w:t>10.</w:t>
      </w:r>
      <w:r w:rsidRPr="00D44E4A">
        <w:tab/>
        <w:t>incarica la sua Presidente di trasmettere la presente risoluzione al Consiglio, alla Commissione, alla VP</w:t>
      </w:r>
      <w:r w:rsidR="00194165" w:rsidRPr="00D44E4A">
        <w:t> </w:t>
      </w:r>
      <w:r w:rsidRPr="00D44E4A">
        <w:t>/</w:t>
      </w:r>
      <w:r w:rsidR="00194165" w:rsidRPr="00D44E4A">
        <w:t> </w:t>
      </w:r>
      <w:r w:rsidRPr="00D44E4A">
        <w:t>AR e agli Stati membri nonché al presidente, al governo e al parlamento dell'Azerbaigian.</w:t>
      </w:r>
    </w:p>
    <w:sectPr w:rsidR="00E365E1" w:rsidRPr="00D44E4A" w:rsidSect="001431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D3516" w14:textId="77777777" w:rsidR="002D562C" w:rsidRPr="0014319F" w:rsidRDefault="002D562C">
      <w:r w:rsidRPr="0014319F">
        <w:separator/>
      </w:r>
    </w:p>
  </w:endnote>
  <w:endnote w:type="continuationSeparator" w:id="0">
    <w:p w14:paraId="5D7CB94B" w14:textId="77777777" w:rsidR="002D562C" w:rsidRPr="0014319F" w:rsidRDefault="002D562C">
      <w:r w:rsidRPr="001431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AAD66" w14:textId="77777777" w:rsidR="00064002" w:rsidRPr="001431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5C70F" w14:textId="77777777" w:rsidR="00064002" w:rsidRPr="001431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1D631" w14:textId="77777777" w:rsidR="00064002" w:rsidRPr="001431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006CD" w14:textId="77777777" w:rsidR="002D562C" w:rsidRPr="0014319F" w:rsidRDefault="002D562C">
      <w:r w:rsidRPr="0014319F">
        <w:separator/>
      </w:r>
    </w:p>
  </w:footnote>
  <w:footnote w:type="continuationSeparator" w:id="0">
    <w:p w14:paraId="726CAEC0" w14:textId="77777777" w:rsidR="002D562C" w:rsidRPr="0014319F" w:rsidRDefault="002D562C">
      <w:r w:rsidRPr="001431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D1B17" w14:textId="77777777" w:rsidR="00064002" w:rsidRPr="001431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B75CD" w14:textId="77777777" w:rsidR="00064002" w:rsidRPr="001431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9C230" w14:textId="77777777" w:rsidR="00064002" w:rsidRPr="001431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3733523">
    <w:abstractNumId w:val="9"/>
  </w:num>
  <w:num w:numId="2" w16cid:durableId="353651460">
    <w:abstractNumId w:val="9"/>
  </w:num>
  <w:num w:numId="3" w16cid:durableId="370107342">
    <w:abstractNumId w:val="7"/>
  </w:num>
  <w:num w:numId="4" w16cid:durableId="111022473">
    <w:abstractNumId w:val="7"/>
  </w:num>
  <w:num w:numId="5" w16cid:durableId="433864708">
    <w:abstractNumId w:val="6"/>
  </w:num>
  <w:num w:numId="6" w16cid:durableId="261180921">
    <w:abstractNumId w:val="6"/>
  </w:num>
  <w:num w:numId="7" w16cid:durableId="1905069604">
    <w:abstractNumId w:val="5"/>
  </w:num>
  <w:num w:numId="8" w16cid:durableId="97717515">
    <w:abstractNumId w:val="5"/>
  </w:num>
  <w:num w:numId="9" w16cid:durableId="1040470497">
    <w:abstractNumId w:val="4"/>
  </w:num>
  <w:num w:numId="10" w16cid:durableId="1491600767">
    <w:abstractNumId w:val="4"/>
  </w:num>
  <w:num w:numId="11" w16cid:durableId="677848111">
    <w:abstractNumId w:val="8"/>
  </w:num>
  <w:num w:numId="12" w16cid:durableId="431555317">
    <w:abstractNumId w:val="8"/>
  </w:num>
  <w:num w:numId="13" w16cid:durableId="701902931">
    <w:abstractNumId w:val="3"/>
  </w:num>
  <w:num w:numId="14" w16cid:durableId="102190683">
    <w:abstractNumId w:val="3"/>
  </w:num>
  <w:num w:numId="15" w16cid:durableId="2088795735">
    <w:abstractNumId w:val="2"/>
  </w:num>
  <w:num w:numId="16" w16cid:durableId="521473996">
    <w:abstractNumId w:val="2"/>
  </w:num>
  <w:num w:numId="17" w16cid:durableId="1229535914">
    <w:abstractNumId w:val="1"/>
  </w:num>
  <w:num w:numId="18" w16cid:durableId="956717126">
    <w:abstractNumId w:val="1"/>
  </w:num>
  <w:num w:numId="19" w16cid:durableId="261836220">
    <w:abstractNumId w:val="0"/>
  </w:num>
  <w:num w:numId="20" w16cid:durableId="1115056448">
    <w:abstractNumId w:val="0"/>
  </w:num>
  <w:num w:numId="21" w16cid:durableId="1320504704">
    <w:abstractNumId w:val="9"/>
  </w:num>
  <w:num w:numId="22" w16cid:durableId="70587729">
    <w:abstractNumId w:val="7"/>
  </w:num>
  <w:num w:numId="23" w16cid:durableId="1661930052">
    <w:abstractNumId w:val="6"/>
  </w:num>
  <w:num w:numId="24" w16cid:durableId="1011299178">
    <w:abstractNumId w:val="5"/>
  </w:num>
  <w:num w:numId="25" w16cid:durableId="1146900854">
    <w:abstractNumId w:val="4"/>
  </w:num>
  <w:num w:numId="26" w16cid:durableId="1930770105">
    <w:abstractNumId w:val="8"/>
  </w:num>
  <w:num w:numId="27" w16cid:durableId="1377318043">
    <w:abstractNumId w:val="3"/>
  </w:num>
  <w:num w:numId="28" w16cid:durableId="836503353">
    <w:abstractNumId w:val="2"/>
  </w:num>
  <w:num w:numId="29" w16cid:durableId="308941990">
    <w:abstractNumId w:val="1"/>
  </w:num>
  <w:num w:numId="30" w16cid:durableId="2094163220">
    <w:abstractNumId w:val="0"/>
  </w:num>
  <w:num w:numId="31" w16cid:durableId="92602458">
    <w:abstractNumId w:val="9"/>
  </w:num>
  <w:num w:numId="32" w16cid:durableId="249236663">
    <w:abstractNumId w:val="7"/>
  </w:num>
  <w:num w:numId="33" w16cid:durableId="1601790830">
    <w:abstractNumId w:val="6"/>
  </w:num>
  <w:num w:numId="34" w16cid:durableId="1215964717">
    <w:abstractNumId w:val="5"/>
  </w:num>
  <w:num w:numId="35" w16cid:durableId="1701515554">
    <w:abstractNumId w:val="4"/>
  </w:num>
  <w:num w:numId="36" w16cid:durableId="2134711549">
    <w:abstractNumId w:val="8"/>
  </w:num>
  <w:num w:numId="37" w16cid:durableId="2088188848">
    <w:abstractNumId w:val="3"/>
  </w:num>
  <w:num w:numId="38" w16cid:durableId="597060253">
    <w:abstractNumId w:val="2"/>
  </w:num>
  <w:num w:numId="39" w16cid:durableId="363602395">
    <w:abstractNumId w:val="1"/>
  </w:num>
  <w:num w:numId="40" w16cid:durableId="842286237">
    <w:abstractNumId w:val="0"/>
  </w:num>
  <w:num w:numId="41" w16cid:durableId="1117482538">
    <w:abstractNumId w:val="10"/>
  </w:num>
  <w:num w:numId="42" w16cid:durableId="2086487497">
    <w:abstractNumId w:val="10"/>
  </w:num>
  <w:num w:numId="43" w16cid:durableId="1131023477">
    <w:abstractNumId w:val="10"/>
  </w:num>
  <w:num w:numId="44" w16cid:durableId="1043600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7/2025"/>
    <w:docVar w:name="dvlangue" w:val="IT"/>
    <w:docVar w:name="dvnumam" w:val="0"/>
    <w:docVar w:name="dvpe" w:val="779.048"/>
    <w:docVar w:name="dvtitre" w:val="Risoluzione del Parlamento europeo del 18 dicembre 2025 sull'arresto arbitrario e la condanna degli accademici Bahruz Samadov e Igbal Abilov in Azerbaigian(2025/3028(RSP))"/>
  </w:docVars>
  <w:rsids>
    <w:rsidRoot w:val="002D562C"/>
    <w:rsid w:val="00002272"/>
    <w:rsid w:val="00064002"/>
    <w:rsid w:val="000677B9"/>
    <w:rsid w:val="000831BA"/>
    <w:rsid w:val="000A42CC"/>
    <w:rsid w:val="000E7DD9"/>
    <w:rsid w:val="0010095E"/>
    <w:rsid w:val="00125B37"/>
    <w:rsid w:val="0014319F"/>
    <w:rsid w:val="00187494"/>
    <w:rsid w:val="00194165"/>
    <w:rsid w:val="001F32AE"/>
    <w:rsid w:val="002767FF"/>
    <w:rsid w:val="002B18FE"/>
    <w:rsid w:val="002B5493"/>
    <w:rsid w:val="002D562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4465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E4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D55B97"/>
  <w15:chartTrackingRefBased/>
  <w15:docId w15:val="{F32A32C8-DC9B-4147-A690-57254ED9E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D4465"/>
    <w:pPr>
      <w:spacing w:after="240"/>
      <w:ind w:left="567" w:hanging="567"/>
    </w:pPr>
  </w:style>
  <w:style w:type="paragraph" w:customStyle="1" w:styleId="EPComma">
    <w:name w:val="EPComma"/>
    <w:basedOn w:val="Normal"/>
    <w:rsid w:val="007D446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D4465"/>
    <w:rPr>
      <w:sz w:val="24"/>
      <w:lang w:val="it-IT"/>
    </w:rPr>
  </w:style>
  <w:style w:type="paragraph" w:styleId="Revision">
    <w:name w:val="Revision"/>
    <w:hidden/>
    <w:uiPriority w:val="99"/>
    <w:semiHidden/>
    <w:rsid w:val="00194165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2</cp:revision>
  <cp:lastPrinted>2004-11-19T15:42:00Z</cp:lastPrinted>
  <dcterms:created xsi:type="dcterms:W3CDTF">2025-12-18T12:00:00Z</dcterms:created>
  <dcterms:modified xsi:type="dcterms:W3CDTF">2025-12-18T12:00:00Z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B10-0567/2025</vt:lpwstr>
  </property>
  <property fmtid="{D5CDD505-2E9C-101B-9397-08002B2CF9AE}" pid="4" name="&lt;Type&gt;">
    <vt:lpwstr>RR</vt:lpwstr>
  </property>
</Properties>
</file>