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E6F" w14:paraId="234B93CD" w14:textId="77777777" w:rsidTr="0010095E">
        <w:trPr>
          <w:trHeight w:hRule="exact" w:val="1418"/>
        </w:trPr>
        <w:tc>
          <w:tcPr>
            <w:tcW w:w="6804" w:type="dxa"/>
            <w:shd w:val="clear" w:color="auto" w:fill="auto"/>
            <w:vAlign w:val="center"/>
          </w:tcPr>
          <w:p w14:paraId="486784E1" w14:textId="511494AA" w:rsidR="00751A4A" w:rsidRPr="005A0E6F" w:rsidRDefault="00B22D65" w:rsidP="0010095E">
            <w:pPr>
              <w:pStyle w:val="EPName"/>
            </w:pPr>
            <w:r w:rsidRPr="005A0E6F">
              <w:t>Europaparlamentet</w:t>
            </w:r>
          </w:p>
          <w:p w14:paraId="46618C9F" w14:textId="77777777" w:rsidR="00751A4A" w:rsidRPr="005A0E6F" w:rsidRDefault="005F1B17" w:rsidP="005F1B17">
            <w:pPr>
              <w:pStyle w:val="EPTerm"/>
              <w:rPr>
                <w:rStyle w:val="HideTWBExt"/>
                <w:noProof w:val="0"/>
                <w:vanish w:val="0"/>
                <w:color w:val="auto"/>
              </w:rPr>
            </w:pPr>
            <w:r w:rsidRPr="005A0E6F">
              <w:t>2024</w:t>
            </w:r>
            <w:r w:rsidR="00817416" w:rsidRPr="005A0E6F">
              <w:t>-202</w:t>
            </w:r>
            <w:r w:rsidRPr="005A0E6F">
              <w:t>9</w:t>
            </w:r>
          </w:p>
        </w:tc>
        <w:tc>
          <w:tcPr>
            <w:tcW w:w="2268" w:type="dxa"/>
            <w:shd w:val="clear" w:color="auto" w:fill="auto"/>
          </w:tcPr>
          <w:p w14:paraId="275C8448" w14:textId="77777777" w:rsidR="00751A4A" w:rsidRPr="005A0E6F" w:rsidRDefault="00187494" w:rsidP="0010095E">
            <w:pPr>
              <w:pStyle w:val="EPLogo"/>
            </w:pPr>
            <w:r w:rsidRPr="005A0E6F">
              <w:rPr>
                <w:noProof/>
                <w:lang w:eastAsia="ja-JP"/>
              </w:rPr>
              <w:drawing>
                <wp:inline distT="0" distB="0" distL="0" distR="0" wp14:anchorId="5ED88EFE" wp14:editId="34F281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71EA8E" w14:textId="77777777" w:rsidR="00D058B8" w:rsidRPr="005A0E6F" w:rsidRDefault="00D058B8" w:rsidP="004C5D52">
      <w:pPr>
        <w:pStyle w:val="LineTop"/>
      </w:pPr>
    </w:p>
    <w:p w14:paraId="1E3FFD37" w14:textId="77777777" w:rsidR="00680577" w:rsidRPr="005A0E6F" w:rsidRDefault="00B22D65" w:rsidP="00680577">
      <w:pPr>
        <w:pStyle w:val="EPBodyTA1"/>
      </w:pPr>
      <w:r w:rsidRPr="005A0E6F">
        <w:t>ANTAGNA TEXTER</w:t>
      </w:r>
    </w:p>
    <w:p w14:paraId="17E1E03A" w14:textId="77777777" w:rsidR="00D058B8" w:rsidRPr="005A0E6F" w:rsidRDefault="00D058B8" w:rsidP="00D058B8">
      <w:pPr>
        <w:pStyle w:val="LineBottom"/>
      </w:pPr>
    </w:p>
    <w:p w14:paraId="4F63E238" w14:textId="23328E2E" w:rsidR="00B22D65" w:rsidRPr="005A0E6F" w:rsidRDefault="00B22D65" w:rsidP="00B22D65">
      <w:pPr>
        <w:pStyle w:val="ATHeading1"/>
      </w:pPr>
      <w:bookmarkStart w:id="0" w:name="TANumber"/>
      <w:r w:rsidRPr="005A0E6F">
        <w:t>P10_TA(2025)0</w:t>
      </w:r>
      <w:bookmarkEnd w:id="0"/>
      <w:r w:rsidR="00C62630">
        <w:t>339</w:t>
      </w:r>
    </w:p>
    <w:p w14:paraId="45EA4D51" w14:textId="77777777" w:rsidR="00B22D65" w:rsidRPr="005A0E6F" w:rsidRDefault="00B22D65" w:rsidP="00B22D65">
      <w:pPr>
        <w:pStyle w:val="ATHeading2"/>
      </w:pPr>
      <w:bookmarkStart w:id="1" w:name="title"/>
      <w:r w:rsidRPr="005A0E6F">
        <w:t>Det godtyckliga gripandet av och domarna mot forskarna Bahruz Samadov och Igbal Abilov i Azerbajdzjan</w:t>
      </w:r>
      <w:bookmarkEnd w:id="1"/>
    </w:p>
    <w:p w14:paraId="48A50780" w14:textId="03126350" w:rsidR="00B22D65" w:rsidRPr="005A0E6F" w:rsidRDefault="00B22D65" w:rsidP="00B22D65">
      <w:pPr>
        <w:rPr>
          <w:i/>
          <w:vanish/>
        </w:rPr>
      </w:pPr>
      <w:r w:rsidRPr="005A0E6F">
        <w:rPr>
          <w:i/>
        </w:rPr>
        <w:fldChar w:fldCharType="begin"/>
      </w:r>
      <w:r w:rsidRPr="005A0E6F">
        <w:rPr>
          <w:i/>
        </w:rPr>
        <w:instrText xml:space="preserve"> TC"(</w:instrText>
      </w:r>
      <w:bookmarkStart w:id="2" w:name="DocNumber"/>
      <w:r w:rsidR="00C62630" w:rsidRPr="005B6166">
        <w:rPr>
          <w:i/>
        </w:rPr>
        <w:instrText>B10-0567</w:instrText>
      </w:r>
      <w:r w:rsidR="00C62630">
        <w:rPr>
          <w:i/>
        </w:rPr>
        <w:instrText>, 0576, 0581, 0583 och 0589</w:instrText>
      </w:r>
      <w:r w:rsidR="00C62630" w:rsidRPr="005B6166">
        <w:rPr>
          <w:i/>
        </w:rPr>
        <w:instrText>/2025</w:instrText>
      </w:r>
      <w:bookmarkEnd w:id="2"/>
      <w:r w:rsidRPr="005A0E6F">
        <w:rPr>
          <w:i/>
        </w:rPr>
        <w:instrText xml:space="preserve">)"\l3 \n&gt; \* MERGEFORMAT </w:instrText>
      </w:r>
      <w:r w:rsidRPr="005A0E6F">
        <w:rPr>
          <w:i/>
        </w:rPr>
        <w:fldChar w:fldCharType="end"/>
      </w:r>
    </w:p>
    <w:p w14:paraId="7E1D82A0" w14:textId="77777777" w:rsidR="00B22D65" w:rsidRPr="005A0E6F" w:rsidRDefault="00B22D65" w:rsidP="00B22D65">
      <w:pPr>
        <w:rPr>
          <w:vanish/>
        </w:rPr>
      </w:pPr>
      <w:bookmarkStart w:id="3" w:name="PE"/>
      <w:r w:rsidRPr="005A0E6F">
        <w:rPr>
          <w:vanish/>
        </w:rPr>
        <w:t>PE779.048</w:t>
      </w:r>
      <w:bookmarkEnd w:id="3"/>
    </w:p>
    <w:p w14:paraId="4D293F1E" w14:textId="7620FA47" w:rsidR="00B22D65" w:rsidRPr="005A0E6F" w:rsidRDefault="00B22D65" w:rsidP="00B22D65">
      <w:pPr>
        <w:pStyle w:val="ATHeading3"/>
      </w:pPr>
      <w:bookmarkStart w:id="4" w:name="Sujet"/>
      <w:r w:rsidRPr="005A0E6F">
        <w:t xml:space="preserve">Europaparlamentets resolution av den </w:t>
      </w:r>
      <w:r w:rsidR="00C62630">
        <w:t>18</w:t>
      </w:r>
      <w:r w:rsidRPr="005A0E6F">
        <w:t xml:space="preserve"> </w:t>
      </w:r>
      <w:r w:rsidR="00C62630">
        <w:t>december</w:t>
      </w:r>
      <w:r w:rsidRPr="005A0E6F">
        <w:t xml:space="preserve"> 2025 om det godtyckliga gripandet av och domarna mot forskarna Bahruz Samadov och Igbal Abilov i Azerbajdzjan</w:t>
      </w:r>
      <w:bookmarkEnd w:id="4"/>
      <w:r w:rsidRPr="005A0E6F">
        <w:t xml:space="preserve"> </w:t>
      </w:r>
      <w:bookmarkStart w:id="5" w:name="References"/>
      <w:r w:rsidRPr="005A0E6F">
        <w:t>(2025/3028(RSP))</w:t>
      </w:r>
      <w:bookmarkEnd w:id="5"/>
    </w:p>
    <w:p w14:paraId="0A725050" w14:textId="77777777" w:rsidR="00642724" w:rsidRPr="005A0E6F" w:rsidRDefault="00642724" w:rsidP="00642724">
      <w:pPr>
        <w:pStyle w:val="EPComma"/>
      </w:pPr>
      <w:r w:rsidRPr="005A0E6F">
        <w:rPr>
          <w:i/>
          <w:iCs/>
        </w:rPr>
        <w:t>Europaparlamentet utfärdar denna resolution</w:t>
      </w:r>
    </w:p>
    <w:p w14:paraId="5E7FBD8A" w14:textId="77777777" w:rsidR="00642724" w:rsidRPr="005A0E6F" w:rsidRDefault="00642724" w:rsidP="00642724">
      <w:pPr>
        <w:pStyle w:val="NormalHanging12a"/>
      </w:pPr>
      <w:r w:rsidRPr="005A0E6F">
        <w:t>–</w:t>
      </w:r>
      <w:r w:rsidRPr="005A0E6F">
        <w:tab/>
        <w:t>med beaktande av sina tidigare resolutioner om Azerbajdzjan,</w:t>
      </w:r>
    </w:p>
    <w:p w14:paraId="659744FA" w14:textId="77777777" w:rsidR="00642724" w:rsidRPr="005A0E6F" w:rsidRDefault="00642724" w:rsidP="00642724">
      <w:pPr>
        <w:pStyle w:val="NormalHanging12a"/>
      </w:pPr>
      <w:r w:rsidRPr="005A0E6F">
        <w:t>–</w:t>
      </w:r>
      <w:r w:rsidRPr="005A0E6F">
        <w:tab/>
        <w:t>med beaktande av artiklarna 150.5 och 136.4 i arbetsordningen, och av följande skäl:</w:t>
      </w:r>
    </w:p>
    <w:p w14:paraId="773E0F99" w14:textId="77777777" w:rsidR="00642724" w:rsidRPr="005A0E6F" w:rsidRDefault="00642724" w:rsidP="00642724">
      <w:pPr>
        <w:pStyle w:val="NormalHanging12a"/>
      </w:pPr>
      <w:r w:rsidRPr="005A0E6F">
        <w:t>A.</w:t>
      </w:r>
      <w:r w:rsidRPr="005A0E6F">
        <w:tab/>
        <w:t>Sedan början av 2025 har antalet politiska fångar i Azerbajdzjan ökat till nästan 400 personer som godtyckligt frihetsberövats på politiskt motiverade grunder, bland annat aktivister i det civila samhället, oppositionsledare, journalister, akademiker och människorättsförsvarare.</w:t>
      </w:r>
    </w:p>
    <w:p w14:paraId="22E94630" w14:textId="77777777" w:rsidR="00642724" w:rsidRPr="005A0E6F" w:rsidRDefault="00642724" w:rsidP="00642724">
      <w:pPr>
        <w:pStyle w:val="NormalHanging12a"/>
      </w:pPr>
      <w:r w:rsidRPr="005A0E6F">
        <w:t>B.</w:t>
      </w:r>
      <w:r w:rsidRPr="005A0E6F">
        <w:tab/>
        <w:t xml:space="preserve">Igbal Abilov, forskare som tillhör den etniska minoriteten talysjer och chefredaktör för </w:t>
      </w:r>
      <w:r w:rsidRPr="005A0E6F">
        <w:rPr>
          <w:i/>
          <w:iCs/>
        </w:rPr>
        <w:t>Talysh National Academy News</w:t>
      </w:r>
      <w:r w:rsidRPr="005A0E6F">
        <w:t>, och Bahruz Samadov, doktorand vid Karlsuniversitetet, dömdes till 18 respektive 15 års fängelse, anklagade för högförräderi.</w:t>
      </w:r>
    </w:p>
    <w:p w14:paraId="6A365E9A" w14:textId="77777777" w:rsidR="00642724" w:rsidRPr="005A0E6F" w:rsidRDefault="00642724" w:rsidP="00642724">
      <w:pPr>
        <w:pStyle w:val="NormalHanging12a"/>
      </w:pPr>
      <w:r w:rsidRPr="005A0E6F">
        <w:t>C.</w:t>
      </w:r>
      <w:r w:rsidRPr="005A0E6F">
        <w:tab/>
        <w:t>Rättegångarna mot de två akademikerna hölls bakom stängda dörrar, i strid med internationella normer för en rättvis rättegång och oskuldspresumtionen. De påstådda bevisen bestod endast av kontakter och utbyten med armeniska forskare. Deras hälsotillstånd har försämrats under fängelsetiden.</w:t>
      </w:r>
    </w:p>
    <w:p w14:paraId="42D81881" w14:textId="77777777" w:rsidR="00642724" w:rsidRPr="005A0E6F" w:rsidRDefault="00642724" w:rsidP="00642724">
      <w:pPr>
        <w:pStyle w:val="NormalHanging12a"/>
      </w:pPr>
      <w:r w:rsidRPr="005A0E6F">
        <w:t>D.</w:t>
      </w:r>
      <w:r w:rsidRPr="005A0E6F">
        <w:tab/>
        <w:t>Dessa två fall kommer efter de tidigare orättvisa och godtyckliga domarna mot två andra akademiker, Gubad Ibadoghlu och Fazil Gasimov.</w:t>
      </w:r>
    </w:p>
    <w:p w14:paraId="7730EF8A" w14:textId="77777777" w:rsidR="00642724" w:rsidRPr="005A0E6F" w:rsidRDefault="00642724" w:rsidP="00642724">
      <w:pPr>
        <w:pStyle w:val="NormalHanging12a"/>
      </w:pPr>
      <w:r w:rsidRPr="005A0E6F">
        <w:t>E.</w:t>
      </w:r>
      <w:r w:rsidRPr="005A0E6F">
        <w:tab/>
        <w:t>Den 1 december 2025 greps den framstående oppositionsledaren Ali Karimli på grund av påstådda kuppanklagelser i samband med den pågående konsolideringen av auktoritära metoder i Azerbajdzjan.</w:t>
      </w:r>
    </w:p>
    <w:p w14:paraId="2B6289CE" w14:textId="77777777" w:rsidR="00642724" w:rsidRPr="005A0E6F" w:rsidRDefault="00642724" w:rsidP="00642724">
      <w:pPr>
        <w:pStyle w:val="NormalHanging12a"/>
      </w:pPr>
      <w:r w:rsidRPr="005A0E6F">
        <w:t>1.</w:t>
      </w:r>
      <w:r w:rsidRPr="005A0E6F">
        <w:tab/>
        <w:t>Europaparlamentet fördömer skarpt gripandet av, åtalet mot och domen mot Bahruz Samadov och Igbal Abilov på grundval av politiskt motiverade anklagelser.</w:t>
      </w:r>
    </w:p>
    <w:p w14:paraId="7E4D634C" w14:textId="77777777" w:rsidR="00642724" w:rsidRPr="005A0E6F" w:rsidRDefault="00642724" w:rsidP="00642724">
      <w:pPr>
        <w:pStyle w:val="NormalHanging12a"/>
      </w:pPr>
      <w:r w:rsidRPr="005A0E6F">
        <w:t>2.</w:t>
      </w:r>
      <w:r w:rsidRPr="005A0E6F">
        <w:tab/>
        <w:t xml:space="preserve">Europaparlamentet uppmanar Azerbajdzjan att omedelbart och villkorslöst frige politiska fångar, särskilt Bahruz Samadov, Igbal Abilov och Gubad Ibadoghlu, garantera rättvisa rättegångar, ett korrekt rättsförfarande och ett slut på förtrycket av </w:t>
      </w:r>
      <w:r w:rsidRPr="005A0E6F">
        <w:lastRenderedPageBreak/>
        <w:t>journalister, aktivister, akademiker, företrädare för oppositionen, människorättsförsvarare och andra olagligt frihetsberövade personer, inbegripet personer i exil.</w:t>
      </w:r>
    </w:p>
    <w:p w14:paraId="79E7550A" w14:textId="77777777" w:rsidR="00642724" w:rsidRPr="005A0E6F" w:rsidRDefault="00642724" w:rsidP="00642724">
      <w:pPr>
        <w:pStyle w:val="NormalHanging12a"/>
      </w:pPr>
      <w:r w:rsidRPr="005A0E6F">
        <w:t>3.</w:t>
      </w:r>
      <w:r w:rsidRPr="005A0E6F">
        <w:tab/>
        <w:t>Europaparlamentet fördömer i starkast möjliga ordalag gripandet av Ali Karimli och kräver att han omedelbart friges.</w:t>
      </w:r>
    </w:p>
    <w:p w14:paraId="3AB65958" w14:textId="77777777" w:rsidR="00642724" w:rsidRPr="005A0E6F" w:rsidRDefault="00642724" w:rsidP="00642724">
      <w:pPr>
        <w:pStyle w:val="NormalHanging12a"/>
        <w:keepNext/>
        <w:keepLines/>
        <w:widowControl/>
      </w:pPr>
      <w:r w:rsidRPr="005A0E6F">
        <w:t>4.</w:t>
      </w:r>
      <w:r w:rsidRPr="005A0E6F">
        <w:tab/>
        <w:t>Europaparlamentet uttrycker särskild oro över missbruket av nationella säkerhetsbestämmelser som verktyg för rättsliga trakasserier, hot och kriminaliseringen av yttrandefriheten, fredsinsatser och offentlig kritik. Parlamentet uttrycker djup oro över den fortsatta urholkningen av den akademiska friheten och kulturella rättigheter i Azerbajdzjan.</w:t>
      </w:r>
    </w:p>
    <w:p w14:paraId="008E506D" w14:textId="77777777" w:rsidR="00642724" w:rsidRPr="005A0E6F" w:rsidRDefault="00642724" w:rsidP="00642724">
      <w:pPr>
        <w:pStyle w:val="NormalHanging12a"/>
      </w:pPr>
      <w:r w:rsidRPr="005A0E6F">
        <w:t>5.</w:t>
      </w:r>
      <w:r w:rsidRPr="005A0E6F">
        <w:tab/>
        <w:t>Europaparlamentet uppmanar Azerbajdzjan att respektera och anpassa sin lagstiftning till internationella skyldigheter och normer för mänskliga rättigheter, inbegripet de som rör yttrandefrihet och akademisk frihet.</w:t>
      </w:r>
    </w:p>
    <w:p w14:paraId="6EB015B3" w14:textId="77777777" w:rsidR="00642724" w:rsidRPr="005A0E6F" w:rsidRDefault="00642724" w:rsidP="00642724">
      <w:pPr>
        <w:pStyle w:val="NormalHanging12a"/>
      </w:pPr>
      <w:r w:rsidRPr="005A0E6F">
        <w:t>6.</w:t>
      </w:r>
      <w:r w:rsidRPr="005A0E6F">
        <w:tab/>
        <w:t>Europaparlamentet begär att lämpliga åtgärder övervägs inom ramen för det globala EU-systemet för sanktioner avseende mänskliga rättigheter mot relevanta ansvariga tjänstemän.</w:t>
      </w:r>
    </w:p>
    <w:p w14:paraId="743D6564" w14:textId="77777777" w:rsidR="00642724" w:rsidRPr="005A0E6F" w:rsidRDefault="00642724" w:rsidP="00642724">
      <w:pPr>
        <w:pStyle w:val="NormalHanging12a"/>
      </w:pPr>
      <w:r w:rsidRPr="005A0E6F">
        <w:t>7.</w:t>
      </w:r>
      <w:r w:rsidRPr="005A0E6F">
        <w:tab/>
        <w:t>Europaparlamentet uppmanar EU:s delegation i Baku att övervaka ovannämnda fall och EU:s särskilda representant för mänskliga rättigheter att hålla möten med de frihetsberövade akademikerna.</w:t>
      </w:r>
    </w:p>
    <w:p w14:paraId="7267B253" w14:textId="77777777" w:rsidR="00642724" w:rsidRPr="005A0E6F" w:rsidRDefault="00642724" w:rsidP="00642724">
      <w:pPr>
        <w:pStyle w:val="NormalHanging12a"/>
      </w:pPr>
      <w:r w:rsidRPr="005A0E6F">
        <w:t>8.</w:t>
      </w:r>
      <w:r w:rsidRPr="005A0E6F">
        <w:tab/>
        <w:t>Europaparlamentet uppmanar EU att ytterligare stödja mänskliga rättigheter och demokratisk samhällsstyrning i Azerbajdzjan, bland annat genom att öka stödet till det civila samhället, och säkerställa att det diplomatiska engagemanget förblir förenligt med EU:s grundläggande värden.</w:t>
      </w:r>
    </w:p>
    <w:p w14:paraId="0F3103E1" w14:textId="77777777" w:rsidR="00642724" w:rsidRPr="005A0E6F" w:rsidRDefault="00642724" w:rsidP="00642724">
      <w:pPr>
        <w:pStyle w:val="NormalHanging12a"/>
      </w:pPr>
      <w:r w:rsidRPr="005A0E6F">
        <w:t>9.</w:t>
      </w:r>
      <w:r w:rsidRPr="005A0E6F">
        <w:tab/>
        <w:t>Europaparlamentet betonar att framsteg med ett framtida partnerskapsavtal bör villkoras av konkreta framsteg när det gäller mänskliga rättigheter, rättsstatsprincipen och respekten för EU:s värden och principer, inbegripet frigivning av politiska fångar och upphävande av den restriktiva lagstiftningen, i enlighet med parlamentets tidigare resolutioner.</w:t>
      </w:r>
    </w:p>
    <w:p w14:paraId="666E8D9A" w14:textId="4ED476A5" w:rsidR="005A0E6F" w:rsidRPr="005A0E6F" w:rsidRDefault="00642724" w:rsidP="005A0E6F">
      <w:pPr>
        <w:pStyle w:val="NormalHanging12a"/>
      </w:pPr>
      <w:r w:rsidRPr="005A0E6F">
        <w:t>10.</w:t>
      </w:r>
      <w:r w:rsidRPr="005A0E6F">
        <w:tab/>
        <w:t>Europaparlamentet uppdrar åt talmannen att översända denna resolution till rådet, kommissionen, vice ordföranden/den höga representanten, medlemsstaterna samt till Azerbajdzjans president, regering och parlament.</w:t>
      </w:r>
    </w:p>
    <w:p w14:paraId="634C6854" w14:textId="5BA2BE74" w:rsidR="00E365E1" w:rsidRPr="005A0E6F" w:rsidRDefault="00E365E1" w:rsidP="00B22D65"/>
    <w:sectPr w:rsidR="00E365E1" w:rsidRPr="005A0E6F" w:rsidSect="005A0E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8FD6C" w14:textId="77777777" w:rsidR="00B22D65" w:rsidRPr="005A0E6F" w:rsidRDefault="00B22D65">
      <w:r w:rsidRPr="005A0E6F">
        <w:separator/>
      </w:r>
    </w:p>
  </w:endnote>
  <w:endnote w:type="continuationSeparator" w:id="0">
    <w:p w14:paraId="6CDB3B5F" w14:textId="77777777" w:rsidR="00B22D65" w:rsidRPr="005A0E6F" w:rsidRDefault="00B22D65">
      <w:r w:rsidRPr="005A0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F858" w14:textId="77777777" w:rsidR="00064002" w:rsidRPr="005A0E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AABBB" w14:textId="77777777" w:rsidR="00064002" w:rsidRPr="005A0E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50D15" w14:textId="77777777" w:rsidR="00064002" w:rsidRPr="005A0E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A2AE4" w14:textId="77777777" w:rsidR="00B22D65" w:rsidRPr="005A0E6F" w:rsidRDefault="00B22D65">
      <w:r w:rsidRPr="005A0E6F">
        <w:separator/>
      </w:r>
    </w:p>
  </w:footnote>
  <w:footnote w:type="continuationSeparator" w:id="0">
    <w:p w14:paraId="20080748" w14:textId="77777777" w:rsidR="00B22D65" w:rsidRPr="005A0E6F" w:rsidRDefault="00B22D65">
      <w:r w:rsidRPr="005A0E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D137" w14:textId="77777777" w:rsidR="00064002" w:rsidRPr="005A0E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068D" w14:textId="77777777" w:rsidR="00064002" w:rsidRPr="005A0E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91C6" w14:textId="77777777" w:rsidR="00064002" w:rsidRPr="005A0E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8672631">
    <w:abstractNumId w:val="9"/>
  </w:num>
  <w:num w:numId="2" w16cid:durableId="1847593631">
    <w:abstractNumId w:val="9"/>
  </w:num>
  <w:num w:numId="3" w16cid:durableId="1315183772">
    <w:abstractNumId w:val="7"/>
  </w:num>
  <w:num w:numId="4" w16cid:durableId="1612544618">
    <w:abstractNumId w:val="7"/>
  </w:num>
  <w:num w:numId="5" w16cid:durableId="1864787112">
    <w:abstractNumId w:val="6"/>
  </w:num>
  <w:num w:numId="6" w16cid:durableId="1283996488">
    <w:abstractNumId w:val="6"/>
  </w:num>
  <w:num w:numId="7" w16cid:durableId="280696492">
    <w:abstractNumId w:val="5"/>
  </w:num>
  <w:num w:numId="8" w16cid:durableId="1587030124">
    <w:abstractNumId w:val="5"/>
  </w:num>
  <w:num w:numId="9" w16cid:durableId="1208300062">
    <w:abstractNumId w:val="4"/>
  </w:num>
  <w:num w:numId="10" w16cid:durableId="1808467962">
    <w:abstractNumId w:val="4"/>
  </w:num>
  <w:num w:numId="11" w16cid:durableId="781806133">
    <w:abstractNumId w:val="8"/>
  </w:num>
  <w:num w:numId="12" w16cid:durableId="1936404992">
    <w:abstractNumId w:val="8"/>
  </w:num>
  <w:num w:numId="13" w16cid:durableId="1936673610">
    <w:abstractNumId w:val="3"/>
  </w:num>
  <w:num w:numId="14" w16cid:durableId="248512794">
    <w:abstractNumId w:val="3"/>
  </w:num>
  <w:num w:numId="15" w16cid:durableId="1326981987">
    <w:abstractNumId w:val="2"/>
  </w:num>
  <w:num w:numId="16" w16cid:durableId="942882948">
    <w:abstractNumId w:val="2"/>
  </w:num>
  <w:num w:numId="17" w16cid:durableId="295448578">
    <w:abstractNumId w:val="1"/>
  </w:num>
  <w:num w:numId="18" w16cid:durableId="1079598292">
    <w:abstractNumId w:val="1"/>
  </w:num>
  <w:num w:numId="19" w16cid:durableId="1440023267">
    <w:abstractNumId w:val="0"/>
  </w:num>
  <w:num w:numId="20" w16cid:durableId="1183133404">
    <w:abstractNumId w:val="0"/>
  </w:num>
  <w:num w:numId="21" w16cid:durableId="1631520385">
    <w:abstractNumId w:val="9"/>
  </w:num>
  <w:num w:numId="22" w16cid:durableId="139663863">
    <w:abstractNumId w:val="7"/>
  </w:num>
  <w:num w:numId="23" w16cid:durableId="701905185">
    <w:abstractNumId w:val="6"/>
  </w:num>
  <w:num w:numId="24" w16cid:durableId="344408119">
    <w:abstractNumId w:val="5"/>
  </w:num>
  <w:num w:numId="25" w16cid:durableId="1789468321">
    <w:abstractNumId w:val="4"/>
  </w:num>
  <w:num w:numId="26" w16cid:durableId="96682649">
    <w:abstractNumId w:val="8"/>
  </w:num>
  <w:num w:numId="27" w16cid:durableId="694961308">
    <w:abstractNumId w:val="3"/>
  </w:num>
  <w:num w:numId="28" w16cid:durableId="1594895838">
    <w:abstractNumId w:val="2"/>
  </w:num>
  <w:num w:numId="29" w16cid:durableId="1590456885">
    <w:abstractNumId w:val="1"/>
  </w:num>
  <w:num w:numId="30" w16cid:durableId="105850008">
    <w:abstractNumId w:val="0"/>
  </w:num>
  <w:num w:numId="31" w16cid:durableId="1307509328">
    <w:abstractNumId w:val="9"/>
  </w:num>
  <w:num w:numId="32" w16cid:durableId="1660694544">
    <w:abstractNumId w:val="7"/>
  </w:num>
  <w:num w:numId="33" w16cid:durableId="2123959579">
    <w:abstractNumId w:val="6"/>
  </w:num>
  <w:num w:numId="34" w16cid:durableId="1660694496">
    <w:abstractNumId w:val="5"/>
  </w:num>
  <w:num w:numId="35" w16cid:durableId="1936203705">
    <w:abstractNumId w:val="4"/>
  </w:num>
  <w:num w:numId="36" w16cid:durableId="1109817022">
    <w:abstractNumId w:val="8"/>
  </w:num>
  <w:num w:numId="37" w16cid:durableId="1448699045">
    <w:abstractNumId w:val="3"/>
  </w:num>
  <w:num w:numId="38" w16cid:durableId="1798260039">
    <w:abstractNumId w:val="2"/>
  </w:num>
  <w:num w:numId="39" w16cid:durableId="1828591237">
    <w:abstractNumId w:val="1"/>
  </w:num>
  <w:num w:numId="40" w16cid:durableId="1844397023">
    <w:abstractNumId w:val="0"/>
  </w:num>
  <w:num w:numId="41" w16cid:durableId="838810222">
    <w:abstractNumId w:val="10"/>
  </w:num>
  <w:num w:numId="42" w16cid:durableId="1418821379">
    <w:abstractNumId w:val="10"/>
  </w:num>
  <w:num w:numId="43" w16cid:durableId="29041464">
    <w:abstractNumId w:val="10"/>
  </w:num>
  <w:num w:numId="44" w16cid:durableId="2020810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2025"/>
    <w:docVar w:name="dvlangue" w:val="SV"/>
    <w:docVar w:name="dvnumam" w:val="0"/>
    <w:docVar w:name="dvpe" w:val="779.048"/>
    <w:docVar w:name="dvtitre" w:val="Europaparlamentets resolution av den xx xx 2025 om det godtyckliga gripandet av och domarna mot forskarna Bahruz Samadov och Igbal Abilov i Azerbajdzjan(2025/3028(RSP))"/>
  </w:docVars>
  <w:rsids>
    <w:rsidRoot w:val="00B22D65"/>
    <w:rsid w:val="00002272"/>
    <w:rsid w:val="00064002"/>
    <w:rsid w:val="000677B9"/>
    <w:rsid w:val="000831BA"/>
    <w:rsid w:val="000A42CC"/>
    <w:rsid w:val="000E7DD9"/>
    <w:rsid w:val="0010095E"/>
    <w:rsid w:val="00125B37"/>
    <w:rsid w:val="00187494"/>
    <w:rsid w:val="001F32AE"/>
    <w:rsid w:val="002767FF"/>
    <w:rsid w:val="002953D1"/>
    <w:rsid w:val="002B18FE"/>
    <w:rsid w:val="002B5493"/>
    <w:rsid w:val="002D26CD"/>
    <w:rsid w:val="00343214"/>
    <w:rsid w:val="00361C00"/>
    <w:rsid w:val="00395FA1"/>
    <w:rsid w:val="003B20E6"/>
    <w:rsid w:val="003E15D4"/>
    <w:rsid w:val="00411CCE"/>
    <w:rsid w:val="0041666E"/>
    <w:rsid w:val="00421060"/>
    <w:rsid w:val="00466207"/>
    <w:rsid w:val="00471C19"/>
    <w:rsid w:val="004867E3"/>
    <w:rsid w:val="00494A28"/>
    <w:rsid w:val="004C0004"/>
    <w:rsid w:val="004C5D52"/>
    <w:rsid w:val="0050519A"/>
    <w:rsid w:val="005072A1"/>
    <w:rsid w:val="00514517"/>
    <w:rsid w:val="00545827"/>
    <w:rsid w:val="00560270"/>
    <w:rsid w:val="005A0E6F"/>
    <w:rsid w:val="005C2568"/>
    <w:rsid w:val="005F1B17"/>
    <w:rsid w:val="006037C0"/>
    <w:rsid w:val="00642724"/>
    <w:rsid w:val="006631B6"/>
    <w:rsid w:val="00680577"/>
    <w:rsid w:val="006F74FA"/>
    <w:rsid w:val="00731ADD"/>
    <w:rsid w:val="00734777"/>
    <w:rsid w:val="00747932"/>
    <w:rsid w:val="00751A4A"/>
    <w:rsid w:val="00756632"/>
    <w:rsid w:val="00762C74"/>
    <w:rsid w:val="00786EC0"/>
    <w:rsid w:val="007D1690"/>
    <w:rsid w:val="007E22AD"/>
    <w:rsid w:val="00806D4B"/>
    <w:rsid w:val="00817416"/>
    <w:rsid w:val="00842779"/>
    <w:rsid w:val="00865F67"/>
    <w:rsid w:val="00881A7B"/>
    <w:rsid w:val="008840E5"/>
    <w:rsid w:val="00887B3E"/>
    <w:rsid w:val="008C2AC6"/>
    <w:rsid w:val="00923742"/>
    <w:rsid w:val="00930C23"/>
    <w:rsid w:val="0093193B"/>
    <w:rsid w:val="009509D8"/>
    <w:rsid w:val="00950B64"/>
    <w:rsid w:val="00981893"/>
    <w:rsid w:val="00A1687D"/>
    <w:rsid w:val="00A43E52"/>
    <w:rsid w:val="00A4678D"/>
    <w:rsid w:val="00A778C7"/>
    <w:rsid w:val="00AB441E"/>
    <w:rsid w:val="00AB6293"/>
    <w:rsid w:val="00AD67BB"/>
    <w:rsid w:val="00AE0928"/>
    <w:rsid w:val="00AF3B82"/>
    <w:rsid w:val="00B12E95"/>
    <w:rsid w:val="00B22876"/>
    <w:rsid w:val="00B22D65"/>
    <w:rsid w:val="00B558F0"/>
    <w:rsid w:val="00BD48FE"/>
    <w:rsid w:val="00BD7BD8"/>
    <w:rsid w:val="00BE6ADC"/>
    <w:rsid w:val="00C035DD"/>
    <w:rsid w:val="00C05BFE"/>
    <w:rsid w:val="00C23CD4"/>
    <w:rsid w:val="00C61C0C"/>
    <w:rsid w:val="00C62630"/>
    <w:rsid w:val="00C941CB"/>
    <w:rsid w:val="00CC2357"/>
    <w:rsid w:val="00CF071A"/>
    <w:rsid w:val="00D058B8"/>
    <w:rsid w:val="00D56C11"/>
    <w:rsid w:val="00D834A0"/>
    <w:rsid w:val="00D872DF"/>
    <w:rsid w:val="00D91E21"/>
    <w:rsid w:val="00DA7FCD"/>
    <w:rsid w:val="00E252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8116B"/>
  <w15:chartTrackingRefBased/>
  <w15:docId w15:val="{4E0AE11D-3AC9-4941-B744-C745E83A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42724"/>
    <w:rPr>
      <w:b/>
    </w:rPr>
  </w:style>
  <w:style w:type="paragraph" w:customStyle="1" w:styleId="NormalHanging12a">
    <w:name w:val="NormalHanging12a"/>
    <w:basedOn w:val="Normal"/>
    <w:link w:val="NormalHanging12aChar"/>
    <w:rsid w:val="00642724"/>
    <w:pPr>
      <w:spacing w:after="240"/>
      <w:ind w:left="567" w:hanging="567"/>
    </w:pPr>
  </w:style>
  <w:style w:type="paragraph" w:customStyle="1" w:styleId="EPComma">
    <w:name w:val="EPComma"/>
    <w:basedOn w:val="Normal"/>
    <w:rsid w:val="00642724"/>
    <w:pPr>
      <w:spacing w:before="480" w:after="240"/>
    </w:pPr>
  </w:style>
  <w:style w:type="character" w:customStyle="1" w:styleId="NormalHanging12aChar">
    <w:name w:val="NormalHanging12a Char"/>
    <w:basedOn w:val="DefaultParagraphFont"/>
    <w:link w:val="NormalHanging12a"/>
    <w:locked/>
    <w:rsid w:val="0064272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2026-01-29T10:27:00Z</dcterms:created>
  <dcterms:modified xsi:type="dcterms:W3CDTF">2026-01-29T10:27:00Z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B10-0567/2025</vt:lpwstr>
  </property>
  <property fmtid="{D5CDD505-2E9C-101B-9397-08002B2CF9AE}" pid="4" name="&lt;Type&gt;">
    <vt:lpwstr>RR</vt:lpwstr>
  </property>
</Properties>
</file>