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4DD6" w14:paraId="7B8A920B" w14:textId="77777777" w:rsidTr="0010095E">
        <w:trPr>
          <w:trHeight w:hRule="exact" w:val="1418"/>
        </w:trPr>
        <w:tc>
          <w:tcPr>
            <w:tcW w:w="6804" w:type="dxa"/>
            <w:shd w:val="clear" w:color="auto" w:fill="auto"/>
            <w:vAlign w:val="center"/>
          </w:tcPr>
          <w:p w14:paraId="5B0891ED" w14:textId="6A19ABC0" w:rsidR="00751A4A" w:rsidRPr="00D54DD6" w:rsidRDefault="00D54DD6" w:rsidP="0010095E">
            <w:pPr>
              <w:pStyle w:val="EPName"/>
            </w:pPr>
            <w:r>
              <w:t>Europos Parlamentas</w:t>
            </w:r>
          </w:p>
          <w:p w14:paraId="72D329F4" w14:textId="77777777" w:rsidR="00751A4A" w:rsidRPr="00D54DD6" w:rsidRDefault="005F1B17" w:rsidP="005F1B17">
            <w:pPr>
              <w:pStyle w:val="EPTerm"/>
              <w:rPr>
                <w:rStyle w:val="HideTWBExt"/>
                <w:noProof w:val="0"/>
                <w:vanish w:val="0"/>
                <w:color w:val="auto"/>
              </w:rPr>
            </w:pPr>
            <w:r w:rsidRPr="00D54DD6">
              <w:t>2024</w:t>
            </w:r>
            <w:r w:rsidR="00817416" w:rsidRPr="00D54DD6">
              <w:t>-202</w:t>
            </w:r>
            <w:r w:rsidRPr="00D54DD6">
              <w:t>9</w:t>
            </w:r>
          </w:p>
        </w:tc>
        <w:tc>
          <w:tcPr>
            <w:tcW w:w="2268" w:type="dxa"/>
            <w:shd w:val="clear" w:color="auto" w:fill="auto"/>
          </w:tcPr>
          <w:p w14:paraId="29FD7552" w14:textId="77777777" w:rsidR="00751A4A" w:rsidRPr="00D54DD6" w:rsidRDefault="00187494" w:rsidP="0010095E">
            <w:pPr>
              <w:pStyle w:val="EPLogo"/>
            </w:pPr>
            <w:r w:rsidRPr="00D54DD6">
              <w:rPr>
                <w:noProof/>
                <w:lang w:eastAsia="ja-JP"/>
              </w:rPr>
              <w:drawing>
                <wp:inline distT="0" distB="0" distL="0" distR="0" wp14:anchorId="04ED6CB6" wp14:editId="237023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11A63C" w14:textId="77777777" w:rsidR="00D058B8" w:rsidRPr="00D54DD6" w:rsidRDefault="00D058B8" w:rsidP="004C5D52">
      <w:pPr>
        <w:pStyle w:val="LineTop"/>
      </w:pPr>
    </w:p>
    <w:p w14:paraId="5623178C" w14:textId="0175882A" w:rsidR="00680577" w:rsidRPr="00D54DD6" w:rsidRDefault="00D54DD6" w:rsidP="00680577">
      <w:pPr>
        <w:pStyle w:val="EPBodyTA1"/>
      </w:pPr>
      <w:r>
        <w:t>PRIIMTI TEKSTAI</w:t>
      </w:r>
    </w:p>
    <w:p w14:paraId="1B4B4834" w14:textId="77777777" w:rsidR="00D058B8" w:rsidRPr="00D54DD6" w:rsidRDefault="00D058B8" w:rsidP="00D058B8">
      <w:pPr>
        <w:pStyle w:val="LineBottom"/>
      </w:pPr>
    </w:p>
    <w:p w14:paraId="6F37587A" w14:textId="7F003291" w:rsidR="00D54DD6" w:rsidRDefault="00D54DD6" w:rsidP="00D54DD6">
      <w:pPr>
        <w:pStyle w:val="ATHeading1"/>
      </w:pPr>
      <w:bookmarkStart w:id="0" w:name="TANumber"/>
      <w:r>
        <w:t>P10_TA(2025)0</w:t>
      </w:r>
      <w:r w:rsidR="00463115">
        <w:t>34</w:t>
      </w:r>
      <w:r w:rsidR="00340863">
        <w:t>2</w:t>
      </w:r>
      <w:bookmarkEnd w:id="0"/>
    </w:p>
    <w:p w14:paraId="1FB09118" w14:textId="77777777" w:rsidR="00D54DD6" w:rsidRDefault="00D54DD6" w:rsidP="00D54DD6">
      <w:pPr>
        <w:pStyle w:val="ATHeading2"/>
      </w:pPr>
      <w:bookmarkStart w:id="1" w:name="title"/>
      <w:r>
        <w:t>Kovos su pinigų plovimu institucijos (AMLA) vykdomosios valdybos nario skyrimas</w:t>
      </w:r>
      <w:bookmarkEnd w:id="1"/>
    </w:p>
    <w:p w14:paraId="109B5381" w14:textId="77777777" w:rsidR="00D54DD6" w:rsidRDefault="00D54DD6" w:rsidP="00D54DD6">
      <w:pPr>
        <w:rPr>
          <w:i/>
          <w:vanish/>
        </w:rPr>
      </w:pPr>
      <w:r>
        <w:rPr>
          <w:i/>
        </w:rPr>
        <w:fldChar w:fldCharType="begin"/>
      </w:r>
      <w:r>
        <w:rPr>
          <w:i/>
        </w:rPr>
        <w:instrText xml:space="preserve"> TC"(</w:instrText>
      </w:r>
      <w:bookmarkStart w:id="2" w:name="DocNumber"/>
      <w:r>
        <w:rPr>
          <w:i/>
        </w:rPr>
        <w:instrText>A10-0267/2025</w:instrText>
      </w:r>
      <w:bookmarkEnd w:id="2"/>
      <w:r>
        <w:rPr>
          <w:i/>
        </w:rPr>
        <w:instrText xml:space="preserve"> - Pranešėjai: Aurore Lalucq, Javier Zarzalejos )"\l3 \n&gt; \* MERGEFORMAT </w:instrText>
      </w:r>
      <w:r>
        <w:rPr>
          <w:i/>
        </w:rPr>
        <w:fldChar w:fldCharType="end"/>
      </w:r>
    </w:p>
    <w:p w14:paraId="6409E081" w14:textId="77777777" w:rsidR="00D54DD6" w:rsidRDefault="00D54DD6" w:rsidP="00D54DD6">
      <w:pPr>
        <w:rPr>
          <w:vanish/>
        </w:rPr>
      </w:pPr>
      <w:bookmarkStart w:id="3" w:name="Commission"/>
      <w:r w:rsidRPr="00D54DD6">
        <w:rPr>
          <w:vanish/>
        </w:rPr>
        <w:t xml:space="preserve">Ekonomikos ir pinigų politikos komitetas ir Piliečių laisvių, teisingumo ir vidaus reikalų komitetas </w:t>
      </w:r>
      <w:bookmarkEnd w:id="3"/>
    </w:p>
    <w:p w14:paraId="355871B8" w14:textId="77777777" w:rsidR="00D54DD6" w:rsidRDefault="00D54DD6" w:rsidP="00D54DD6">
      <w:pPr>
        <w:rPr>
          <w:vanish/>
        </w:rPr>
      </w:pPr>
      <w:bookmarkStart w:id="4" w:name="PE"/>
      <w:r w:rsidRPr="00D54DD6">
        <w:rPr>
          <w:vanish/>
        </w:rPr>
        <w:t>PE781.368</w:t>
      </w:r>
      <w:bookmarkEnd w:id="4"/>
    </w:p>
    <w:p w14:paraId="54B8FFE3" w14:textId="3188A31B" w:rsidR="00D54DD6" w:rsidRDefault="0012257F" w:rsidP="00D54DD6">
      <w:pPr>
        <w:pStyle w:val="ATHeading3"/>
      </w:pPr>
      <w:bookmarkStart w:id="5" w:name="Sujet"/>
      <w:r>
        <w:t xml:space="preserve">2025 m. gruodžio 18 d. </w:t>
      </w:r>
      <w:r w:rsidR="00D54DD6">
        <w:t>Europos Parlamento sprendimas dėl pasiūlymo dėl Kovos su pinigų plovimu ir teroristų finansavimu institucijos vykdomosios valdybos nario skyrimo</w:t>
      </w:r>
      <w:bookmarkEnd w:id="5"/>
      <w:r w:rsidR="00D54DD6">
        <w:t xml:space="preserve"> </w:t>
      </w:r>
      <w:bookmarkStart w:id="6" w:name="References"/>
      <w:r w:rsidR="00D54DD6">
        <w:t>(N10-0078/2025 – C10</w:t>
      </w:r>
      <w:r w:rsidR="00D54DD6">
        <w:noBreakHyphen/>
        <w:t xml:space="preserve">0332/2025 – 2025/0905(NLE)) </w:t>
      </w:r>
      <w:bookmarkEnd w:id="6"/>
    </w:p>
    <w:p w14:paraId="7B260482" w14:textId="77777777" w:rsidR="0012257F" w:rsidRPr="00340CAE" w:rsidRDefault="0012257F" w:rsidP="0012257F">
      <w:pPr>
        <w:pStyle w:val="NormalBold"/>
      </w:pPr>
      <w:r>
        <w:t>(Pritarimo procedūra)</w:t>
      </w:r>
    </w:p>
    <w:p w14:paraId="7C87F605" w14:textId="77777777" w:rsidR="0012257F" w:rsidRPr="00340CAE" w:rsidRDefault="0012257F" w:rsidP="0012257F">
      <w:pPr>
        <w:pStyle w:val="EPComma"/>
      </w:pPr>
      <w:r>
        <w:rPr>
          <w:i/>
        </w:rPr>
        <w:t>Europos Parlamentas</w:t>
      </w:r>
      <w:r>
        <w:t>,</w:t>
      </w:r>
    </w:p>
    <w:p w14:paraId="06F61555" w14:textId="4DDF3701" w:rsidR="0012257F" w:rsidRPr="00B33C39" w:rsidRDefault="0012257F" w:rsidP="0012257F">
      <w:pPr>
        <w:pStyle w:val="NormalHanging12a"/>
      </w:pPr>
      <w:r>
        <w:t>–</w:t>
      </w:r>
      <w:r>
        <w:tab/>
        <w:t>atsižvelgdamas į 2025 m. gruodžio 9 d. Kovos su pinigų plovimu ir teroristų finansavimu institucijos bendrosios valdybos pasiūlymą (GBSUP sprendimas 7/2025 (GBFIU sprendimas 11/2025)),</w:t>
      </w:r>
    </w:p>
    <w:p w14:paraId="299D0691" w14:textId="77777777" w:rsidR="0012257F" w:rsidRPr="00B33C39" w:rsidRDefault="0012257F" w:rsidP="0012257F">
      <w:pPr>
        <w:pStyle w:val="NormalHanging12a"/>
        <w:rPr>
          <w:szCs w:val="24"/>
        </w:rPr>
      </w:pPr>
      <w:r>
        <w:t>–</w:t>
      </w:r>
      <w:r>
        <w:tab/>
        <w:t>atsižvelgdamas į 2024 m. gegužės 31 d. Europos Parlamento ir Tarybos reglamento (ES) 2024/1620 63 straipsnio 4 dalį, kuriuo įsteigiama Kovos su pinigų plovimu ir teroristų finansavimu institucija ir iš dalies keičiami reglamentai (ES) Nr. 1093/2010, (ES) Nr. 1094/2010 ir (ES) Nr. 1095/2010</w:t>
      </w:r>
      <w:r>
        <w:rPr>
          <w:rStyle w:val="FootnoteReference"/>
        </w:rPr>
        <w:footnoteReference w:id="1"/>
      </w:r>
      <w:r>
        <w:t xml:space="preserve">, </w:t>
      </w:r>
    </w:p>
    <w:p w14:paraId="0811B45B" w14:textId="77777777" w:rsidR="0012257F" w:rsidRPr="00B33C39" w:rsidRDefault="0012257F" w:rsidP="0012257F">
      <w:pPr>
        <w:spacing w:after="240"/>
        <w:ind w:left="567" w:hanging="567"/>
      </w:pPr>
      <w:r>
        <w:t>–</w:t>
      </w:r>
      <w:r>
        <w:tab/>
        <w:t>atsižvelgdamas į 2025 m. spalio 22 d. Pirmininkų sueigos sprendimą dėl Europos Parlamento atstovų ar kitų asmenų skyrimo į valdančiąsias tarybas ar kitas agentūrų ir įstaigų pareigas taisyklių,</w:t>
      </w:r>
    </w:p>
    <w:p w14:paraId="2A40CC12" w14:textId="77777777" w:rsidR="0012257F" w:rsidRPr="00B33C39" w:rsidRDefault="0012257F" w:rsidP="0012257F">
      <w:pPr>
        <w:spacing w:after="240"/>
        <w:ind w:left="567" w:hanging="567"/>
      </w:pPr>
      <w:r>
        <w:t>–</w:t>
      </w:r>
      <w:r>
        <w:tab/>
        <w:t>atsižvelgdamas į Darbo tvarkos taisykles,</w:t>
      </w:r>
    </w:p>
    <w:p w14:paraId="12E18D2F" w14:textId="712E844E" w:rsidR="0012257F" w:rsidRPr="00B33C39" w:rsidRDefault="0012257F" w:rsidP="0012257F">
      <w:pPr>
        <w:spacing w:after="240"/>
        <w:ind w:left="567" w:hanging="567"/>
      </w:pPr>
      <w:r>
        <w:t>–</w:t>
      </w:r>
      <w:r>
        <w:tab/>
        <w:t>atsižvelgdamas į Ekonomikos ir pinigų politikos komiteto ir Piliečių laisvių, teisingumo ir vidaus reikalų komiteto pranešimą (</w:t>
      </w:r>
      <w:r w:rsidR="009256B8" w:rsidRPr="009256B8">
        <w:t>A10-0267/2025</w:t>
      </w:r>
      <w:r>
        <w:t>),</w:t>
      </w:r>
    </w:p>
    <w:p w14:paraId="71F1F1DA" w14:textId="77777777" w:rsidR="0012257F" w:rsidRPr="00B33C39" w:rsidRDefault="0012257F" w:rsidP="0012257F">
      <w:pPr>
        <w:pStyle w:val="NormalHanging12a"/>
      </w:pPr>
      <w:r>
        <w:t>A.</w:t>
      </w:r>
      <w:r>
        <w:tab/>
        <w:t xml:space="preserve">kadangi Reglamento (ES) 2024/1620 63 straipsnio 4 dalyje nustatyta, kad Kovos su pinigų plovimu ir teroristų finansavimu institucijos vykdomosios valdybos nariai renkami remiantis nuopelnais, įgūdžiais, žiniomis, sąžiningumu, pripažintu autoritetu ir patirtimi kovos su pinigų plovimu ir teroristų finansavimu srityje bei kita atitinkama </w:t>
      </w:r>
      <w:r>
        <w:lastRenderedPageBreak/>
        <w:t>kvalifikacija;</w:t>
      </w:r>
    </w:p>
    <w:p w14:paraId="69D837B9" w14:textId="77777777" w:rsidR="0012257F" w:rsidRPr="00B33C39" w:rsidRDefault="0012257F" w:rsidP="0012257F">
      <w:pPr>
        <w:pStyle w:val="NormalHanging12a"/>
      </w:pPr>
      <w:r>
        <w:t>B.</w:t>
      </w:r>
      <w:r>
        <w:tab/>
        <w:t>kadangi Parlamentas yra įsipareigojęs užtikrinti lyčių pusiausvyrą vykdomosiose pareigose Sąjungos institucijose, įstaigose ir agentūrose; kadangi visos Sąjungos ir nacionalinės institucijos ir įstaigos turi įgyvendinti konkrečias priemones lyčių pusiausvyrai užtikrinti; kadangi ateityje Parlamentas tikisi gauti galutinį bent dviejų reikalavimus atitinkančių kandidatų į būsimas pareigas sąrašą, kad būtų išlaikyta lyčių pusiausvyra Kovos su pinigų plovimu ir teroristų finansavimu institucijos vykdomojoje valdyboje, kaip nurodyta Reglamento (ES) 2024/1620 66 konstatuojamojoje dalyje;</w:t>
      </w:r>
    </w:p>
    <w:p w14:paraId="26DE940B" w14:textId="77777777" w:rsidR="0012257F" w:rsidRPr="00B33C39" w:rsidRDefault="0012257F" w:rsidP="0012257F">
      <w:pPr>
        <w:pStyle w:val="NormalHanging12a"/>
      </w:pPr>
      <w:r>
        <w:t>C.</w:t>
      </w:r>
      <w:r>
        <w:tab/>
        <w:t>kadangi pagal Reglamento (ES) 2024/1620 63 straipsnio 4 dalį 2025 m. lapkričio 12 d. Komisija patvirtino galutinį kandidatų į Kovos su pinigų plovimu ir teroristų finansavimu institucijos vykdomosios valdybos nario pareigas sąrašą ir pateikė jį Parlamentui;</w:t>
      </w:r>
    </w:p>
    <w:p w14:paraId="43E229AF" w14:textId="77777777" w:rsidR="0012257F" w:rsidRPr="00B33C39" w:rsidRDefault="0012257F" w:rsidP="0012257F">
      <w:pPr>
        <w:pStyle w:val="NormalHanging12a"/>
      </w:pPr>
      <w:r>
        <w:t>D.</w:t>
      </w:r>
      <w:r>
        <w:tab/>
        <w:t>kadangi Ekonomikos ir pinigų politikos komitetas ir Piliečių laisvių, teisingumo ir vidaus reikalų komitetas įvertino į galutinį sąrašą įtrauktos kandidatės į Kovos su pinigų plovimu ir teroristų finansavimu institucijos vykdomosios valdybos nario pareigas kvalifikacijas, visų pirma atsižvelgdami į Reglamento (ES) 2024/1620 63 straipsnyje nustatytus reikalavimus;</w:t>
      </w:r>
    </w:p>
    <w:p w14:paraId="5666078C" w14:textId="77777777" w:rsidR="0012257F" w:rsidRPr="00B33C39" w:rsidRDefault="0012257F" w:rsidP="0012257F">
      <w:pPr>
        <w:pStyle w:val="NormalHanging12a"/>
      </w:pPr>
      <w:r>
        <w:t>E.</w:t>
      </w:r>
      <w:r>
        <w:tab/>
        <w:t xml:space="preserve">kadangi 2025 m. gruodžio 2 d. Ekonomikos ir pinigų politikos komitetas ir Piliečių laisvių, teisingumo ir vidaus reikalų komitetas surengė klausymą su </w:t>
      </w:r>
      <w:proofErr w:type="spellStart"/>
      <w:r>
        <w:t>Henrica</w:t>
      </w:r>
      <w:proofErr w:type="spellEnd"/>
      <w:r>
        <w:t xml:space="preserve"> Maria </w:t>
      </w:r>
      <w:proofErr w:type="spellStart"/>
      <w:r>
        <w:t>Verbeek-Kusters</w:t>
      </w:r>
      <w:proofErr w:type="spellEnd"/>
      <w:r>
        <w:t>, per kurį ji pasakė įžanginę kalbą ir atsakė į komitetų narių klausimus;</w:t>
      </w:r>
    </w:p>
    <w:p w14:paraId="233C720F" w14:textId="77777777" w:rsidR="0012257F" w:rsidRPr="00B33C39" w:rsidRDefault="0012257F" w:rsidP="0012257F">
      <w:pPr>
        <w:pStyle w:val="NormalHanging12a"/>
      </w:pPr>
      <w:r>
        <w:t>F.</w:t>
      </w:r>
      <w:r>
        <w:tab/>
        <w:t xml:space="preserve">kadangi 2025 m. gruodžio 9 d. Kovos su pinigų plovimu ir teroristų finansavimu institucijos bendroji valdyba priėmė pasiūlymą skirti </w:t>
      </w:r>
      <w:proofErr w:type="spellStart"/>
      <w:r>
        <w:t>Henricą</w:t>
      </w:r>
      <w:proofErr w:type="spellEnd"/>
      <w:r>
        <w:t xml:space="preserve"> Marią </w:t>
      </w:r>
      <w:proofErr w:type="spellStart"/>
      <w:r>
        <w:t>Verbeek-Kusters</w:t>
      </w:r>
      <w:proofErr w:type="spellEnd"/>
      <w:r>
        <w:t xml:space="preserve"> Kovos su pinigų plovimu ir teroristų finansavimu institucijos vykdomosios valdybos nare ir perdavė šį pasiūlymą Parlamentui;</w:t>
      </w:r>
    </w:p>
    <w:p w14:paraId="60F06803" w14:textId="77777777" w:rsidR="0012257F" w:rsidRPr="00B33C39" w:rsidRDefault="0012257F" w:rsidP="0012257F">
      <w:pPr>
        <w:pStyle w:val="NormalHanging12a"/>
      </w:pPr>
      <w:r>
        <w:t>1.</w:t>
      </w:r>
      <w:r>
        <w:tab/>
        <w:t xml:space="preserve">pritaria pasiūlymui skirti </w:t>
      </w:r>
      <w:proofErr w:type="spellStart"/>
      <w:r>
        <w:t>Henricą</w:t>
      </w:r>
      <w:proofErr w:type="spellEnd"/>
      <w:r>
        <w:t xml:space="preserve"> Marią </w:t>
      </w:r>
      <w:proofErr w:type="spellStart"/>
      <w:r>
        <w:t>Verbeek-Kusters</w:t>
      </w:r>
      <w:proofErr w:type="spellEnd"/>
      <w:r>
        <w:t xml:space="preserve"> Kovos su pinigų plovimu ir teroristų finansavimu institucijos vykdomosios valdybos nare;</w:t>
      </w:r>
    </w:p>
    <w:p w14:paraId="4CD41848" w14:textId="536483CC" w:rsidR="00E365E1" w:rsidRPr="00D54DD6" w:rsidRDefault="0012257F" w:rsidP="0012257F">
      <w:pPr>
        <w:pStyle w:val="NormalHanging12a"/>
      </w:pPr>
      <w:r>
        <w:t>2.</w:t>
      </w:r>
      <w:r>
        <w:tab/>
        <w:t>paveda Pirmininkei perduoti šį sprendimą Tarybai, Komisijai, Kovos su pinigų plovimu ir teroristų finansavimu institucijai ir valstybių narių vyriausybėms.</w:t>
      </w:r>
      <w:bookmarkStart w:id="7" w:name="TextBodyBegin"/>
      <w:bookmarkEnd w:id="7"/>
    </w:p>
    <w:sectPr w:rsidR="00E365E1" w:rsidRPr="00D54DD6" w:rsidSect="00DA7F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65DF1" w14:textId="77777777" w:rsidR="00D54DD6" w:rsidRPr="00D54DD6" w:rsidRDefault="00D54DD6">
      <w:r w:rsidRPr="00D54DD6">
        <w:separator/>
      </w:r>
    </w:p>
  </w:endnote>
  <w:endnote w:type="continuationSeparator" w:id="0">
    <w:p w14:paraId="6D0B00F4" w14:textId="77777777" w:rsidR="00D54DD6" w:rsidRPr="00D54DD6" w:rsidRDefault="00D54DD6">
      <w:r w:rsidRPr="00D54D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58546" w14:textId="77777777" w:rsidR="00064002" w:rsidRPr="00D54DD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89239" w14:textId="77777777" w:rsidR="00064002" w:rsidRPr="00D54DD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16CE" w14:textId="77777777" w:rsidR="00064002" w:rsidRPr="00D54D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7AE3A" w14:textId="77777777" w:rsidR="00D54DD6" w:rsidRPr="00D54DD6" w:rsidRDefault="00D54DD6">
      <w:r w:rsidRPr="00D54DD6">
        <w:separator/>
      </w:r>
    </w:p>
  </w:footnote>
  <w:footnote w:type="continuationSeparator" w:id="0">
    <w:p w14:paraId="0E506BA7" w14:textId="77777777" w:rsidR="00D54DD6" w:rsidRPr="00D54DD6" w:rsidRDefault="00D54DD6">
      <w:r w:rsidRPr="00D54DD6">
        <w:continuationSeparator/>
      </w:r>
    </w:p>
  </w:footnote>
  <w:footnote w:id="1">
    <w:p w14:paraId="1EED923E" w14:textId="36F88859" w:rsidR="0012257F" w:rsidRPr="009256B8" w:rsidRDefault="0012257F" w:rsidP="0012257F">
      <w:pPr>
        <w:pStyle w:val="FootnoteText"/>
        <w:rPr>
          <w:lang w:val="fi-FI"/>
        </w:rPr>
      </w:pPr>
      <w:r>
        <w:rPr>
          <w:rStyle w:val="FootnoteReference"/>
        </w:rPr>
        <w:footnoteRef/>
      </w:r>
      <w:r w:rsidRPr="009256B8">
        <w:rPr>
          <w:lang w:val="fi-FI"/>
        </w:rPr>
        <w:tab/>
        <w:t xml:space="preserve">OL L, 2024/1620, 2024 6 19, ELI: </w:t>
      </w:r>
      <w:hyperlink r:id="rId1" w:history="1">
        <w:r w:rsidRPr="009256B8">
          <w:rPr>
            <w:rStyle w:val="Hyperlink"/>
            <w:lang w:val="fi-FI"/>
          </w:rPr>
          <w:t>http://data.europa.eu/eli/reg/2024/1620/oj</w:t>
        </w:r>
      </w:hyperlink>
      <w:r w:rsidRPr="009256B8">
        <w:rPr>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DADBE" w14:textId="77777777" w:rsidR="00064002" w:rsidRPr="00D54D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8F255" w14:textId="77777777" w:rsidR="00064002" w:rsidRPr="00D54D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D5CCD" w14:textId="77777777" w:rsidR="00064002" w:rsidRPr="00D54D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0490974">
    <w:abstractNumId w:val="9"/>
  </w:num>
  <w:num w:numId="2" w16cid:durableId="1081370207">
    <w:abstractNumId w:val="9"/>
  </w:num>
  <w:num w:numId="3" w16cid:durableId="1916670346">
    <w:abstractNumId w:val="7"/>
  </w:num>
  <w:num w:numId="4" w16cid:durableId="177085176">
    <w:abstractNumId w:val="7"/>
  </w:num>
  <w:num w:numId="5" w16cid:durableId="420571370">
    <w:abstractNumId w:val="6"/>
  </w:num>
  <w:num w:numId="6" w16cid:durableId="1741635854">
    <w:abstractNumId w:val="6"/>
  </w:num>
  <w:num w:numId="7" w16cid:durableId="469329669">
    <w:abstractNumId w:val="5"/>
  </w:num>
  <w:num w:numId="8" w16cid:durableId="454833473">
    <w:abstractNumId w:val="5"/>
  </w:num>
  <w:num w:numId="9" w16cid:durableId="285699764">
    <w:abstractNumId w:val="4"/>
  </w:num>
  <w:num w:numId="10" w16cid:durableId="1723359212">
    <w:abstractNumId w:val="4"/>
  </w:num>
  <w:num w:numId="11" w16cid:durableId="2070152379">
    <w:abstractNumId w:val="8"/>
  </w:num>
  <w:num w:numId="12" w16cid:durableId="1390038129">
    <w:abstractNumId w:val="8"/>
  </w:num>
  <w:num w:numId="13" w16cid:durableId="618803933">
    <w:abstractNumId w:val="3"/>
  </w:num>
  <w:num w:numId="14" w16cid:durableId="1557474324">
    <w:abstractNumId w:val="3"/>
  </w:num>
  <w:num w:numId="15" w16cid:durableId="326788823">
    <w:abstractNumId w:val="2"/>
  </w:num>
  <w:num w:numId="16" w16cid:durableId="503478870">
    <w:abstractNumId w:val="2"/>
  </w:num>
  <w:num w:numId="17" w16cid:durableId="2027126165">
    <w:abstractNumId w:val="1"/>
  </w:num>
  <w:num w:numId="18" w16cid:durableId="1808627408">
    <w:abstractNumId w:val="1"/>
  </w:num>
  <w:num w:numId="19" w16cid:durableId="2118941698">
    <w:abstractNumId w:val="0"/>
  </w:num>
  <w:num w:numId="20" w16cid:durableId="1665081801">
    <w:abstractNumId w:val="0"/>
  </w:num>
  <w:num w:numId="21" w16cid:durableId="1390568795">
    <w:abstractNumId w:val="9"/>
  </w:num>
  <w:num w:numId="22" w16cid:durableId="153111401">
    <w:abstractNumId w:val="7"/>
  </w:num>
  <w:num w:numId="23" w16cid:durableId="1065760157">
    <w:abstractNumId w:val="6"/>
  </w:num>
  <w:num w:numId="24" w16cid:durableId="963345529">
    <w:abstractNumId w:val="5"/>
  </w:num>
  <w:num w:numId="25" w16cid:durableId="1226792029">
    <w:abstractNumId w:val="4"/>
  </w:num>
  <w:num w:numId="26" w16cid:durableId="1070232143">
    <w:abstractNumId w:val="8"/>
  </w:num>
  <w:num w:numId="27" w16cid:durableId="59796283">
    <w:abstractNumId w:val="3"/>
  </w:num>
  <w:num w:numId="28" w16cid:durableId="1676373236">
    <w:abstractNumId w:val="2"/>
  </w:num>
  <w:num w:numId="29" w16cid:durableId="212272557">
    <w:abstractNumId w:val="1"/>
  </w:num>
  <w:num w:numId="30" w16cid:durableId="1270089306">
    <w:abstractNumId w:val="0"/>
  </w:num>
  <w:num w:numId="31" w16cid:durableId="556162711">
    <w:abstractNumId w:val="9"/>
  </w:num>
  <w:num w:numId="32" w16cid:durableId="835608596">
    <w:abstractNumId w:val="7"/>
  </w:num>
  <w:num w:numId="33" w16cid:durableId="1478648902">
    <w:abstractNumId w:val="6"/>
  </w:num>
  <w:num w:numId="34" w16cid:durableId="298531509">
    <w:abstractNumId w:val="5"/>
  </w:num>
  <w:num w:numId="35" w16cid:durableId="1957519512">
    <w:abstractNumId w:val="4"/>
  </w:num>
  <w:num w:numId="36" w16cid:durableId="391857389">
    <w:abstractNumId w:val="8"/>
  </w:num>
  <w:num w:numId="37" w16cid:durableId="1764568330">
    <w:abstractNumId w:val="3"/>
  </w:num>
  <w:num w:numId="38" w16cid:durableId="1873346977">
    <w:abstractNumId w:val="2"/>
  </w:num>
  <w:num w:numId="39" w16cid:durableId="1182863402">
    <w:abstractNumId w:val="1"/>
  </w:num>
  <w:num w:numId="40" w16cid:durableId="1343121461">
    <w:abstractNumId w:val="0"/>
  </w:num>
  <w:num w:numId="41" w16cid:durableId="1425806614">
    <w:abstractNumId w:val="10"/>
  </w:num>
  <w:num w:numId="42" w16cid:durableId="1775133458">
    <w:abstractNumId w:val="10"/>
  </w:num>
  <w:num w:numId="43" w16cid:durableId="507139197">
    <w:abstractNumId w:val="10"/>
  </w:num>
  <w:num w:numId="44" w16cid:durableId="12918612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numam" w:val="0"/>
    <w:docVar w:name="dvrapporteur" w:val="Pranešėjai: "/>
  </w:docVars>
  <w:rsids>
    <w:rsidRoot w:val="00D54DD6"/>
    <w:rsid w:val="00002272"/>
    <w:rsid w:val="00064002"/>
    <w:rsid w:val="000677B9"/>
    <w:rsid w:val="000831BA"/>
    <w:rsid w:val="000A42CC"/>
    <w:rsid w:val="000B7DF6"/>
    <w:rsid w:val="000E7DD9"/>
    <w:rsid w:val="0010095E"/>
    <w:rsid w:val="0012257F"/>
    <w:rsid w:val="00125B37"/>
    <w:rsid w:val="001848E7"/>
    <w:rsid w:val="00187494"/>
    <w:rsid w:val="001F32AE"/>
    <w:rsid w:val="002767FF"/>
    <w:rsid w:val="002B18FE"/>
    <w:rsid w:val="002B5493"/>
    <w:rsid w:val="00340863"/>
    <w:rsid w:val="00343214"/>
    <w:rsid w:val="00361C00"/>
    <w:rsid w:val="003828FB"/>
    <w:rsid w:val="00395FA1"/>
    <w:rsid w:val="003E15D4"/>
    <w:rsid w:val="00411CCE"/>
    <w:rsid w:val="0041666E"/>
    <w:rsid w:val="00421060"/>
    <w:rsid w:val="00463115"/>
    <w:rsid w:val="00471C19"/>
    <w:rsid w:val="004867E3"/>
    <w:rsid w:val="00494A28"/>
    <w:rsid w:val="004C0004"/>
    <w:rsid w:val="004C5D52"/>
    <w:rsid w:val="0050519A"/>
    <w:rsid w:val="0050527B"/>
    <w:rsid w:val="005072A1"/>
    <w:rsid w:val="00514517"/>
    <w:rsid w:val="00545827"/>
    <w:rsid w:val="00560270"/>
    <w:rsid w:val="005C2568"/>
    <w:rsid w:val="005F1B17"/>
    <w:rsid w:val="006037C0"/>
    <w:rsid w:val="006631B6"/>
    <w:rsid w:val="00680577"/>
    <w:rsid w:val="006F74FA"/>
    <w:rsid w:val="00721754"/>
    <w:rsid w:val="00731ADD"/>
    <w:rsid w:val="00734777"/>
    <w:rsid w:val="00747932"/>
    <w:rsid w:val="00751A4A"/>
    <w:rsid w:val="00756632"/>
    <w:rsid w:val="00762C74"/>
    <w:rsid w:val="00786EC0"/>
    <w:rsid w:val="007D1690"/>
    <w:rsid w:val="007E22AD"/>
    <w:rsid w:val="007F2973"/>
    <w:rsid w:val="00817416"/>
    <w:rsid w:val="00842779"/>
    <w:rsid w:val="00865F67"/>
    <w:rsid w:val="00881A7B"/>
    <w:rsid w:val="008840E5"/>
    <w:rsid w:val="00887B3E"/>
    <w:rsid w:val="008C2AC6"/>
    <w:rsid w:val="009256B8"/>
    <w:rsid w:val="00930C23"/>
    <w:rsid w:val="0093193B"/>
    <w:rsid w:val="009509D8"/>
    <w:rsid w:val="00950B64"/>
    <w:rsid w:val="00981893"/>
    <w:rsid w:val="00A1687D"/>
    <w:rsid w:val="00A43E52"/>
    <w:rsid w:val="00A4678D"/>
    <w:rsid w:val="00A778C7"/>
    <w:rsid w:val="00AB441E"/>
    <w:rsid w:val="00AB5947"/>
    <w:rsid w:val="00AB6293"/>
    <w:rsid w:val="00AE0928"/>
    <w:rsid w:val="00AF3B82"/>
    <w:rsid w:val="00B12E95"/>
    <w:rsid w:val="00B22876"/>
    <w:rsid w:val="00B558F0"/>
    <w:rsid w:val="00B56DC6"/>
    <w:rsid w:val="00BD48FE"/>
    <w:rsid w:val="00BD7BD8"/>
    <w:rsid w:val="00BE6ADC"/>
    <w:rsid w:val="00C05BFE"/>
    <w:rsid w:val="00C23CD4"/>
    <w:rsid w:val="00C61C0C"/>
    <w:rsid w:val="00C941CB"/>
    <w:rsid w:val="00CC2357"/>
    <w:rsid w:val="00CF071A"/>
    <w:rsid w:val="00D058B8"/>
    <w:rsid w:val="00D54DD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5DBBC"/>
  <w15:chartTrackingRefBased/>
  <w15:docId w15:val="{D5E905B4-F027-473E-B0B5-56507EA92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2257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2257F"/>
    <w:pPr>
      <w:spacing w:before="480" w:after="240"/>
    </w:pPr>
  </w:style>
  <w:style w:type="paragraph" w:customStyle="1" w:styleId="NormalBold">
    <w:name w:val="NormalBold"/>
    <w:basedOn w:val="Normal"/>
    <w:rsid w:val="0012257F"/>
    <w:rPr>
      <w:b/>
    </w:rPr>
  </w:style>
  <w:style w:type="paragraph" w:customStyle="1" w:styleId="NormalHanging12a">
    <w:name w:val="NormalHanging12a"/>
    <w:basedOn w:val="Normal"/>
    <w:rsid w:val="0012257F"/>
    <w:pPr>
      <w:spacing w:after="240"/>
      <w:ind w:left="567" w:hanging="567"/>
    </w:pPr>
  </w:style>
  <w:style w:type="paragraph" w:styleId="Header">
    <w:name w:val="header"/>
    <w:basedOn w:val="Normal"/>
    <w:link w:val="HeaderChar"/>
    <w:rsid w:val="0012257F"/>
    <w:pPr>
      <w:tabs>
        <w:tab w:val="center" w:pos="4513"/>
        <w:tab w:val="right" w:pos="9026"/>
      </w:tabs>
    </w:pPr>
  </w:style>
  <w:style w:type="character" w:customStyle="1" w:styleId="HeaderChar">
    <w:name w:val="Header Char"/>
    <w:basedOn w:val="DefaultParagraphFont"/>
    <w:link w:val="Header"/>
    <w:rsid w:val="0012257F"/>
    <w:rPr>
      <w:sz w:val="24"/>
      <w:lang w:val="lt-LT"/>
    </w:rPr>
  </w:style>
  <w:style w:type="paragraph" w:customStyle="1" w:styleId="EPFooter">
    <w:name w:val="EPFooter"/>
    <w:basedOn w:val="Normal"/>
    <w:rsid w:val="0012257F"/>
    <w:pPr>
      <w:tabs>
        <w:tab w:val="center" w:pos="4535"/>
        <w:tab w:val="right" w:pos="9071"/>
      </w:tabs>
      <w:spacing w:before="240" w:after="240"/>
    </w:pPr>
    <w:rPr>
      <w:color w:val="010000"/>
      <w:sz w:val="22"/>
    </w:rPr>
  </w:style>
  <w:style w:type="paragraph" w:styleId="Footer">
    <w:name w:val="footer"/>
    <w:basedOn w:val="Normal"/>
    <w:link w:val="FooterChar"/>
    <w:rsid w:val="0012257F"/>
    <w:pPr>
      <w:tabs>
        <w:tab w:val="center" w:pos="4513"/>
        <w:tab w:val="right" w:pos="9026"/>
      </w:tabs>
    </w:pPr>
  </w:style>
  <w:style w:type="character" w:customStyle="1" w:styleId="FooterChar">
    <w:name w:val="Footer Char"/>
    <w:basedOn w:val="DefaultParagraphFont"/>
    <w:link w:val="Footer"/>
    <w:rsid w:val="0012257F"/>
    <w:rPr>
      <w:sz w:val="24"/>
      <w:lang w:val="lt-LT"/>
    </w:rPr>
  </w:style>
  <w:style w:type="character" w:styleId="Hyperlink">
    <w:name w:val="Hyperlink"/>
    <w:basedOn w:val="DefaultParagraphFont"/>
    <w:rsid w:val="0012257F"/>
    <w:rPr>
      <w:color w:val="0563C1" w:themeColor="hyperlink"/>
      <w:u w:val="single"/>
    </w:rPr>
  </w:style>
  <w:style w:type="character" w:styleId="UnresolvedMention">
    <w:name w:val="Unresolved Mention"/>
    <w:basedOn w:val="DefaultParagraphFont"/>
    <w:uiPriority w:val="99"/>
    <w:semiHidden/>
    <w:unhideWhenUsed/>
    <w:rsid w:val="0012257F"/>
    <w:rPr>
      <w:color w:val="605E5C"/>
      <w:shd w:val="clear" w:color="auto" w:fill="E1DFDD"/>
    </w:rPr>
  </w:style>
  <w:style w:type="paragraph" w:styleId="Revision">
    <w:name w:val="Revision"/>
    <w:hidden/>
    <w:uiPriority w:val="99"/>
    <w:semiHidden/>
    <w:rsid w:val="009256B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INKE~1\AppData\Local\Temp\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TA.dotx</Template>
  <TotalTime>0</TotalTime>
  <Pages>2</Pages>
  <Words>474</Words>
  <Characters>3443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2026-02-13T09:35:00Z</dcterms:created>
  <dcterms:modified xsi:type="dcterms:W3CDTF">2026-02-13T09:35:00Z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P10_TA(2025)0342_</vt:lpwstr>
  </property>
  <property fmtid="{D5CDD505-2E9C-101B-9397-08002B2CF9AE}" pid="4" name="&lt;Type&gt;">
    <vt:lpwstr>RR</vt:lpwstr>
  </property>
</Properties>
</file>