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26A6" w14:paraId="204CB8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7CD71E" w14:textId="77777777" w:rsidR="00751A4A" w:rsidRPr="00E426A6" w:rsidRDefault="007317E9" w:rsidP="0010095E">
            <w:pPr>
              <w:pStyle w:val="EPName"/>
            </w:pPr>
            <w:r w:rsidRPr="00E426A6">
              <w:t xml:space="preserve">Parlamento </w:t>
            </w:r>
            <w:proofErr w:type="gramStart"/>
            <w:r w:rsidRPr="00E426A6">
              <w:t>Europeu</w:t>
            </w:r>
            <w:proofErr w:type="gramEnd"/>
          </w:p>
          <w:p w14:paraId="2D554522" w14:textId="77777777" w:rsidR="00751A4A" w:rsidRPr="00E426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26A6">
              <w:t>2024</w:t>
            </w:r>
            <w:r w:rsidR="00817416" w:rsidRPr="00E426A6">
              <w:t>-202</w:t>
            </w:r>
            <w:r w:rsidRPr="00E426A6">
              <w:t>9</w:t>
            </w:r>
          </w:p>
        </w:tc>
        <w:tc>
          <w:tcPr>
            <w:tcW w:w="2268" w:type="dxa"/>
            <w:shd w:val="clear" w:color="auto" w:fill="auto"/>
          </w:tcPr>
          <w:p w14:paraId="3B49FBC6" w14:textId="77777777" w:rsidR="00751A4A" w:rsidRPr="00E426A6" w:rsidRDefault="00187494" w:rsidP="0010095E">
            <w:pPr>
              <w:pStyle w:val="EPLogo"/>
            </w:pPr>
            <w:r w:rsidRPr="00E426A6">
              <w:rPr>
                <w:noProof/>
                <w:lang w:eastAsia="ja-JP"/>
              </w:rPr>
              <w:drawing>
                <wp:inline distT="0" distB="0" distL="0" distR="0" wp14:anchorId="47E9ACAD" wp14:editId="6A923A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9845C" w14:textId="77777777" w:rsidR="00D058B8" w:rsidRPr="00E426A6" w:rsidRDefault="00D058B8" w:rsidP="004C5D52">
      <w:pPr>
        <w:pStyle w:val="LineTop"/>
      </w:pPr>
    </w:p>
    <w:p w14:paraId="17377DA3" w14:textId="77777777" w:rsidR="00680577" w:rsidRPr="00E426A6" w:rsidRDefault="007317E9" w:rsidP="00680577">
      <w:pPr>
        <w:pStyle w:val="EPBodyTA1"/>
      </w:pPr>
      <w:r w:rsidRPr="00E426A6">
        <w:t>TEXTOS APROVADOS</w:t>
      </w:r>
    </w:p>
    <w:p w14:paraId="46DBA33E" w14:textId="77777777" w:rsidR="00D058B8" w:rsidRPr="00E426A6" w:rsidRDefault="00D058B8" w:rsidP="00D058B8">
      <w:pPr>
        <w:pStyle w:val="LineBottom"/>
      </w:pPr>
    </w:p>
    <w:p w14:paraId="731250DF" w14:textId="07F7F4A4" w:rsidR="007317E9" w:rsidRPr="00E426A6" w:rsidRDefault="007317E9" w:rsidP="007317E9">
      <w:pPr>
        <w:pStyle w:val="ATHeading1"/>
      </w:pPr>
      <w:bookmarkStart w:id="0" w:name="TANumber"/>
      <w:r w:rsidRPr="00E426A6">
        <w:t>P10_</w:t>
      </w:r>
      <w:proofErr w:type="gramStart"/>
      <w:r w:rsidRPr="00E426A6">
        <w:t>TA(</w:t>
      </w:r>
      <w:proofErr w:type="gramEnd"/>
      <w:r w:rsidRPr="00E426A6">
        <w:t>2025)</w:t>
      </w:r>
      <w:bookmarkEnd w:id="0"/>
      <w:r w:rsidR="00E426A6" w:rsidRPr="00E426A6">
        <w:t>0</w:t>
      </w:r>
      <w:r w:rsidR="00E426A6" w:rsidRPr="00E426A6">
        <w:t>342</w:t>
      </w:r>
    </w:p>
    <w:p w14:paraId="20B56291" w14:textId="77777777" w:rsidR="007317E9" w:rsidRPr="00E426A6" w:rsidRDefault="007317E9" w:rsidP="007317E9">
      <w:pPr>
        <w:pStyle w:val="ATHeading2"/>
      </w:pPr>
      <w:bookmarkStart w:id="1" w:name="title"/>
      <w:r w:rsidRPr="00E426A6">
        <w:t>Nomeação de um membro do conselho executivo da Autoridade para o Combate ao Branqueamento de Capitais (ACBC)</w:t>
      </w:r>
      <w:bookmarkEnd w:id="1"/>
    </w:p>
    <w:p w14:paraId="69930959" w14:textId="77777777" w:rsidR="007317E9" w:rsidRPr="00E426A6" w:rsidRDefault="007317E9" w:rsidP="007317E9">
      <w:pPr>
        <w:rPr>
          <w:i/>
          <w:vanish/>
        </w:rPr>
      </w:pPr>
      <w:r w:rsidRPr="00E426A6">
        <w:rPr>
          <w:i/>
        </w:rPr>
        <w:fldChar w:fldCharType="begin"/>
      </w:r>
      <w:r w:rsidRPr="00E426A6">
        <w:rPr>
          <w:i/>
        </w:rPr>
        <w:instrText xml:space="preserve"> TC"(</w:instrText>
      </w:r>
      <w:bookmarkStart w:id="2" w:name="DocNumber"/>
      <w:r w:rsidRPr="00E426A6">
        <w:rPr>
          <w:i/>
        </w:rPr>
        <w:instrText>A10-0267/2025</w:instrText>
      </w:r>
      <w:bookmarkEnd w:id="2"/>
      <w:r w:rsidRPr="00E426A6">
        <w:rPr>
          <w:i/>
        </w:rPr>
        <w:instrText xml:space="preserve"> - Relatores: Aurore Lalucq, Javier Zarzalejos)"\l3 \n&gt; \* MERGEFORMAT </w:instrText>
      </w:r>
      <w:r w:rsidRPr="00E426A6">
        <w:rPr>
          <w:i/>
        </w:rPr>
        <w:fldChar w:fldCharType="end"/>
      </w:r>
    </w:p>
    <w:p w14:paraId="48DA8FC5" w14:textId="77777777" w:rsidR="007317E9" w:rsidRPr="00E426A6" w:rsidRDefault="007317E9" w:rsidP="007317E9">
      <w:pPr>
        <w:rPr>
          <w:vanish/>
        </w:rPr>
      </w:pPr>
      <w:bookmarkStart w:id="3" w:name="Commission"/>
      <w:r w:rsidRPr="00E426A6">
        <w:rPr>
          <w:vanish/>
        </w:rPr>
        <w:t>Comissão dos Assuntos Económicos e Monetários e Comissão das Liberdades Cívicas, da Justiça e dos Assuntos Internos</w:t>
      </w:r>
      <w:bookmarkEnd w:id="3"/>
    </w:p>
    <w:p w14:paraId="03CA5CC0" w14:textId="77777777" w:rsidR="007317E9" w:rsidRPr="00E426A6" w:rsidRDefault="007317E9" w:rsidP="007317E9">
      <w:pPr>
        <w:rPr>
          <w:vanish/>
        </w:rPr>
      </w:pPr>
      <w:bookmarkStart w:id="4" w:name="PE"/>
      <w:r w:rsidRPr="00E426A6">
        <w:rPr>
          <w:vanish/>
        </w:rPr>
        <w:t>PE781.368</w:t>
      </w:r>
      <w:bookmarkEnd w:id="4"/>
    </w:p>
    <w:p w14:paraId="24131D72" w14:textId="5DF33E60" w:rsidR="007317E9" w:rsidRPr="00E426A6" w:rsidRDefault="007317E9" w:rsidP="007317E9">
      <w:pPr>
        <w:pStyle w:val="ATHeading3"/>
      </w:pPr>
      <w:bookmarkStart w:id="5" w:name="Sujet"/>
      <w:r w:rsidRPr="00E426A6">
        <w:t xml:space="preserve">Decisão do Parlamento Europeu, de </w:t>
      </w:r>
      <w:r w:rsidR="00121F8D" w:rsidRPr="00E426A6">
        <w:t xml:space="preserve">18 </w:t>
      </w:r>
      <w:r w:rsidRPr="00E426A6">
        <w:t xml:space="preserve">de </w:t>
      </w:r>
      <w:r w:rsidR="00121F8D" w:rsidRPr="00E426A6">
        <w:t xml:space="preserve">dezembro </w:t>
      </w:r>
      <w:r w:rsidRPr="00E426A6">
        <w:t>de 2025, sobre a proposta de nomeação de um membro do Conselho Executivo da Autoridade para o Combate ao Branqueamento de Capitais e ao Financiamento do Terrorismo</w:t>
      </w:r>
      <w:bookmarkEnd w:id="5"/>
      <w:r w:rsidRPr="00E426A6">
        <w:t xml:space="preserve"> </w:t>
      </w:r>
      <w:bookmarkStart w:id="6" w:name="References"/>
      <w:r w:rsidRPr="00E426A6">
        <w:t>(N10-0078/2025 – C10</w:t>
      </w:r>
      <w:r w:rsidR="00121F8D" w:rsidRPr="00E426A6">
        <w:noBreakHyphen/>
      </w:r>
      <w:r w:rsidRPr="00E426A6">
        <w:t>0332/2025 – 2025/0905(NLE))</w:t>
      </w:r>
      <w:bookmarkEnd w:id="6"/>
    </w:p>
    <w:p w14:paraId="23B9C749" w14:textId="77777777" w:rsidR="00B832A5" w:rsidRPr="00E426A6" w:rsidRDefault="00B832A5" w:rsidP="00B832A5">
      <w:pPr>
        <w:pStyle w:val="NormalBold"/>
      </w:pPr>
      <w:r w:rsidRPr="00E426A6">
        <w:t>(Aprovação)</w:t>
      </w:r>
    </w:p>
    <w:p w14:paraId="291EF152" w14:textId="77777777" w:rsidR="00B832A5" w:rsidRPr="00E426A6" w:rsidRDefault="00B832A5" w:rsidP="00B832A5">
      <w:pPr>
        <w:pStyle w:val="EPComma"/>
      </w:pPr>
      <w:r w:rsidRPr="00E426A6">
        <w:rPr>
          <w:i/>
          <w:iCs/>
        </w:rPr>
        <w:t>O Parlamento Europeu</w:t>
      </w:r>
      <w:r w:rsidRPr="00E426A6">
        <w:t>,</w:t>
      </w:r>
    </w:p>
    <w:p w14:paraId="231C9A4D" w14:textId="29B9FEFD" w:rsidR="00B832A5" w:rsidRPr="00E426A6" w:rsidRDefault="00B832A5" w:rsidP="00B832A5">
      <w:pPr>
        <w:pStyle w:val="NormalHanging12a"/>
      </w:pPr>
      <w:r w:rsidRPr="00E426A6">
        <w:t>–</w:t>
      </w:r>
      <w:r w:rsidRPr="00E426A6">
        <w:tab/>
        <w:t>Tendo em conta a proposta do Conselho Executivo da Autoridade para o Combate ao Branqueamento de Capitais e ao Financiamento do Terrorismo, de 9 de dezembro de</w:t>
      </w:r>
      <w:r w:rsidR="00341DA9" w:rsidRPr="00E426A6">
        <w:t> </w:t>
      </w:r>
      <w:r w:rsidRPr="00E426A6">
        <w:t>2025 (Decisão GBSUP 7/2025 (Decisão GBFIU 11/2025)),</w:t>
      </w:r>
    </w:p>
    <w:p w14:paraId="1B5848B4" w14:textId="77777777" w:rsidR="00B832A5" w:rsidRPr="00E426A6" w:rsidRDefault="00B832A5" w:rsidP="00B832A5">
      <w:pPr>
        <w:pStyle w:val="NormalHanging12a"/>
        <w:rPr>
          <w:szCs w:val="24"/>
        </w:rPr>
      </w:pPr>
      <w:r w:rsidRPr="00E426A6">
        <w:t>–</w:t>
      </w:r>
      <w:r w:rsidRPr="00E426A6">
        <w:tab/>
        <w:t>Tendo em conta o artigo 63.º, n.º 4, do Regulamento (UE) 2024/1620 do Parlamento Europeu e do Conselho, de 31 de maio de 2024, que cria a Autoridade para o Combate ao Branqueamento de Capitais e ao Financiamento do Terrorismo e altera os Regulamentos (UE) n.º 1093/2010, (UE) n.º 1094/2010 e (UE) n.º 1095/2010</w:t>
      </w:r>
      <w:r w:rsidRPr="00E426A6">
        <w:rPr>
          <w:rStyle w:val="FootnoteReference"/>
        </w:rPr>
        <w:footnoteReference w:id="1"/>
      </w:r>
      <w:r w:rsidRPr="00E426A6">
        <w:t xml:space="preserve">, </w:t>
      </w:r>
    </w:p>
    <w:p w14:paraId="24E9D4DE" w14:textId="77777777" w:rsidR="00B832A5" w:rsidRPr="00E426A6" w:rsidRDefault="00B832A5" w:rsidP="00B832A5">
      <w:pPr>
        <w:spacing w:after="240"/>
        <w:ind w:left="567" w:hanging="567"/>
      </w:pPr>
      <w:r w:rsidRPr="00E426A6">
        <w:t>–</w:t>
      </w:r>
      <w:r w:rsidRPr="00E426A6">
        <w:tab/>
        <w:t>Tendo em conta a decisão da Conferência dos Presidentes, de 22 de outubro de 2025, sobre a regulamentação relativa à nomeação de representantes do Parlamento Europeu ou de outras pessoas para os conselhos de administração ou outros cargos de órgãos ou organismos,</w:t>
      </w:r>
    </w:p>
    <w:p w14:paraId="39981A52" w14:textId="77777777" w:rsidR="00B832A5" w:rsidRPr="00E426A6" w:rsidRDefault="00B832A5" w:rsidP="00B832A5">
      <w:pPr>
        <w:spacing w:after="240"/>
        <w:ind w:left="567" w:hanging="567"/>
      </w:pPr>
      <w:r w:rsidRPr="00E426A6">
        <w:t>–</w:t>
      </w:r>
      <w:r w:rsidRPr="00E426A6">
        <w:tab/>
        <w:t>Tendo em conta o seu Regimento,</w:t>
      </w:r>
    </w:p>
    <w:p w14:paraId="1B36952E" w14:textId="7ADA833E" w:rsidR="00B832A5" w:rsidRPr="00E426A6" w:rsidRDefault="00B832A5" w:rsidP="00B832A5">
      <w:pPr>
        <w:spacing w:after="240"/>
        <w:ind w:left="567" w:hanging="567"/>
      </w:pPr>
      <w:r w:rsidRPr="00E426A6">
        <w:t>–</w:t>
      </w:r>
      <w:r w:rsidRPr="00E426A6">
        <w:tab/>
        <w:t>Tendo em conta o relatório da Comissão dos Assuntos Económicos e Monetários e da Comissão das Liberdades Cívicas, da Justiça e dos Assuntos Internos (</w:t>
      </w:r>
      <w:r w:rsidR="00121F8D" w:rsidRPr="00E426A6">
        <w:t>A10</w:t>
      </w:r>
      <w:r w:rsidR="00121F8D" w:rsidRPr="00E426A6">
        <w:noBreakHyphen/>
        <w:t>0267/2025</w:t>
      </w:r>
      <w:r w:rsidRPr="00E426A6">
        <w:t>),</w:t>
      </w:r>
    </w:p>
    <w:p w14:paraId="1805D3F0" w14:textId="77777777" w:rsidR="00B832A5" w:rsidRPr="00E426A6" w:rsidRDefault="00B832A5" w:rsidP="00B832A5">
      <w:pPr>
        <w:pStyle w:val="NormalHanging12a"/>
      </w:pPr>
      <w:r w:rsidRPr="00E426A6">
        <w:t>A.</w:t>
      </w:r>
      <w:r w:rsidRPr="00E426A6">
        <w:tab/>
        <w:t xml:space="preserve">Considerando que o artigo 63.º, n.º 4, do Regulamento (UE) 2024/1620 estabelece que os membros do Conselho Executivo da Autoridade para o Combate ao Branqueamento </w:t>
      </w:r>
      <w:r w:rsidRPr="00E426A6">
        <w:lastRenderedPageBreak/>
        <w:t>de Capitais e ao Financiamento do Terrorismo devem ser selecionados com base no mérito, competências, conhecimentos, integridade, estatuto reconhecido e experiência no domínio da luta contra o branqueamento de capitais e o financiamento do terrorismo, bem como noutras qualificações pertinentes;</w:t>
      </w:r>
    </w:p>
    <w:p w14:paraId="32A069F1" w14:textId="433B3449" w:rsidR="00B832A5" w:rsidRPr="00E426A6" w:rsidRDefault="00B832A5" w:rsidP="00B832A5">
      <w:pPr>
        <w:pStyle w:val="NormalHanging12a"/>
      </w:pPr>
      <w:r w:rsidRPr="00E426A6">
        <w:t>B.</w:t>
      </w:r>
      <w:r w:rsidRPr="00E426A6">
        <w:tab/>
        <w:t>Considerando que o Parlamento está empenhado em assegurar o equilíbrio de género em cargos executivos nas instituições, organismos e agências da União</w:t>
      </w:r>
      <w:r w:rsidR="00121F8D" w:rsidRPr="00E426A6">
        <w:t>; considerando que</w:t>
      </w:r>
      <w:r w:rsidRPr="00E426A6">
        <w:t xml:space="preserve"> todas as instituições e organismos, a nível da União e a nível nacional, devem aplicar medidas concretas para assegurar o equilíbrio de género</w:t>
      </w:r>
      <w:r w:rsidR="00121F8D" w:rsidRPr="00E426A6">
        <w:t>; considerando que</w:t>
      </w:r>
      <w:r w:rsidRPr="00E426A6">
        <w:t xml:space="preserve"> o Parlamento espera receber uma lista restrita de que constem, pelo menos, dois candidatos qualificados para futuras nomeações, a fim de salvaguardar o equilíbrio entre homens e mulheres no Conselho Executivo da Autoridade para o Combate ao Branqueamento de Capitais e ao Financiamento do Terrorismo a que se refere o considerando 66 do Regulamento (UE) 2024/1620;</w:t>
      </w:r>
    </w:p>
    <w:p w14:paraId="4F0D0E87" w14:textId="5500AD81" w:rsidR="00B832A5" w:rsidRPr="00E426A6" w:rsidRDefault="00B832A5" w:rsidP="00B832A5">
      <w:pPr>
        <w:pStyle w:val="NormalHanging12a"/>
      </w:pPr>
      <w:r w:rsidRPr="00E426A6">
        <w:t>C.</w:t>
      </w:r>
      <w:r w:rsidRPr="00E426A6">
        <w:tab/>
        <w:t xml:space="preserve">Considerando que, </w:t>
      </w:r>
      <w:r w:rsidR="00006FE8" w:rsidRPr="00E426A6">
        <w:t xml:space="preserve">nos termos do artigo 63.º, n.º 4, do Regulamento (UE) 2024/1620, </w:t>
      </w:r>
      <w:r w:rsidRPr="00E426A6">
        <w:t>em 12 de novembro de 2025, a Comissão adotou, uma lista restrita d</w:t>
      </w:r>
      <w:r w:rsidR="00006FE8" w:rsidRPr="00E426A6">
        <w:t>e</w:t>
      </w:r>
      <w:r w:rsidRPr="00E426A6">
        <w:t xml:space="preserve"> uma candidata ao cargo de membro do Conselho Executivo da Autoridade para o Combate ao Branqueamento de Capitais e ao Financiamento do Terrorismo e facultou essa lista restrita ao Parlamento;</w:t>
      </w:r>
    </w:p>
    <w:p w14:paraId="42F331ED" w14:textId="064D4A8F" w:rsidR="00B832A5" w:rsidRPr="00E426A6" w:rsidRDefault="00B832A5" w:rsidP="00B832A5">
      <w:pPr>
        <w:pStyle w:val="NormalHanging12a"/>
      </w:pPr>
      <w:r w:rsidRPr="00E426A6">
        <w:t>D.</w:t>
      </w:r>
      <w:r w:rsidRPr="00E426A6">
        <w:tab/>
        <w:t xml:space="preserve">Considerando que a Comissão dos Assuntos Económicos e Monetários e a Comissão das Liberdades Cívicas, da Justiça e dos Assuntos Internos procederam </w:t>
      </w:r>
      <w:r w:rsidR="00F11DDF" w:rsidRPr="00E426A6">
        <w:t xml:space="preserve">seguidamente </w:t>
      </w:r>
      <w:r w:rsidRPr="00E426A6">
        <w:t>à avaliação das qualificações da candidata constante da lista restrita para o cargo de membro do Conselho Executivo da Autoridade para o Combate ao Branqueamento de Capitais e ao Financiamento do Terrorismo</w:t>
      </w:r>
      <w:r w:rsidR="007842CF" w:rsidRPr="00E426A6">
        <w:t xml:space="preserve">, </w:t>
      </w:r>
      <w:r w:rsidR="001577C1" w:rsidRPr="00E426A6">
        <w:t>nomeadamente quanto</w:t>
      </w:r>
      <w:r w:rsidR="007842CF" w:rsidRPr="00E426A6">
        <w:t xml:space="preserve"> </w:t>
      </w:r>
      <w:r w:rsidR="001577C1" w:rsidRPr="00E426A6">
        <w:t>à</w:t>
      </w:r>
      <w:r w:rsidR="007842CF" w:rsidRPr="00E426A6">
        <w:t>s condições estabelecidas no artigo 63.º do Regulamento (UE) 2024/1620</w:t>
      </w:r>
      <w:r w:rsidRPr="00E426A6">
        <w:t>;</w:t>
      </w:r>
    </w:p>
    <w:p w14:paraId="06CF259F" w14:textId="3DCBDE0C" w:rsidR="00B832A5" w:rsidRPr="00E426A6" w:rsidRDefault="00B832A5" w:rsidP="00B832A5">
      <w:pPr>
        <w:pStyle w:val="NormalHanging12a"/>
      </w:pPr>
      <w:r w:rsidRPr="00E426A6">
        <w:t>E.</w:t>
      </w:r>
      <w:r w:rsidRPr="00E426A6">
        <w:tab/>
        <w:t xml:space="preserve">Considerando que, em 2 de dezembro de 2025, a Comissão dos Assuntos Económicos e Monetários e a Comissão das Liberdades Cívicas, da Justiça e dos Assuntos Internos </w:t>
      </w:r>
      <w:r w:rsidR="00E41B81" w:rsidRPr="00E426A6">
        <w:t>realizaram</w:t>
      </w:r>
      <w:r w:rsidRPr="00E426A6">
        <w:t xml:space="preserve"> uma audição </w:t>
      </w:r>
      <w:r w:rsidR="002D25F3" w:rsidRPr="00E426A6">
        <w:t xml:space="preserve">com </w:t>
      </w:r>
      <w:proofErr w:type="spellStart"/>
      <w:r w:rsidRPr="00E426A6">
        <w:t>Henrica</w:t>
      </w:r>
      <w:proofErr w:type="spellEnd"/>
      <w:r w:rsidRPr="00E426A6">
        <w:t xml:space="preserve"> Maria </w:t>
      </w:r>
      <w:proofErr w:type="spellStart"/>
      <w:r w:rsidRPr="00E426A6">
        <w:t>Verbeek</w:t>
      </w:r>
      <w:r w:rsidRPr="00E426A6">
        <w:noBreakHyphen/>
        <w:t>Kusters</w:t>
      </w:r>
      <w:proofErr w:type="spellEnd"/>
      <w:r w:rsidRPr="00E426A6">
        <w:t xml:space="preserve">, durante a qual esta proferiu uma declaração introdutória e, em seguida, respondeu às perguntas </w:t>
      </w:r>
      <w:r w:rsidR="00275918" w:rsidRPr="00E426A6">
        <w:t>d</w:t>
      </w:r>
      <w:r w:rsidRPr="00E426A6">
        <w:t>os membros das comissões;</w:t>
      </w:r>
    </w:p>
    <w:p w14:paraId="53E2F40A" w14:textId="77777777" w:rsidR="00B832A5" w:rsidRPr="00E426A6" w:rsidRDefault="00B832A5" w:rsidP="00B832A5">
      <w:pPr>
        <w:pStyle w:val="NormalHanging12a"/>
      </w:pPr>
      <w:r w:rsidRPr="00E426A6">
        <w:t>F.</w:t>
      </w:r>
      <w:r w:rsidRPr="00E426A6">
        <w:tab/>
        <w:t xml:space="preserve">Considerando que, em 9 de dezembro de 2025, o Conselho Geral da Autoridade para o Combate ao Branqueamento de Capitais e ao Financiamento do Terrorismo adotou uma proposta de nomeação de </w:t>
      </w:r>
      <w:proofErr w:type="spellStart"/>
      <w:r w:rsidRPr="00E426A6">
        <w:t>Henrica</w:t>
      </w:r>
      <w:proofErr w:type="spellEnd"/>
      <w:r w:rsidRPr="00E426A6">
        <w:t xml:space="preserve"> Maria </w:t>
      </w:r>
      <w:proofErr w:type="spellStart"/>
      <w:r w:rsidRPr="00E426A6">
        <w:t>Verbeek</w:t>
      </w:r>
      <w:r w:rsidRPr="00E426A6">
        <w:noBreakHyphen/>
        <w:t>Kusters</w:t>
      </w:r>
      <w:proofErr w:type="spellEnd"/>
      <w:r w:rsidRPr="00E426A6">
        <w:t xml:space="preserve"> como membro do Conselho Executivo da Autoridade para o Combate ao Branqueamento de Capitais e ao Financiamento do Terrorismo e transmitiu essa proposta ao Parlamento;</w:t>
      </w:r>
    </w:p>
    <w:p w14:paraId="44B91513" w14:textId="77777777" w:rsidR="00B832A5" w:rsidRPr="00E426A6" w:rsidRDefault="00B832A5" w:rsidP="00B832A5">
      <w:pPr>
        <w:pStyle w:val="NormalHanging12a"/>
      </w:pPr>
      <w:r w:rsidRPr="00E426A6">
        <w:t>1.</w:t>
      </w:r>
      <w:r w:rsidRPr="00E426A6">
        <w:tab/>
        <w:t xml:space="preserve">Aprova a proposta de nomeação de </w:t>
      </w:r>
      <w:proofErr w:type="spellStart"/>
      <w:r w:rsidRPr="00E426A6">
        <w:t>Henrica</w:t>
      </w:r>
      <w:proofErr w:type="spellEnd"/>
      <w:r w:rsidRPr="00E426A6">
        <w:t xml:space="preserve"> Maria </w:t>
      </w:r>
      <w:proofErr w:type="spellStart"/>
      <w:r w:rsidRPr="00E426A6">
        <w:t>Verbeek</w:t>
      </w:r>
      <w:r w:rsidRPr="00E426A6">
        <w:noBreakHyphen/>
        <w:t>Kusters</w:t>
      </w:r>
      <w:proofErr w:type="spellEnd"/>
      <w:r w:rsidRPr="00E426A6">
        <w:t xml:space="preserve"> como membro do Conselho Executivo da Autoridade para o Combate ao Branqueamento de Capitais e ao Financiamento do Terrorismo;</w:t>
      </w:r>
    </w:p>
    <w:p w14:paraId="0B6A53E5" w14:textId="419117BF" w:rsidR="008A1CF8" w:rsidRPr="00E426A6" w:rsidRDefault="00B832A5" w:rsidP="008A1CF8">
      <w:pPr>
        <w:pStyle w:val="NormalHanging12a"/>
      </w:pPr>
      <w:r w:rsidRPr="00E426A6">
        <w:t>2.</w:t>
      </w:r>
      <w:r w:rsidRPr="00E426A6">
        <w:tab/>
        <w:t>Encarrega a sua Presidente de transmitir a presente decisão ao Conselho, à Comissão, à Autoridade para o Combate ao Branqueamento de Capitais e ao Financiamento do Terrorismo e aos governos dos Estados</w:t>
      </w:r>
      <w:r w:rsidRPr="00E426A6">
        <w:noBreakHyphen/>
        <w:t>Membros.</w:t>
      </w:r>
    </w:p>
    <w:p w14:paraId="65FEB05F" w14:textId="424922DF" w:rsidR="00E365E1" w:rsidRPr="00E426A6" w:rsidRDefault="00E365E1" w:rsidP="007317E9"/>
    <w:sectPr w:rsidR="00E365E1" w:rsidRPr="00E426A6" w:rsidSect="008A1C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2541" w14:textId="77777777" w:rsidR="007317E9" w:rsidRPr="008A1CF8" w:rsidRDefault="007317E9">
      <w:r w:rsidRPr="008A1CF8">
        <w:separator/>
      </w:r>
    </w:p>
  </w:endnote>
  <w:endnote w:type="continuationSeparator" w:id="0">
    <w:p w14:paraId="408E9F7E" w14:textId="77777777" w:rsidR="007317E9" w:rsidRPr="008A1CF8" w:rsidRDefault="007317E9">
      <w:r w:rsidRPr="008A1C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3DBFC" w14:textId="77777777" w:rsidR="00064002" w:rsidRPr="008A1C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EE6E" w14:textId="77777777" w:rsidR="00064002" w:rsidRPr="008A1C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457B" w14:textId="77777777" w:rsidR="00064002" w:rsidRPr="008A1C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56A8A" w14:textId="77777777" w:rsidR="007317E9" w:rsidRPr="008A1CF8" w:rsidRDefault="007317E9">
      <w:r w:rsidRPr="008A1CF8">
        <w:separator/>
      </w:r>
    </w:p>
  </w:footnote>
  <w:footnote w:type="continuationSeparator" w:id="0">
    <w:p w14:paraId="70993AB7" w14:textId="77777777" w:rsidR="007317E9" w:rsidRPr="008A1CF8" w:rsidRDefault="007317E9">
      <w:r w:rsidRPr="008A1CF8">
        <w:continuationSeparator/>
      </w:r>
    </w:p>
  </w:footnote>
  <w:footnote w:id="1">
    <w:p w14:paraId="597266D5" w14:textId="386D864A" w:rsidR="00B832A5" w:rsidRPr="002604B5" w:rsidRDefault="00B832A5" w:rsidP="008A1CF8">
      <w:pPr>
        <w:pStyle w:val="FootnoteText"/>
        <w:ind w:left="567" w:hanging="567"/>
        <w:rPr>
          <w:sz w:val="24"/>
          <w:lang w:val="fi-FI"/>
        </w:rPr>
      </w:pPr>
      <w:r w:rsidRPr="008A1CF8">
        <w:rPr>
          <w:rStyle w:val="FootnoteReference"/>
          <w:sz w:val="24"/>
          <w:lang w:val="pt-PT"/>
        </w:rPr>
        <w:footnoteRef/>
      </w:r>
      <w:r w:rsidR="008A1CF8" w:rsidRPr="002604B5">
        <w:rPr>
          <w:sz w:val="24"/>
          <w:lang w:val="fi-FI"/>
        </w:rPr>
        <w:t xml:space="preserve"> </w:t>
      </w:r>
      <w:r w:rsidR="008A1CF8" w:rsidRPr="002604B5">
        <w:rPr>
          <w:sz w:val="24"/>
          <w:lang w:val="fi-FI"/>
        </w:rPr>
        <w:tab/>
      </w:r>
      <w:r w:rsidRPr="002604B5">
        <w:rPr>
          <w:sz w:val="24"/>
          <w:lang w:val="fi-FI"/>
        </w:rPr>
        <w:t xml:space="preserve">JO L, 2024/1620, 19.6.2024, ELI: </w:t>
      </w:r>
      <w:hyperlink r:id="rId1" w:history="1">
        <w:r w:rsidRPr="002604B5">
          <w:rPr>
            <w:rStyle w:val="Hyperlink"/>
            <w:sz w:val="24"/>
            <w:lang w:val="fi-FI"/>
          </w:rPr>
          <w:t>http://data.europa.eu/eli/reg/2024/1620/oj</w:t>
        </w:r>
      </w:hyperlink>
      <w:r w:rsidRPr="002604B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8224" w14:textId="77777777" w:rsidR="00064002" w:rsidRPr="008A1C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0851D" w14:textId="77777777" w:rsidR="00064002" w:rsidRPr="008A1C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EEF7" w14:textId="77777777" w:rsidR="00064002" w:rsidRPr="008A1C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7918594">
    <w:abstractNumId w:val="9"/>
  </w:num>
  <w:num w:numId="2" w16cid:durableId="1224828747">
    <w:abstractNumId w:val="9"/>
  </w:num>
  <w:num w:numId="3" w16cid:durableId="1161047264">
    <w:abstractNumId w:val="7"/>
  </w:num>
  <w:num w:numId="4" w16cid:durableId="175778783">
    <w:abstractNumId w:val="7"/>
  </w:num>
  <w:num w:numId="5" w16cid:durableId="1157068615">
    <w:abstractNumId w:val="6"/>
  </w:num>
  <w:num w:numId="6" w16cid:durableId="728653089">
    <w:abstractNumId w:val="6"/>
  </w:num>
  <w:num w:numId="7" w16cid:durableId="745032706">
    <w:abstractNumId w:val="5"/>
  </w:num>
  <w:num w:numId="8" w16cid:durableId="393624632">
    <w:abstractNumId w:val="5"/>
  </w:num>
  <w:num w:numId="9" w16cid:durableId="1976063174">
    <w:abstractNumId w:val="4"/>
  </w:num>
  <w:num w:numId="10" w16cid:durableId="1315991243">
    <w:abstractNumId w:val="4"/>
  </w:num>
  <w:num w:numId="11" w16cid:durableId="1224950438">
    <w:abstractNumId w:val="8"/>
  </w:num>
  <w:num w:numId="12" w16cid:durableId="189612793">
    <w:abstractNumId w:val="8"/>
  </w:num>
  <w:num w:numId="13" w16cid:durableId="1860849413">
    <w:abstractNumId w:val="3"/>
  </w:num>
  <w:num w:numId="14" w16cid:durableId="1863083177">
    <w:abstractNumId w:val="3"/>
  </w:num>
  <w:num w:numId="15" w16cid:durableId="1559852485">
    <w:abstractNumId w:val="2"/>
  </w:num>
  <w:num w:numId="16" w16cid:durableId="1129666186">
    <w:abstractNumId w:val="2"/>
  </w:num>
  <w:num w:numId="17" w16cid:durableId="1199775323">
    <w:abstractNumId w:val="1"/>
  </w:num>
  <w:num w:numId="18" w16cid:durableId="935484674">
    <w:abstractNumId w:val="1"/>
  </w:num>
  <w:num w:numId="19" w16cid:durableId="1427070009">
    <w:abstractNumId w:val="0"/>
  </w:num>
  <w:num w:numId="20" w16cid:durableId="2045253029">
    <w:abstractNumId w:val="0"/>
  </w:num>
  <w:num w:numId="21" w16cid:durableId="1147017402">
    <w:abstractNumId w:val="9"/>
  </w:num>
  <w:num w:numId="22" w16cid:durableId="765031398">
    <w:abstractNumId w:val="7"/>
  </w:num>
  <w:num w:numId="23" w16cid:durableId="286863977">
    <w:abstractNumId w:val="6"/>
  </w:num>
  <w:num w:numId="24" w16cid:durableId="643896936">
    <w:abstractNumId w:val="5"/>
  </w:num>
  <w:num w:numId="25" w16cid:durableId="660039209">
    <w:abstractNumId w:val="4"/>
  </w:num>
  <w:num w:numId="26" w16cid:durableId="241183292">
    <w:abstractNumId w:val="8"/>
  </w:num>
  <w:num w:numId="27" w16cid:durableId="1423721822">
    <w:abstractNumId w:val="3"/>
  </w:num>
  <w:num w:numId="28" w16cid:durableId="1466704526">
    <w:abstractNumId w:val="2"/>
  </w:num>
  <w:num w:numId="29" w16cid:durableId="508832489">
    <w:abstractNumId w:val="1"/>
  </w:num>
  <w:num w:numId="30" w16cid:durableId="1298028248">
    <w:abstractNumId w:val="0"/>
  </w:num>
  <w:num w:numId="31" w16cid:durableId="828327984">
    <w:abstractNumId w:val="9"/>
  </w:num>
  <w:num w:numId="32" w16cid:durableId="1202212286">
    <w:abstractNumId w:val="7"/>
  </w:num>
  <w:num w:numId="33" w16cid:durableId="1873683811">
    <w:abstractNumId w:val="6"/>
  </w:num>
  <w:num w:numId="34" w16cid:durableId="1332833346">
    <w:abstractNumId w:val="5"/>
  </w:num>
  <w:num w:numId="35" w16cid:durableId="2108498982">
    <w:abstractNumId w:val="4"/>
  </w:num>
  <w:num w:numId="36" w16cid:durableId="624119284">
    <w:abstractNumId w:val="8"/>
  </w:num>
  <w:num w:numId="37" w16cid:durableId="319425487">
    <w:abstractNumId w:val="3"/>
  </w:num>
  <w:num w:numId="38" w16cid:durableId="1494377229">
    <w:abstractNumId w:val="2"/>
  </w:num>
  <w:num w:numId="39" w16cid:durableId="566766694">
    <w:abstractNumId w:val="1"/>
  </w:num>
  <w:num w:numId="40" w16cid:durableId="1908493561">
    <w:abstractNumId w:val="0"/>
  </w:num>
  <w:num w:numId="41" w16cid:durableId="341398378">
    <w:abstractNumId w:val="10"/>
  </w:num>
  <w:num w:numId="42" w16cid:durableId="21129361">
    <w:abstractNumId w:val="10"/>
  </w:num>
  <w:num w:numId="43" w16cid:durableId="370888647">
    <w:abstractNumId w:val="10"/>
  </w:num>
  <w:num w:numId="44" w16cid:durableId="945384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PT"/>
    <w:docVar w:name="dvnumam" w:val="0"/>
    <w:docVar w:name="dvpe" w:val="781.368"/>
    <w:docVar w:name="dvrapporteur" w:val="Relatores: "/>
    <w:docVar w:name="dvtitre" w:val="Decisão do Parlamento Europeu, de ... de ... de 2025,_x000d__x000a_ sobre a proposta de nomeação de um membro do Conselho Executivo da Autoridade para o Combate ao Branqueamento de Capitais e ao Financiamento do Terrorismo(N10-0078/2025 – C10-0332/2025 – 2025/0905(NLE))"/>
  </w:docVars>
  <w:rsids>
    <w:rsidRoot w:val="007317E9"/>
    <w:rsid w:val="00002272"/>
    <w:rsid w:val="00006FE8"/>
    <w:rsid w:val="00064002"/>
    <w:rsid w:val="000677B9"/>
    <w:rsid w:val="000831BA"/>
    <w:rsid w:val="000A42CC"/>
    <w:rsid w:val="000E7DD9"/>
    <w:rsid w:val="0010095E"/>
    <w:rsid w:val="00121F8D"/>
    <w:rsid w:val="00125B37"/>
    <w:rsid w:val="001577C1"/>
    <w:rsid w:val="00187494"/>
    <w:rsid w:val="001F32AE"/>
    <w:rsid w:val="002604B5"/>
    <w:rsid w:val="00275918"/>
    <w:rsid w:val="002767FF"/>
    <w:rsid w:val="002B18FE"/>
    <w:rsid w:val="002B5493"/>
    <w:rsid w:val="002D25F3"/>
    <w:rsid w:val="002E583E"/>
    <w:rsid w:val="00341D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251"/>
    <w:rsid w:val="007317E9"/>
    <w:rsid w:val="00731ADD"/>
    <w:rsid w:val="00734777"/>
    <w:rsid w:val="00747932"/>
    <w:rsid w:val="00751A4A"/>
    <w:rsid w:val="00756632"/>
    <w:rsid w:val="00762C74"/>
    <w:rsid w:val="007842C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CF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2A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B81"/>
    <w:rsid w:val="00E426A6"/>
    <w:rsid w:val="00E820A4"/>
    <w:rsid w:val="00EB006A"/>
    <w:rsid w:val="00EB4772"/>
    <w:rsid w:val="00ED169E"/>
    <w:rsid w:val="00ED4235"/>
    <w:rsid w:val="00F04346"/>
    <w:rsid w:val="00F075DC"/>
    <w:rsid w:val="00F11DDF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7ED56"/>
  <w15:chartTrackingRefBased/>
  <w15:docId w15:val="{896AF329-D546-46A7-8F9B-612ECE00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32A5"/>
    <w:pPr>
      <w:spacing w:before="480" w:after="240"/>
    </w:pPr>
  </w:style>
  <w:style w:type="paragraph" w:customStyle="1" w:styleId="NormalBold">
    <w:name w:val="NormalBold"/>
    <w:basedOn w:val="Normal"/>
    <w:rsid w:val="00B832A5"/>
    <w:rPr>
      <w:b/>
    </w:rPr>
  </w:style>
  <w:style w:type="paragraph" w:customStyle="1" w:styleId="NormalHanging12a">
    <w:name w:val="NormalHanging12a"/>
    <w:basedOn w:val="Normal"/>
    <w:rsid w:val="00B832A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21F8D"/>
    <w:rPr>
      <w:sz w:val="24"/>
      <w:lang w:val="pt-PT"/>
    </w:rPr>
  </w:style>
  <w:style w:type="character" w:styleId="CommentReference">
    <w:name w:val="annotation reference"/>
    <w:basedOn w:val="DefaultParagraphFont"/>
    <w:rsid w:val="00121F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1F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1F8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21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1F8D"/>
    <w:rPr>
      <w:b/>
      <w:bCs/>
      <w:lang w:val="pt-PT"/>
    </w:rPr>
  </w:style>
  <w:style w:type="character" w:styleId="Hyperlink">
    <w:name w:val="Hyperlink"/>
    <w:basedOn w:val="DefaultParagraphFont"/>
    <w:rsid w:val="00121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F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41D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2025-12-18T12:25:00Z</dcterms:created>
  <dcterms:modified xsi:type="dcterms:W3CDTF">2025-12-18T12:25:00Z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