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3A25" w14:paraId="5A548B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0C860E" w14:textId="5CB52861" w:rsidR="00751A4A" w:rsidRPr="002B3A25" w:rsidRDefault="00FC62E8" w:rsidP="0010095E">
            <w:pPr>
              <w:pStyle w:val="EPName"/>
            </w:pPr>
            <w:r w:rsidRPr="002B3A25">
              <w:t>Parlamento Europeo</w:t>
            </w:r>
          </w:p>
          <w:p w14:paraId="6A7F8A38" w14:textId="77777777" w:rsidR="00751A4A" w:rsidRPr="002B3A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3A25">
              <w:t>2024</w:t>
            </w:r>
            <w:r w:rsidR="00817416" w:rsidRPr="002B3A25">
              <w:t>-202</w:t>
            </w:r>
            <w:r w:rsidRPr="002B3A25">
              <w:t>9</w:t>
            </w:r>
          </w:p>
        </w:tc>
        <w:tc>
          <w:tcPr>
            <w:tcW w:w="2268" w:type="dxa"/>
            <w:shd w:val="clear" w:color="auto" w:fill="auto"/>
          </w:tcPr>
          <w:p w14:paraId="39E67CF5" w14:textId="77777777" w:rsidR="00751A4A" w:rsidRPr="002B3A25" w:rsidRDefault="00187494" w:rsidP="0010095E">
            <w:pPr>
              <w:pStyle w:val="EPLogo"/>
            </w:pPr>
            <w:r w:rsidRPr="002B3A25">
              <w:rPr>
                <w:noProof/>
                <w:lang w:eastAsia="ja-JP"/>
              </w:rPr>
              <w:drawing>
                <wp:inline distT="0" distB="0" distL="0" distR="0" wp14:anchorId="5649A95D" wp14:editId="62F329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689ACA" w14:textId="77777777" w:rsidR="00D058B8" w:rsidRPr="002B3A25" w:rsidRDefault="00D058B8" w:rsidP="004C5D52">
      <w:pPr>
        <w:pStyle w:val="LineTop"/>
      </w:pPr>
    </w:p>
    <w:p w14:paraId="60072261" w14:textId="6A27DA02" w:rsidR="00680577" w:rsidRPr="002B3A25" w:rsidRDefault="00FC62E8" w:rsidP="00680577">
      <w:pPr>
        <w:pStyle w:val="EPBodyTA1"/>
      </w:pPr>
      <w:r w:rsidRPr="002B3A25">
        <w:t>TEXTOS APROBADOS</w:t>
      </w:r>
    </w:p>
    <w:p w14:paraId="0CBECBC4" w14:textId="77777777" w:rsidR="00D058B8" w:rsidRPr="002B3A25" w:rsidRDefault="00D058B8" w:rsidP="00D058B8">
      <w:pPr>
        <w:pStyle w:val="LineBottom"/>
      </w:pPr>
    </w:p>
    <w:p w14:paraId="6C2216E5" w14:textId="3E0F1D77" w:rsidR="00FC62E8" w:rsidRPr="002B3A25" w:rsidRDefault="00FC62E8" w:rsidP="00FC62E8">
      <w:pPr>
        <w:pStyle w:val="ATHeading1"/>
      </w:pPr>
      <w:bookmarkStart w:id="0" w:name="TANumber"/>
      <w:r w:rsidRPr="002B3A25">
        <w:t>P10_</w:t>
      </w:r>
      <w:proofErr w:type="gramStart"/>
      <w:r w:rsidRPr="002B3A25">
        <w:t>TA(</w:t>
      </w:r>
      <w:proofErr w:type="gramEnd"/>
      <w:r w:rsidRPr="002B3A25">
        <w:t>2025)0</w:t>
      </w:r>
      <w:r w:rsidR="00CC7238" w:rsidRPr="002B3A25">
        <w:t>345</w:t>
      </w:r>
      <w:bookmarkEnd w:id="0"/>
    </w:p>
    <w:p w14:paraId="18FC2EEE" w14:textId="77777777" w:rsidR="00FC62E8" w:rsidRPr="002B3A25" w:rsidRDefault="00FC62E8" w:rsidP="00FC62E8">
      <w:pPr>
        <w:pStyle w:val="ATHeading2"/>
      </w:pPr>
      <w:bookmarkStart w:id="1" w:name="title"/>
      <w:r w:rsidRPr="002B3A25">
        <w:t>Ataques híbridos continuos de Bielorrusia contra Lituania</w:t>
      </w:r>
      <w:bookmarkEnd w:id="1"/>
    </w:p>
    <w:p w14:paraId="266C35B4" w14:textId="77777777" w:rsidR="00FC62E8" w:rsidRPr="002B3A25" w:rsidRDefault="00FC62E8" w:rsidP="00FC62E8">
      <w:pPr>
        <w:rPr>
          <w:i/>
          <w:vanish/>
        </w:rPr>
      </w:pPr>
      <w:r w:rsidRPr="002B3A25">
        <w:rPr>
          <w:i/>
        </w:rPr>
        <w:fldChar w:fldCharType="begin"/>
      </w:r>
      <w:r w:rsidRPr="002B3A25">
        <w:rPr>
          <w:i/>
        </w:rPr>
        <w:instrText xml:space="preserve"> TC"(</w:instrText>
      </w:r>
      <w:bookmarkStart w:id="2" w:name="DocNumber"/>
      <w:r w:rsidRPr="002B3A25">
        <w:rPr>
          <w:i/>
        </w:rPr>
        <w:instrText>B10-0571, 0578, 0582, 0585 y 0587/2025</w:instrText>
      </w:r>
      <w:bookmarkEnd w:id="2"/>
      <w:r w:rsidRPr="002B3A25">
        <w:rPr>
          <w:i/>
        </w:rPr>
        <w:instrText xml:space="preserve">)"\l3 \n&gt; \* MERGEFORMAT </w:instrText>
      </w:r>
      <w:r w:rsidRPr="002B3A25">
        <w:rPr>
          <w:i/>
        </w:rPr>
        <w:fldChar w:fldCharType="end"/>
      </w:r>
    </w:p>
    <w:p w14:paraId="0905E4A9" w14:textId="77777777" w:rsidR="00FC62E8" w:rsidRPr="002B3A25" w:rsidRDefault="00FC62E8" w:rsidP="00FC62E8">
      <w:pPr>
        <w:rPr>
          <w:vanish/>
        </w:rPr>
      </w:pPr>
      <w:bookmarkStart w:id="3" w:name="PE"/>
      <w:r w:rsidRPr="002B3A25">
        <w:rPr>
          <w:vanish/>
        </w:rPr>
        <w:t>PE779.052</w:t>
      </w:r>
      <w:bookmarkEnd w:id="3"/>
    </w:p>
    <w:p w14:paraId="64786B39" w14:textId="210F1FFB" w:rsidR="00FC62E8" w:rsidRPr="002B3A25" w:rsidRDefault="00FC62E8" w:rsidP="00FC62E8">
      <w:pPr>
        <w:pStyle w:val="ATHeading3"/>
      </w:pPr>
      <w:bookmarkStart w:id="4" w:name="Sujet"/>
      <w:r w:rsidRPr="002B3A25">
        <w:t xml:space="preserve">Resolución del Parlamento Europeo, de 18 de diciembre de 2025, sobre los ataques híbridos continuos de Bielorrusia contra Lituania </w:t>
      </w:r>
      <w:bookmarkStart w:id="5" w:name="References"/>
      <w:bookmarkEnd w:id="4"/>
      <w:r w:rsidRPr="002B3A25">
        <w:t>(2025/3025(RSP))</w:t>
      </w:r>
      <w:bookmarkEnd w:id="5"/>
    </w:p>
    <w:p w14:paraId="01BD5B32" w14:textId="77777777" w:rsidR="002745F3" w:rsidRPr="002B3A25" w:rsidRDefault="002745F3" w:rsidP="002745F3">
      <w:pPr>
        <w:pStyle w:val="EPComma"/>
      </w:pPr>
      <w:bookmarkStart w:id="6" w:name="TextBodyBegin"/>
      <w:bookmarkStart w:id="7" w:name="_Hlk216878219"/>
      <w:bookmarkEnd w:id="6"/>
      <w:r w:rsidRPr="002B3A25">
        <w:rPr>
          <w:i/>
        </w:rPr>
        <w:t>El Parlamento Europeo</w:t>
      </w:r>
      <w:r w:rsidRPr="002B3A25">
        <w:t>,</w:t>
      </w:r>
    </w:p>
    <w:bookmarkEnd w:id="7"/>
    <w:p w14:paraId="5860401D" w14:textId="77777777" w:rsidR="002745F3" w:rsidRPr="002B3A25" w:rsidRDefault="002745F3" w:rsidP="002745F3">
      <w:pPr>
        <w:pStyle w:val="NormalHanging12a"/>
      </w:pPr>
      <w:r w:rsidRPr="002B3A25">
        <w:t>–</w:t>
      </w:r>
      <w:r w:rsidRPr="002B3A25">
        <w:tab/>
        <w:t>Vistas sus anteriores Resoluciones sobre Bielorrusia, Rusia y Ucrania,</w:t>
      </w:r>
    </w:p>
    <w:p w14:paraId="7F888627" w14:textId="77777777" w:rsidR="002745F3" w:rsidRPr="002B3A25" w:rsidRDefault="002745F3" w:rsidP="002745F3">
      <w:pPr>
        <w:pStyle w:val="NormalHanging12a"/>
      </w:pPr>
      <w:r w:rsidRPr="002B3A25">
        <w:t>–</w:t>
      </w:r>
      <w:r w:rsidRPr="002B3A25">
        <w:tab/>
        <w:t>Vista la declaración de 29 de octubre de 2025 de la alta representante de la Unión para Asuntos Exteriores y Política de Seguridad, en nombre de la Unión, sobre las actividades híbridas de Bielorrusia en la frontera exterior de la Unión,</w:t>
      </w:r>
    </w:p>
    <w:p w14:paraId="338F9369" w14:textId="77777777" w:rsidR="002745F3" w:rsidRPr="002B3A25" w:rsidRDefault="002745F3" w:rsidP="002745F3">
      <w:pPr>
        <w:pStyle w:val="NormalHanging12a"/>
      </w:pPr>
      <w:r w:rsidRPr="002B3A25">
        <w:t>–</w:t>
      </w:r>
      <w:r w:rsidRPr="002B3A25">
        <w:tab/>
        <w:t>Vistos la Carta de las Naciones Unidas, el Acta Final de Helsinki y los principios fundamentales del Derecho internacional,</w:t>
      </w:r>
    </w:p>
    <w:p w14:paraId="2616E5C2" w14:textId="77777777" w:rsidR="002745F3" w:rsidRPr="002B3A25" w:rsidRDefault="002745F3" w:rsidP="002745F3">
      <w:pPr>
        <w:pStyle w:val="NormalHanging12a"/>
      </w:pPr>
      <w:r w:rsidRPr="002B3A25">
        <w:t>–</w:t>
      </w:r>
      <w:r w:rsidRPr="002B3A25">
        <w:tab/>
        <w:t>Visto el artículo 136, apartados 2 y 4, de su Reglamento interno,</w:t>
      </w:r>
    </w:p>
    <w:p w14:paraId="5779094F" w14:textId="77777777" w:rsidR="002745F3" w:rsidRPr="002B3A25" w:rsidRDefault="002745F3" w:rsidP="002745F3">
      <w:pPr>
        <w:pStyle w:val="NormalHanging12a"/>
      </w:pPr>
      <w:r w:rsidRPr="002B3A25">
        <w:t>A.</w:t>
      </w:r>
      <w:r w:rsidRPr="002B3A25">
        <w:tab/>
        <w:t>Considerando que Bielorrusia ha intensificado sus operaciones híbridas contra Lituania —desplegando incursiones con vehículos aéreos no tripulados y globos, ciberataques y campañas de desinformación—, y continúa instrumentalizando la migración;</w:t>
      </w:r>
    </w:p>
    <w:p w14:paraId="596700A0" w14:textId="77777777" w:rsidR="002745F3" w:rsidRPr="002B3A25" w:rsidRDefault="002745F3" w:rsidP="002745F3">
      <w:pPr>
        <w:pStyle w:val="NormalHanging12a"/>
      </w:pPr>
      <w:r w:rsidRPr="002B3A25">
        <w:t>B.</w:t>
      </w:r>
      <w:r w:rsidRPr="002B3A25">
        <w:tab/>
        <w:t>Considerando que estas acciones deben entenderse en el contexto de la guerra de agresión de Rusia contra Ucrania y de su estrategia más amplia para desestabilizar a la Unión y a la OTAN; que Bielorrusia es una plataforma para las operaciones híbridas de Rusia contra Europa; que las evaluaciones de inteligencia y seguridad en toda la Unión indican que las tácticas híbridas bielorrusas se ajustan estrechamente a la estrategia de hostilidad más amplia de Rusia contra la Unión y sus Estados miembros, y contribuyen a ella;</w:t>
      </w:r>
    </w:p>
    <w:p w14:paraId="5F8FEDAA" w14:textId="77777777" w:rsidR="002745F3" w:rsidRPr="002B3A25" w:rsidRDefault="002745F3" w:rsidP="002745F3">
      <w:pPr>
        <w:pStyle w:val="NormalHanging12a"/>
      </w:pPr>
      <w:r w:rsidRPr="002B3A25">
        <w:t>C.</w:t>
      </w:r>
      <w:r w:rsidRPr="002B3A25">
        <w:tab/>
        <w:t>Considerando que, desde 2024, Lituania ha registrado cientos de violaciones del espacio aéreo por objetos lanzados desde Bielorrusia, incluidos globos meteorológicos, y que en ningún caso se había notificado a las autoridades de aviación, lo que constituye una violación de las normas internacionales de seguridad y de la soberanía lituana;</w:t>
      </w:r>
    </w:p>
    <w:p w14:paraId="2F9D700B" w14:textId="77777777" w:rsidR="002745F3" w:rsidRPr="002B3A25" w:rsidRDefault="002745F3" w:rsidP="002745F3">
      <w:pPr>
        <w:pStyle w:val="NormalHanging12a"/>
      </w:pPr>
      <w:r w:rsidRPr="002B3A25">
        <w:t>D.</w:t>
      </w:r>
      <w:r w:rsidRPr="002B3A25">
        <w:tab/>
        <w:t xml:space="preserve">Considerando que estas incursiones, también en las proximidades de los aeropuertos de Vilna y Kaunas, ponen en peligro vidas humanas, socavan la seguridad y perturban la aviación civil, y ya han provocado diecinueve cierres de aeropuertos, han afectado a </w:t>
      </w:r>
      <w:r w:rsidRPr="002B3A25">
        <w:lastRenderedPageBreak/>
        <w:t>cientos de vuelos y a decenas de miles de pasajeros, y han causado importantes pérdidas económicas;</w:t>
      </w:r>
    </w:p>
    <w:p w14:paraId="45E0354E" w14:textId="77777777" w:rsidR="002745F3" w:rsidRPr="002B3A25" w:rsidRDefault="002745F3" w:rsidP="002745F3">
      <w:pPr>
        <w:pStyle w:val="NormalHanging12a"/>
      </w:pPr>
      <w:r w:rsidRPr="002B3A25">
        <w:t>E.</w:t>
      </w:r>
      <w:r w:rsidRPr="002B3A25">
        <w:tab/>
        <w:t>Considerando que las autoridades lituanas han informado de una importante escalada de las actividades híbridas procedentes de Bielorrusia, habiendo detectado 3 globos en 2023, 184 en 2024 y aproximadamente 700 intrusiones de globos y 200 de drones en 2025;</w:t>
      </w:r>
    </w:p>
    <w:p w14:paraId="4569CCF9" w14:textId="77777777" w:rsidR="002745F3" w:rsidRPr="002B3A25" w:rsidRDefault="002745F3" w:rsidP="002745F3">
      <w:pPr>
        <w:pStyle w:val="NormalHanging12a"/>
      </w:pPr>
      <w:r w:rsidRPr="002B3A25">
        <w:t>F.</w:t>
      </w:r>
      <w:r w:rsidRPr="002B3A25">
        <w:tab/>
        <w:t>Considerando que los servicios de seguridad lituanos han recuperado restos de vehículos aéreos no tripulados y globos lanzados por Bielorrusia, lo que indica un despliegue controlado, sistemas electrónicos a bordo y, en un caso, la presencia de materiales explosivos;</w:t>
      </w:r>
    </w:p>
    <w:p w14:paraId="06E94BEB" w14:textId="77777777" w:rsidR="002745F3" w:rsidRPr="002B3A25" w:rsidRDefault="002745F3" w:rsidP="002745F3">
      <w:pPr>
        <w:pStyle w:val="NormalHanging12a"/>
      </w:pPr>
      <w:r w:rsidRPr="002B3A25">
        <w:t>G.</w:t>
      </w:r>
      <w:r w:rsidRPr="002B3A25">
        <w:tab/>
        <w:t xml:space="preserve">Considerando que, desde la decisión de Lituania de cerrar temporalmente su frontera con Bielorrusia, las autoridades bielorrusas </w:t>
      </w:r>
      <w:r w:rsidRPr="002B3A25">
        <w:rPr>
          <w:i/>
        </w:rPr>
        <w:t>de facto</w:t>
      </w:r>
      <w:r w:rsidRPr="002B3A25">
        <w:t xml:space="preserve"> han ejercido una coerción económica deteniendo vehículos europeos de transporte de mercancías, amenazando con su confiscación y obstruyendo el comercio transfronterizo legítimo;</w:t>
      </w:r>
    </w:p>
    <w:p w14:paraId="3F123995" w14:textId="77777777" w:rsidR="002745F3" w:rsidRPr="002B3A25" w:rsidRDefault="002745F3" w:rsidP="002745F3">
      <w:pPr>
        <w:pStyle w:val="NormalHanging12a"/>
      </w:pPr>
      <w:r w:rsidRPr="002B3A25">
        <w:t>H.</w:t>
      </w:r>
      <w:r w:rsidRPr="002B3A25">
        <w:tab/>
        <w:t>Considerando que, desde 2021, Bielorrusia ha instrumentalizado de manera sistemática la migración, dirigiendo a los migrantes irregulares hacia la frontera lituana como una estrategia de desestabilización deliberada; que, en conjunto, las incursiones de vehículos aéreos no tripulados y de globos, las campañas de desinformación y la presión fronteriza constituyen un patrón de agresión híbrida coordinada contra Lituania y la Unión;</w:t>
      </w:r>
    </w:p>
    <w:p w14:paraId="3937E059" w14:textId="77777777" w:rsidR="002745F3" w:rsidRPr="002B3A25" w:rsidRDefault="002745F3" w:rsidP="002745F3">
      <w:pPr>
        <w:pStyle w:val="NormalHanging12a"/>
      </w:pPr>
      <w:r w:rsidRPr="002B3A25">
        <w:t>I.</w:t>
      </w:r>
      <w:r w:rsidRPr="002B3A25">
        <w:tab/>
        <w:t>Considerando que, el 9 de diciembre de 2025, tras un aumento de los globos lanzados desde Bielorrusia, Lituania declaró el estado de emergencia nacional y autorizó el derribo de objetos voladores no tripulados;</w:t>
      </w:r>
    </w:p>
    <w:p w14:paraId="2FA67A4B" w14:textId="77777777" w:rsidR="002745F3" w:rsidRPr="002B3A25" w:rsidRDefault="002745F3" w:rsidP="002745F3">
      <w:pPr>
        <w:pStyle w:val="NormalHanging12a"/>
      </w:pPr>
      <w:r w:rsidRPr="002B3A25">
        <w:t>J.</w:t>
      </w:r>
      <w:r w:rsidRPr="002B3A25">
        <w:tab/>
        <w:t>Considerando que Bielorrusia ha intentado eludir la responsabilidad acusando falsamente a Lituania de espionaje y de inventar pruebas, emulando así las tácticas de guerra de la información rusas destinadas a erosionar la confianza pública y evitar la rendición de cuentas; que contrarrestar estas acciones requiere una coordinación tanto a escala de la Unión como de la OTAN;</w:t>
      </w:r>
    </w:p>
    <w:p w14:paraId="20AE5F6C" w14:textId="77777777" w:rsidR="002745F3" w:rsidRPr="002B3A25" w:rsidRDefault="002745F3" w:rsidP="002745F3">
      <w:pPr>
        <w:pStyle w:val="NormalHanging12a"/>
      </w:pPr>
      <w:r w:rsidRPr="002B3A25">
        <w:t>K.</w:t>
      </w:r>
      <w:r w:rsidRPr="002B3A25">
        <w:tab/>
        <w:t>Considerando que Bielorrusia tiene una cooperación militar y en materia de inteligencia cada vez más estrecha con Rusia y una creciente dependencia de esta, incluidas estructuras compartidas de defensa antiaérea, la transferencia de tecnología en sistemas de vehículos aéreos no tripulados y operaciones híbridas coordinadas dirigidas contra los Estados miembros de la Unión; que estos ataques híbridos sirven a los intereses estratégicos del Kremlin, ya que permiten poner a prueba los sistemas de defensa antiaérea y detección, sondear los umbrales de respuesta y socavar la cohesión de la OTAN y de la Unión;</w:t>
      </w:r>
    </w:p>
    <w:p w14:paraId="5C8F7358" w14:textId="77777777" w:rsidR="002745F3" w:rsidRPr="002B3A25" w:rsidRDefault="002745F3" w:rsidP="002745F3">
      <w:pPr>
        <w:pStyle w:val="NormalHanging12a"/>
      </w:pPr>
      <w:r w:rsidRPr="002B3A25">
        <w:t>L.</w:t>
      </w:r>
      <w:r w:rsidRPr="002B3A25">
        <w:tab/>
        <w:t>Considerando que el flanco oriental de la Unión constituye una zona estratégica para la seguridad general de Europa y, por tanto, requiere infraestructuras reforzadas, mejores capacidades de vigilancia y mecanismos de refuerzo rápido eficaces; que la experiencia de Lituania demuestra la urgente necesidad de una acción coordinada de la Unión, capacidades eficaces e innovadoras de defensa contra vehículos aéreos no tripulados, tecnologías de protección de fronteras y un intercambio rápido de información entre los Estados miembros;</w:t>
      </w:r>
    </w:p>
    <w:p w14:paraId="0648F141" w14:textId="77777777" w:rsidR="002745F3" w:rsidRPr="002B3A25" w:rsidRDefault="002745F3" w:rsidP="002745F3">
      <w:pPr>
        <w:pStyle w:val="NormalHanging12a"/>
      </w:pPr>
      <w:r w:rsidRPr="002B3A25">
        <w:lastRenderedPageBreak/>
        <w:t>M.</w:t>
      </w:r>
      <w:r w:rsidRPr="002B3A25">
        <w:tab/>
        <w:t xml:space="preserve">Considerando que el documento «Preservar la paz: hoja de ruta para la preparación en materia de defensa 2030» destaca la iniciativa de defensa </w:t>
      </w:r>
      <w:proofErr w:type="spellStart"/>
      <w:r w:rsidRPr="002B3A25">
        <w:t>antidrones</w:t>
      </w:r>
      <w:proofErr w:type="spellEnd"/>
      <w:r w:rsidRPr="002B3A25">
        <w:t xml:space="preserve"> europea y la guardia del flanco oriental como las iniciativas que deben ponerse en marcha en primer lugar;</w:t>
      </w:r>
    </w:p>
    <w:p w14:paraId="375C0EE0" w14:textId="77777777" w:rsidR="002745F3" w:rsidRPr="002B3A25" w:rsidRDefault="002745F3" w:rsidP="002745F3">
      <w:pPr>
        <w:pStyle w:val="NormalHanging12a"/>
        <w:widowControl/>
      </w:pPr>
      <w:r w:rsidRPr="002B3A25">
        <w:t>N.</w:t>
      </w:r>
      <w:r w:rsidRPr="002B3A25">
        <w:tab/>
        <w:t>Considerando que los Estados Unidos decidieron levantar algunas sanciones contra Bielorrusia sin coordinación previa con la Unión;</w:t>
      </w:r>
    </w:p>
    <w:p w14:paraId="61B36D0E" w14:textId="77777777" w:rsidR="002745F3" w:rsidRPr="002B3A25" w:rsidRDefault="002745F3" w:rsidP="002745F3">
      <w:pPr>
        <w:pStyle w:val="NormalHanging12a"/>
      </w:pPr>
      <w:r w:rsidRPr="002B3A25">
        <w:t>1.</w:t>
      </w:r>
      <w:r w:rsidRPr="002B3A25">
        <w:tab/>
        <w:t>Condena enérgicamente los ataques híbridos en curso de Bielorrusia contra Lituania y, por tanto, contra la Unión, en particular las incursiones de vehículos aéreos no tripulados y de globos, la instrumentalización de la migración, la coerción económica, las operaciones de contrabando, las provocaciones militares, los ciberataques y la desinformación patrocinada por el Estado; considera que estos ataques son deliberados, coordinados y hostiles y forman parte de una estrategia más amplia dirigida por Rusia para socavar la Unión, los Gobiernos de los Estados miembros y la OTAN;</w:t>
      </w:r>
    </w:p>
    <w:p w14:paraId="3B6BAF71" w14:textId="77777777" w:rsidR="002745F3" w:rsidRPr="002B3A25" w:rsidRDefault="002745F3" w:rsidP="002745F3">
      <w:pPr>
        <w:pStyle w:val="NormalHanging12a"/>
      </w:pPr>
      <w:r w:rsidRPr="002B3A25">
        <w:t>2.</w:t>
      </w:r>
      <w:r w:rsidRPr="002B3A25">
        <w:tab/>
        <w:t xml:space="preserve">Condena las medidas de represalia adoptadas por el régimen de </w:t>
      </w:r>
      <w:proofErr w:type="spellStart"/>
      <w:r w:rsidRPr="002B3A25">
        <w:t>Lukashenka</w:t>
      </w:r>
      <w:proofErr w:type="spellEnd"/>
      <w:r w:rsidRPr="002B3A25">
        <w:t xml:space="preserve"> contra Lituania, en particular la detención ilegal y la intimidación de operadores europeos de transporte de mercancías, que constituyen actos de coerción dirigidos contra un Estado miembro de la Unión;</w:t>
      </w:r>
    </w:p>
    <w:p w14:paraId="2D365778" w14:textId="77777777" w:rsidR="002745F3" w:rsidRPr="002B3A25" w:rsidRDefault="002745F3" w:rsidP="002745F3">
      <w:pPr>
        <w:pStyle w:val="NormalHanging12a"/>
      </w:pPr>
      <w:r w:rsidRPr="002B3A25">
        <w:t>3.</w:t>
      </w:r>
      <w:r w:rsidRPr="002B3A25">
        <w:tab/>
        <w:t>Expresa su plena solidaridad con Lituania y otros Estados miembros que han sido objeto de ataques híbridos bielorrusos; reitera que las amenazas a la seguridad de un Estado miembro afectan a la Unión en su conjunto y requieren una respuesta unida;</w:t>
      </w:r>
    </w:p>
    <w:p w14:paraId="18C67322" w14:textId="2D919660" w:rsidR="002745F3" w:rsidRPr="002B3A25" w:rsidRDefault="002745F3" w:rsidP="002745F3">
      <w:pPr>
        <w:pStyle w:val="NormalHanging12a"/>
      </w:pPr>
      <w:r w:rsidRPr="002B3A25">
        <w:t>4.</w:t>
      </w:r>
      <w:r w:rsidRPr="002B3A25">
        <w:tab/>
        <w:t xml:space="preserve">Pide a Bielorrusia que ponga fin inmediatamente a todos los ataques híbridos contra Lituania </w:t>
      </w:r>
      <w:r w:rsidR="002B50B6" w:rsidRPr="002B3A25">
        <w:rPr>
          <w:bCs/>
          <w:iCs/>
        </w:rPr>
        <w:t>y otros Estados miembros</w:t>
      </w:r>
      <w:r w:rsidRPr="002B3A25">
        <w:t>—lo que incluye el lanzamiento de dispositivos no tripulados, el contrabando, la delincuencia organizada apoyada por el régimen, la desinformación, la coerción económica, la captación de inteligencia y la instrumentalización de la migración—, que libere inmediatamente a todos los transportistas por carretera europeos y sus mercancías, que les compense por las pérdidas financieras causadas y que garantice la seguridad de la aviación civil y los pasos fronterizos;</w:t>
      </w:r>
      <w:r w:rsidR="002B50B6" w:rsidRPr="002B3A25">
        <w:t xml:space="preserve"> </w:t>
      </w:r>
      <w:r w:rsidR="002B50B6" w:rsidRPr="002B3A25">
        <w:rPr>
          <w:bCs/>
          <w:iCs/>
        </w:rPr>
        <w:t xml:space="preserve">condena al régimen de </w:t>
      </w:r>
      <w:proofErr w:type="spellStart"/>
      <w:r w:rsidR="002B50B6" w:rsidRPr="002B3A25">
        <w:rPr>
          <w:bCs/>
          <w:iCs/>
        </w:rPr>
        <w:t>Lukashenka</w:t>
      </w:r>
      <w:proofErr w:type="spellEnd"/>
      <w:r w:rsidR="002B50B6" w:rsidRPr="002B3A25">
        <w:rPr>
          <w:bCs/>
          <w:iCs/>
        </w:rPr>
        <w:t xml:space="preserve"> por instigar actos de sabotaje y otras acciones hostiles contra Lituania y otros Estados miembros de la Unión, facilitando apoyo operativo para dichos actos y ofreciendo un refugio seguro a sus autores, como demuestra la reciente explosión en las vías del ferrocarril en Polonia y la concesión de amparo a los autores del asesinato del soldado polaco </w:t>
      </w:r>
      <w:proofErr w:type="spellStart"/>
      <w:r w:rsidR="002B50B6" w:rsidRPr="002B3A25">
        <w:rPr>
          <w:bCs/>
          <w:iCs/>
        </w:rPr>
        <w:t>Mateusz</w:t>
      </w:r>
      <w:proofErr w:type="spellEnd"/>
      <w:r w:rsidR="002B50B6" w:rsidRPr="002B3A25">
        <w:rPr>
          <w:bCs/>
          <w:iCs/>
        </w:rPr>
        <w:t xml:space="preserve"> </w:t>
      </w:r>
      <w:proofErr w:type="spellStart"/>
      <w:r w:rsidR="002B50B6" w:rsidRPr="002B3A25">
        <w:rPr>
          <w:bCs/>
          <w:iCs/>
        </w:rPr>
        <w:t>Sitek</w:t>
      </w:r>
      <w:proofErr w:type="spellEnd"/>
      <w:r w:rsidR="002B50B6" w:rsidRPr="002B3A25">
        <w:rPr>
          <w:bCs/>
          <w:iCs/>
        </w:rPr>
        <w:t>, asesinado en la frontera entre Polonia y Bielorrusia; pide que cesen inmediatamente estas acciones hostiles y que los responsables de los mencionados delitos graves sean entregados a las autoridades policiales;</w:t>
      </w:r>
    </w:p>
    <w:p w14:paraId="103B9F58" w14:textId="77777777" w:rsidR="002745F3" w:rsidRPr="002B3A25" w:rsidRDefault="002745F3" w:rsidP="002745F3">
      <w:pPr>
        <w:pStyle w:val="NormalHanging12a"/>
      </w:pPr>
      <w:r w:rsidRPr="002B3A25">
        <w:t>5.</w:t>
      </w:r>
      <w:r w:rsidRPr="002B3A25">
        <w:tab/>
        <w:t>Apoya plenamente el derecho de Lituania a adoptar medidas proporcionadas contra cualquier ataque a fin de proteger su soberanía, el orden público y la seguridad de la aviación, incluidas la interceptación o la neutralización de objetos voladores no tripulados procedentes de Bielorrusia:</w:t>
      </w:r>
    </w:p>
    <w:p w14:paraId="5A5CAB17" w14:textId="77777777" w:rsidR="002745F3" w:rsidRPr="002B3A25" w:rsidRDefault="002745F3" w:rsidP="002745F3">
      <w:pPr>
        <w:pStyle w:val="NormalHanging12a"/>
      </w:pPr>
      <w:r w:rsidRPr="002B3A25">
        <w:t>6.</w:t>
      </w:r>
      <w:r w:rsidRPr="002B3A25">
        <w:tab/>
        <w:t xml:space="preserve">Lamenta la falta de coordinación en torno al levantamiento parcial de las sanciones a Bielorrusia por parte de los Estados Unidos el 13 de diciembre de 2025, lo que socava la solidaridad y el apoyo colectivo a los miembros de la Unión y de la OTAN objeto de ataques híbridos bielorrusos; destaca que las declaraciones del enviado especial de los Estados Unidos a Bielorrusia sobre el hecho de que las autoridades bielorrusas </w:t>
      </w:r>
      <w:r w:rsidRPr="002B3A25">
        <w:rPr>
          <w:i/>
        </w:rPr>
        <w:t>de facto</w:t>
      </w:r>
      <w:r w:rsidRPr="002B3A25">
        <w:t xml:space="preserve"> </w:t>
      </w:r>
      <w:r w:rsidRPr="002B3A25">
        <w:lastRenderedPageBreak/>
        <w:t>hayan ofrecido garantías de que se detendrán los lanzamientos de globos indican un reconocimiento de la responsabilidad y son pertinentes para el establecimiento de la responsabilidad del Estado con arreglo al Derecho internacional;</w:t>
      </w:r>
    </w:p>
    <w:p w14:paraId="301C6D12" w14:textId="77777777" w:rsidR="002745F3" w:rsidRPr="002B3A25" w:rsidRDefault="002745F3" w:rsidP="002745F3">
      <w:pPr>
        <w:pStyle w:val="NormalHanging12a"/>
      </w:pPr>
      <w:r w:rsidRPr="002B3A25">
        <w:t>7.</w:t>
      </w:r>
      <w:r w:rsidRPr="002B3A25">
        <w:tab/>
        <w:t xml:space="preserve">Reitera que no reconoce a </w:t>
      </w:r>
      <w:proofErr w:type="spellStart"/>
      <w:r w:rsidRPr="002B3A25">
        <w:t>Aliaksandr</w:t>
      </w:r>
      <w:proofErr w:type="spellEnd"/>
      <w:r w:rsidRPr="002B3A25">
        <w:t xml:space="preserve"> </w:t>
      </w:r>
      <w:proofErr w:type="spellStart"/>
      <w:r w:rsidRPr="002B3A25">
        <w:t>Lukashenka</w:t>
      </w:r>
      <w:proofErr w:type="spellEnd"/>
      <w:r w:rsidRPr="002B3A25">
        <w:t xml:space="preserve"> como presidente legítimo de Bielorrusia; destaca que cualquier revisión de las sanciones de la Unión contra Bielorrusia o del compromiso con este país debe estar estrictamente supeditada a que Bielorrusia aplique cambios sistémicos sostenidos, verificables e irreversibles, incluida la liberación de los más de 1 100 presos políticos restantes; pide solidaridad para hacer frente a las amenazas que plantea el régimen de </w:t>
      </w:r>
      <w:proofErr w:type="spellStart"/>
      <w:r w:rsidRPr="002B3A25">
        <w:t>Lukashenka</w:t>
      </w:r>
      <w:proofErr w:type="spellEnd"/>
      <w:r w:rsidRPr="002B3A25">
        <w:t xml:space="preserve">, en particular las que supone su instrumentalización de la migración por parte del Estado; condena enérgicamente el uso de la migración con fines políticos por parte de las autoridades bielorrusas </w:t>
      </w:r>
      <w:r w:rsidRPr="002B3A25">
        <w:rPr>
          <w:i/>
        </w:rPr>
        <w:t>de facto</w:t>
      </w:r>
      <w:r w:rsidRPr="002B3A25">
        <w:t>;</w:t>
      </w:r>
    </w:p>
    <w:p w14:paraId="4D910B9A" w14:textId="77777777" w:rsidR="002745F3" w:rsidRPr="002B3A25" w:rsidRDefault="002745F3" w:rsidP="002745F3">
      <w:pPr>
        <w:pStyle w:val="NormalHanging12a"/>
      </w:pPr>
      <w:r w:rsidRPr="002B3A25">
        <w:t>8.</w:t>
      </w:r>
      <w:r w:rsidRPr="002B3A25">
        <w:tab/>
        <w:t>Pide una cooperación más estrecha entre la Unión y la OTAN en materia de inteligencia sobre la seguridad del espacio aéreo y la lucha contra las amenazas híbridas; pide que se refuerce la cooperación entre la Unión y la OTAN en materia de vigilancia del espacio aéreo lituano, incluidos protocolos unificados de clasificación de incidentes, turnos de vigilancia aérea mejorados y respuestas coordinadas a las intrusiones de globos o de vehículos aéreos no tripulados; subraya la necesidad de ejercicios conjuntos periódicos que simulen amenazas aéreas híbridas; pide a los Estados miembros que garanticen una rápida movilidad transfronteriza de los activos militares y de seguridad, incluidas las capacidades de defensa antiaérea y defensa contra los vehículos aéreos no tripulados, en apoyo de Lituania;</w:t>
      </w:r>
    </w:p>
    <w:p w14:paraId="5076F866" w14:textId="77777777" w:rsidR="002745F3" w:rsidRPr="002B3A25" w:rsidRDefault="002745F3" w:rsidP="002745F3">
      <w:pPr>
        <w:pStyle w:val="NormalHanging12a"/>
      </w:pPr>
      <w:r w:rsidRPr="002B3A25">
        <w:t>9.</w:t>
      </w:r>
      <w:r w:rsidRPr="002B3A25">
        <w:tab/>
        <w:t>Pide a los Estados miembros y a los aliados de la OTAN que reevalúen los marcos estratégicos y operativos actuales para hacer frente a las amenazas híbridas, con vistas a reforzar la disuasión, la preparación y las respuestas oportunas, pasando de un enfoque reactivo a una disuasión proactiva;</w:t>
      </w:r>
    </w:p>
    <w:p w14:paraId="7F2438A4" w14:textId="77777777" w:rsidR="002745F3" w:rsidRPr="002B3A25" w:rsidRDefault="002745F3" w:rsidP="002745F3">
      <w:pPr>
        <w:pStyle w:val="NormalHanging12a"/>
      </w:pPr>
      <w:r w:rsidRPr="002B3A25">
        <w:t>10.</w:t>
      </w:r>
      <w:r w:rsidRPr="002B3A25">
        <w:tab/>
        <w:t>Hace hincapié en que la protección y la resiliencia de las infraestructuras críticas, incluidas las de transporte y aviación, deben integrarse estructuralmente y financiarse adecuadamente en el próximo MFP;</w:t>
      </w:r>
    </w:p>
    <w:p w14:paraId="2B9DF8BF" w14:textId="77777777" w:rsidR="002745F3" w:rsidRPr="002B3A25" w:rsidRDefault="002745F3" w:rsidP="002745F3">
      <w:pPr>
        <w:pStyle w:val="NormalHanging12a"/>
      </w:pPr>
      <w:r w:rsidRPr="002B3A25">
        <w:t>11.</w:t>
      </w:r>
      <w:r w:rsidRPr="002B3A25">
        <w:tab/>
        <w:t xml:space="preserve">Pide a la Comisión y a </w:t>
      </w:r>
      <w:proofErr w:type="spellStart"/>
      <w:r w:rsidRPr="002B3A25">
        <w:t>Frontex</w:t>
      </w:r>
      <w:proofErr w:type="spellEnd"/>
      <w:r w:rsidRPr="002B3A25">
        <w:t xml:space="preserve"> que, respetando plenamente su mandato, apoyen el refuerzo de la vigilancia de las fronteras y del espacio aéreo de Lituania mediante el uso de más sensores, aeronaves de patrulla, kits móviles de defensa contra vehículos aéreos no tripulados y análisis de amenazas en tiempo real; observa que las tácticas híbridas de Bielorrusia exponen vulnerabilidades estructurales, lo que requiere una respuesta colectiva de la Unión; acoge con satisfacción la iniciativa de defensa </w:t>
      </w:r>
      <w:proofErr w:type="spellStart"/>
      <w:r w:rsidRPr="002B3A25">
        <w:t>antidrones</w:t>
      </w:r>
      <w:proofErr w:type="spellEnd"/>
      <w:r w:rsidRPr="002B3A25">
        <w:t xml:space="preserve"> europea como uno de los proyectos emblemáticos europeos para detectar, rastrear y contrarrestar los sistemas aéreos no tripulados hostiles; acoge favorablemente la propuesta de la guardia del flanco oriental, destinada a integrar las capacidades de defensa antiaérea y </w:t>
      </w:r>
      <w:proofErr w:type="spellStart"/>
      <w:r w:rsidRPr="002B3A25">
        <w:t>antidrones</w:t>
      </w:r>
      <w:proofErr w:type="spellEnd"/>
      <w:r w:rsidRPr="002B3A25">
        <w:t xml:space="preserve"> con la seguridad terrestre y marítima en las regiones del mar Báltico y el mar Negro; pide a la Comisión que prepare medidas para proteger la infraestructura de la red transeuropea de transporte y garantizar la continuidad de los servicios de transporte transeuropeos frente a futuros ataques híbridos; insta a la rápida realización de estos proyectos;</w:t>
      </w:r>
    </w:p>
    <w:p w14:paraId="665C72F4" w14:textId="77777777" w:rsidR="002745F3" w:rsidRPr="002B3A25" w:rsidRDefault="002745F3" w:rsidP="002745F3">
      <w:pPr>
        <w:pStyle w:val="NormalHanging12a"/>
      </w:pPr>
      <w:r w:rsidRPr="002B3A25">
        <w:t>12.</w:t>
      </w:r>
      <w:r w:rsidRPr="002B3A25">
        <w:tab/>
        <w:t xml:space="preserve">Pide una cooperación más estrecha entre la Unión y Ucrania en materia de tecnología de drones, sistemas de defensa contra vehículos aéreos no tripulados, </w:t>
      </w:r>
      <w:proofErr w:type="spellStart"/>
      <w:r w:rsidRPr="002B3A25">
        <w:t>ciberprotección</w:t>
      </w:r>
      <w:proofErr w:type="spellEnd"/>
      <w:r w:rsidRPr="002B3A25">
        <w:t xml:space="preserve"> y </w:t>
      </w:r>
      <w:r w:rsidRPr="002B3A25">
        <w:lastRenderedPageBreak/>
        <w:t>resiliencia frente a amenazas híbridas, reconociendo que los conocimientos especializados de Ucrania son estratégicamente valiosos para la seguridad de la Unión;</w:t>
      </w:r>
    </w:p>
    <w:p w14:paraId="03B2E3FE" w14:textId="77777777" w:rsidR="002745F3" w:rsidRPr="002B3A25" w:rsidRDefault="002745F3" w:rsidP="002745F3">
      <w:pPr>
        <w:pStyle w:val="NormalHanging12a"/>
      </w:pPr>
      <w:r w:rsidRPr="002B3A25">
        <w:t>13.</w:t>
      </w:r>
      <w:r w:rsidRPr="002B3A25">
        <w:tab/>
        <w:t xml:space="preserve">Acoge con satisfacción la reciente adopción de un nuevo criterio de sanciones que abarca los ataques híbridos contra los Estados miembros; pide al Consejo que adopte más sanciones específicas contra funcionarios, entidades públicas y privadas, y personas de Bielorrusia implicados en la producción y el despliegue de vehículos aéreos no tripulados y en todas las demás operaciones híbridas dirigidas contra infraestructuras críticas, actividades económicas e instituciones democráticas; pide al Consejo que adopte nuevas medidas sectoriales contra Bielorrusia, en particular restricciones ampliadas en los sectores de la aviación y las finanzas, prohibiciones adicionales de importación e inversión, prohibiciones de servicios más amplias, restricciones al acceso a funciones de gobernanza en infraestructuras europeas críticas y prohibiciones de aceptar donaciones de autoridades bielorrusas </w:t>
      </w:r>
      <w:r w:rsidRPr="002B3A25">
        <w:rPr>
          <w:i/>
          <w:iCs/>
        </w:rPr>
        <w:t>de facto</w:t>
      </w:r>
      <w:r w:rsidRPr="002B3A25">
        <w:t xml:space="preserve"> y entidades públicas;</w:t>
      </w:r>
    </w:p>
    <w:p w14:paraId="00E14997" w14:textId="77777777" w:rsidR="002745F3" w:rsidRPr="002B3A25" w:rsidRDefault="002745F3" w:rsidP="002745F3">
      <w:pPr>
        <w:pStyle w:val="NormalHanging12a"/>
      </w:pPr>
      <w:r w:rsidRPr="002B3A25">
        <w:t>14.</w:t>
      </w:r>
      <w:r w:rsidRPr="002B3A25">
        <w:tab/>
        <w:t>Pide a la Unión y a los Estados miembros que persigan la rendición de cuentas internacional por las acciones de Bielorrusia, incluidas las amenazas a la aviación civil, la detención ilegal de operadores de transporte de mercancías de la Unión y la represión transnacional de los bielorrusos residentes en los Estados miembros de la Unión, y que planteen estas cuestiones en los foros internacionales pertinentes;</w:t>
      </w:r>
    </w:p>
    <w:p w14:paraId="5DD0CFD0" w14:textId="77777777" w:rsidR="002745F3" w:rsidRPr="002B3A25" w:rsidRDefault="002745F3" w:rsidP="002745F3">
      <w:pPr>
        <w:pStyle w:val="NormalHanging12a"/>
      </w:pPr>
      <w:r w:rsidRPr="002B3A25">
        <w:t>15.</w:t>
      </w:r>
      <w:r w:rsidRPr="002B3A25">
        <w:tab/>
        <w:t>Insta al Consejo a que incorpore las prioridades de seguridad en las fronteras orientales en el próximo MFP, garantizando una inversión sostenida de la Unión para contrarrestar las amenazas híbridas, y a que mejore la resiliencia de las infraestructuras críticas, la movilidad militar y las tecnologías de defensa de la Unión;</w:t>
      </w:r>
    </w:p>
    <w:p w14:paraId="2EC153FA" w14:textId="77777777" w:rsidR="002745F3" w:rsidRPr="002B3A25" w:rsidRDefault="002745F3" w:rsidP="002745F3">
      <w:pPr>
        <w:pStyle w:val="NormalHanging12a"/>
      </w:pPr>
      <w:r w:rsidRPr="002B3A25">
        <w:t>16.</w:t>
      </w:r>
      <w:r w:rsidRPr="002B3A25">
        <w:tab/>
        <w:t xml:space="preserve">Rechaza la desinformación bielorrusa que propaga que se han inventado pruebas o alega espionaje; pide a la Unión y a los Estados miembros que refuercen la comunicación estratégica, contrarresten la desinformación, atribuyan públicamente los actos hostiles y apliquen las recomendaciones incluidas en el informe </w:t>
      </w:r>
      <w:proofErr w:type="spellStart"/>
      <w:r w:rsidRPr="002B3A25">
        <w:t>Niinistö</w:t>
      </w:r>
      <w:proofErr w:type="spellEnd"/>
      <w:r w:rsidRPr="002B3A25">
        <w:t>, con el fin de aumentar la resiliencia de la sociedad;</w:t>
      </w:r>
    </w:p>
    <w:p w14:paraId="49BF74F6" w14:textId="77777777" w:rsidR="002745F3" w:rsidRPr="002B3A25" w:rsidRDefault="002745F3" w:rsidP="002745F3">
      <w:pPr>
        <w:pStyle w:val="NormalHanging12a"/>
      </w:pPr>
      <w:r w:rsidRPr="002B3A25">
        <w:t>17.</w:t>
      </w:r>
      <w:r w:rsidRPr="002B3A25">
        <w:tab/>
        <w:t>Invita a las empresas europeas, en particular a los transportistas por carretera, a que vuelvan a evaluar los riesgos para la seguridad asociados a la actividad en Bielorrusia y a que adopten las medidas de protección adecuadas;</w:t>
      </w:r>
    </w:p>
    <w:p w14:paraId="50F6E4B9" w14:textId="25726789" w:rsidR="00351EEB" w:rsidRPr="002B3A25" w:rsidRDefault="002745F3" w:rsidP="00351EEB">
      <w:pPr>
        <w:pStyle w:val="NormalHanging12a"/>
      </w:pPr>
      <w:r w:rsidRPr="002B3A25">
        <w:t>18.</w:t>
      </w:r>
      <w:r w:rsidRPr="002B3A25">
        <w:tab/>
        <w:t xml:space="preserve">Encarga a su presidenta que transmita la presente Resolución al Consejo, a la Comisión, a la vicepresidenta de la Comisión / alta representante de la Unión para Asuntos Exteriores y Política de Seguridad, a los Estados miembros de la Unión, a la OTAN, a las Naciones Unidas y a las autoridades bielorrusas </w:t>
      </w:r>
      <w:r w:rsidRPr="002B3A25">
        <w:rPr>
          <w:i/>
        </w:rPr>
        <w:t>de facto</w:t>
      </w:r>
      <w:r w:rsidRPr="002B3A25">
        <w:t>.</w:t>
      </w:r>
    </w:p>
    <w:p w14:paraId="0CF5D7C5" w14:textId="0230587B" w:rsidR="00E365E1" w:rsidRPr="002B3A25" w:rsidRDefault="00E365E1" w:rsidP="002745F3"/>
    <w:sectPr w:rsidR="00E365E1" w:rsidRPr="002B3A25" w:rsidSect="00351E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48BFC" w14:textId="77777777" w:rsidR="00FC62E8" w:rsidRPr="00351EEB" w:rsidRDefault="00FC62E8">
      <w:r w:rsidRPr="00351EEB">
        <w:separator/>
      </w:r>
    </w:p>
  </w:endnote>
  <w:endnote w:type="continuationSeparator" w:id="0">
    <w:p w14:paraId="56B8A3FD" w14:textId="77777777" w:rsidR="00FC62E8" w:rsidRPr="00351EEB" w:rsidRDefault="00FC62E8">
      <w:r w:rsidRPr="00351E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CA39" w14:textId="77777777" w:rsidR="00064002" w:rsidRPr="00351E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9E8A" w14:textId="77777777" w:rsidR="00064002" w:rsidRPr="00351E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8A89" w14:textId="77777777" w:rsidR="00064002" w:rsidRPr="00351E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5CF7F" w14:textId="77777777" w:rsidR="00FC62E8" w:rsidRPr="00351EEB" w:rsidRDefault="00FC62E8">
      <w:r w:rsidRPr="00351EEB">
        <w:separator/>
      </w:r>
    </w:p>
  </w:footnote>
  <w:footnote w:type="continuationSeparator" w:id="0">
    <w:p w14:paraId="3C69E7B5" w14:textId="77777777" w:rsidR="00FC62E8" w:rsidRPr="00351EEB" w:rsidRDefault="00FC62E8">
      <w:r w:rsidRPr="00351E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0A12" w14:textId="77777777" w:rsidR="00064002" w:rsidRPr="00351E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D9056" w14:textId="77777777" w:rsidR="00064002" w:rsidRPr="00351E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DA5EB" w14:textId="77777777" w:rsidR="00064002" w:rsidRPr="00351E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6050017">
    <w:abstractNumId w:val="9"/>
  </w:num>
  <w:num w:numId="2" w16cid:durableId="42020057">
    <w:abstractNumId w:val="9"/>
  </w:num>
  <w:num w:numId="3" w16cid:durableId="515000434">
    <w:abstractNumId w:val="7"/>
  </w:num>
  <w:num w:numId="4" w16cid:durableId="455880398">
    <w:abstractNumId w:val="7"/>
  </w:num>
  <w:num w:numId="5" w16cid:durableId="257837845">
    <w:abstractNumId w:val="6"/>
  </w:num>
  <w:num w:numId="6" w16cid:durableId="2092896448">
    <w:abstractNumId w:val="6"/>
  </w:num>
  <w:num w:numId="7" w16cid:durableId="77796245">
    <w:abstractNumId w:val="5"/>
  </w:num>
  <w:num w:numId="8" w16cid:durableId="2133665275">
    <w:abstractNumId w:val="5"/>
  </w:num>
  <w:num w:numId="9" w16cid:durableId="691955370">
    <w:abstractNumId w:val="4"/>
  </w:num>
  <w:num w:numId="10" w16cid:durableId="1978876075">
    <w:abstractNumId w:val="4"/>
  </w:num>
  <w:num w:numId="11" w16cid:durableId="802845545">
    <w:abstractNumId w:val="8"/>
  </w:num>
  <w:num w:numId="12" w16cid:durableId="1179462136">
    <w:abstractNumId w:val="8"/>
  </w:num>
  <w:num w:numId="13" w16cid:durableId="1157263727">
    <w:abstractNumId w:val="3"/>
  </w:num>
  <w:num w:numId="14" w16cid:durableId="952055060">
    <w:abstractNumId w:val="3"/>
  </w:num>
  <w:num w:numId="15" w16cid:durableId="581452414">
    <w:abstractNumId w:val="2"/>
  </w:num>
  <w:num w:numId="16" w16cid:durableId="1298684447">
    <w:abstractNumId w:val="2"/>
  </w:num>
  <w:num w:numId="17" w16cid:durableId="950210709">
    <w:abstractNumId w:val="1"/>
  </w:num>
  <w:num w:numId="18" w16cid:durableId="194658697">
    <w:abstractNumId w:val="1"/>
  </w:num>
  <w:num w:numId="19" w16cid:durableId="1539733385">
    <w:abstractNumId w:val="0"/>
  </w:num>
  <w:num w:numId="20" w16cid:durableId="575866314">
    <w:abstractNumId w:val="0"/>
  </w:num>
  <w:num w:numId="21" w16cid:durableId="373237421">
    <w:abstractNumId w:val="9"/>
  </w:num>
  <w:num w:numId="22" w16cid:durableId="1894193847">
    <w:abstractNumId w:val="7"/>
  </w:num>
  <w:num w:numId="23" w16cid:durableId="144668711">
    <w:abstractNumId w:val="6"/>
  </w:num>
  <w:num w:numId="24" w16cid:durableId="319963265">
    <w:abstractNumId w:val="5"/>
  </w:num>
  <w:num w:numId="25" w16cid:durableId="255676481">
    <w:abstractNumId w:val="4"/>
  </w:num>
  <w:num w:numId="26" w16cid:durableId="1796024399">
    <w:abstractNumId w:val="8"/>
  </w:num>
  <w:num w:numId="27" w16cid:durableId="97920105">
    <w:abstractNumId w:val="3"/>
  </w:num>
  <w:num w:numId="28" w16cid:durableId="77408657">
    <w:abstractNumId w:val="2"/>
  </w:num>
  <w:num w:numId="29" w16cid:durableId="362051230">
    <w:abstractNumId w:val="1"/>
  </w:num>
  <w:num w:numId="30" w16cid:durableId="2106219302">
    <w:abstractNumId w:val="0"/>
  </w:num>
  <w:num w:numId="31" w16cid:durableId="1468621933">
    <w:abstractNumId w:val="9"/>
  </w:num>
  <w:num w:numId="32" w16cid:durableId="2043283928">
    <w:abstractNumId w:val="7"/>
  </w:num>
  <w:num w:numId="33" w16cid:durableId="1352336864">
    <w:abstractNumId w:val="6"/>
  </w:num>
  <w:num w:numId="34" w16cid:durableId="1008674977">
    <w:abstractNumId w:val="5"/>
  </w:num>
  <w:num w:numId="35" w16cid:durableId="569728105">
    <w:abstractNumId w:val="4"/>
  </w:num>
  <w:num w:numId="36" w16cid:durableId="1609701690">
    <w:abstractNumId w:val="8"/>
  </w:num>
  <w:num w:numId="37" w16cid:durableId="1157770157">
    <w:abstractNumId w:val="3"/>
  </w:num>
  <w:num w:numId="38" w16cid:durableId="31658156">
    <w:abstractNumId w:val="2"/>
  </w:num>
  <w:num w:numId="39" w16cid:durableId="420375780">
    <w:abstractNumId w:val="1"/>
  </w:num>
  <w:num w:numId="40" w16cid:durableId="1718356708">
    <w:abstractNumId w:val="0"/>
  </w:num>
  <w:num w:numId="41" w16cid:durableId="2147308507">
    <w:abstractNumId w:val="10"/>
  </w:num>
  <w:num w:numId="42" w16cid:durableId="470296400">
    <w:abstractNumId w:val="10"/>
  </w:num>
  <w:num w:numId="43" w16cid:durableId="197355490">
    <w:abstractNumId w:val="10"/>
  </w:num>
  <w:num w:numId="44" w16cid:durableId="1387070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, 0578, 0582, 0585 y 0587/2025"/>
    <w:docVar w:name="dvlangue" w:val="ES"/>
    <w:docVar w:name="dvnumam" w:val="0"/>
    <w:docVar w:name="dvpe" w:val="779.052"/>
    <w:docVar w:name="dvtitre" w:val="Resolución del Parlamento Europeo, de 18 de diciembre de 2025, sobre los ataques híbridos continuos de Bielorrusia contra Lituania (2025/3025(RSP))"/>
  </w:docVars>
  <w:rsids>
    <w:rsidRoot w:val="00FC62E8"/>
    <w:rsid w:val="00002272"/>
    <w:rsid w:val="00064002"/>
    <w:rsid w:val="000677B9"/>
    <w:rsid w:val="000831BA"/>
    <w:rsid w:val="000A42CC"/>
    <w:rsid w:val="000E7DD9"/>
    <w:rsid w:val="0010095E"/>
    <w:rsid w:val="00106D92"/>
    <w:rsid w:val="00125B37"/>
    <w:rsid w:val="00187494"/>
    <w:rsid w:val="001A3E3C"/>
    <w:rsid w:val="001F32AE"/>
    <w:rsid w:val="002745F3"/>
    <w:rsid w:val="002767FF"/>
    <w:rsid w:val="002A78D7"/>
    <w:rsid w:val="002B18FE"/>
    <w:rsid w:val="002B3A25"/>
    <w:rsid w:val="002B50B6"/>
    <w:rsid w:val="002B5493"/>
    <w:rsid w:val="00343214"/>
    <w:rsid w:val="00351EE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B51"/>
    <w:rsid w:val="00930C23"/>
    <w:rsid w:val="0093193B"/>
    <w:rsid w:val="009509D8"/>
    <w:rsid w:val="00950B64"/>
    <w:rsid w:val="00976099"/>
    <w:rsid w:val="00981893"/>
    <w:rsid w:val="009D797E"/>
    <w:rsid w:val="00A1687D"/>
    <w:rsid w:val="00A43E52"/>
    <w:rsid w:val="00A4678D"/>
    <w:rsid w:val="00A778C7"/>
    <w:rsid w:val="00A77B4C"/>
    <w:rsid w:val="00AB441E"/>
    <w:rsid w:val="00AB6293"/>
    <w:rsid w:val="00AE0928"/>
    <w:rsid w:val="00AF3B82"/>
    <w:rsid w:val="00B12E95"/>
    <w:rsid w:val="00B22876"/>
    <w:rsid w:val="00B30164"/>
    <w:rsid w:val="00B558F0"/>
    <w:rsid w:val="00B83249"/>
    <w:rsid w:val="00BD48FE"/>
    <w:rsid w:val="00BD7BD8"/>
    <w:rsid w:val="00BE6ADC"/>
    <w:rsid w:val="00C05BFE"/>
    <w:rsid w:val="00C23CD4"/>
    <w:rsid w:val="00C61C0C"/>
    <w:rsid w:val="00C941CB"/>
    <w:rsid w:val="00CC2357"/>
    <w:rsid w:val="00CC723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2E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E8028"/>
  <w15:chartTrackingRefBased/>
  <w15:docId w15:val="{AF92E807-C651-4403-93A7-03466836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745F3"/>
    <w:pPr>
      <w:spacing w:after="240"/>
      <w:ind w:left="567" w:hanging="567"/>
    </w:pPr>
  </w:style>
  <w:style w:type="paragraph" w:customStyle="1" w:styleId="EPComma">
    <w:name w:val="EPComma"/>
    <w:basedOn w:val="Normal"/>
    <w:rsid w:val="002745F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745F3"/>
    <w:rPr>
      <w:sz w:val="24"/>
      <w:lang w:val="es-ES_tradnl"/>
    </w:rPr>
  </w:style>
  <w:style w:type="paragraph" w:styleId="Revision">
    <w:name w:val="Revision"/>
    <w:hidden/>
    <w:uiPriority w:val="99"/>
    <w:semiHidden/>
    <w:rsid w:val="009D797E"/>
    <w:rPr>
      <w:sz w:val="24"/>
      <w:lang w:val="es-ES_tradnl"/>
    </w:rPr>
  </w:style>
  <w:style w:type="character" w:styleId="CommentReference">
    <w:name w:val="annotation reference"/>
    <w:basedOn w:val="DefaultParagraphFont"/>
    <w:rsid w:val="002B50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50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50B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2B5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50B6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2273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</dc:creator>
  <cp:keywords/>
  <cp:lastModifiedBy>LAPORTA GRAU Manuel</cp:lastModifiedBy>
  <cp:revision>2</cp:revision>
  <cp:lastPrinted>2004-11-19T15:42:00Z</cp:lastPrinted>
  <dcterms:created xsi:type="dcterms:W3CDTF">2025-12-18T13:21:00Z</dcterms:created>
  <dcterms:modified xsi:type="dcterms:W3CDTF">2025-12-18T13:21:00Z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B10-0571, 0578, 0582, 0585 y 0587/2025</vt:lpwstr>
  </property>
  <property fmtid="{D5CDD505-2E9C-101B-9397-08002B2CF9AE}" pid="4" name="&lt;Type&gt;">
    <vt:lpwstr>RR</vt:lpwstr>
  </property>
</Properties>
</file>