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5BAF" w14:paraId="561165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E41A99" w14:textId="77777777" w:rsidR="00751A4A" w:rsidRPr="00C05BAF" w:rsidRDefault="00942CF4" w:rsidP="0010095E">
            <w:pPr>
              <w:pStyle w:val="EPName"/>
            </w:pPr>
            <w:r w:rsidRPr="00C05BAF">
              <w:t>Parlament Europejski</w:t>
            </w:r>
          </w:p>
          <w:p w14:paraId="4BDD59B7" w14:textId="77777777" w:rsidR="00751A4A" w:rsidRPr="00C05B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5BAF">
              <w:t>2024</w:t>
            </w:r>
            <w:r w:rsidR="00817416" w:rsidRPr="00C05BAF">
              <w:t>-202</w:t>
            </w:r>
            <w:r w:rsidRPr="00C05BAF">
              <w:t>9</w:t>
            </w:r>
          </w:p>
        </w:tc>
        <w:tc>
          <w:tcPr>
            <w:tcW w:w="2268" w:type="dxa"/>
            <w:shd w:val="clear" w:color="auto" w:fill="auto"/>
          </w:tcPr>
          <w:p w14:paraId="05C79E52" w14:textId="77777777" w:rsidR="00751A4A" w:rsidRPr="00C05BAF" w:rsidRDefault="00187494" w:rsidP="0010095E">
            <w:pPr>
              <w:pStyle w:val="EPLogo"/>
            </w:pPr>
            <w:r w:rsidRPr="00C05BAF">
              <w:rPr>
                <w:noProof/>
                <w:lang w:eastAsia="ja-JP"/>
              </w:rPr>
              <w:drawing>
                <wp:inline distT="0" distB="0" distL="0" distR="0" wp14:anchorId="5BAD8549" wp14:editId="2ADF1F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6795E1" w14:textId="77777777" w:rsidR="00D058B8" w:rsidRPr="00C05BAF" w:rsidRDefault="00D058B8" w:rsidP="004C5D52">
      <w:pPr>
        <w:pStyle w:val="LineTop"/>
      </w:pPr>
    </w:p>
    <w:p w14:paraId="44EDDC50" w14:textId="77777777" w:rsidR="00680577" w:rsidRPr="00C05BAF" w:rsidRDefault="00942CF4" w:rsidP="00680577">
      <w:pPr>
        <w:pStyle w:val="EPBodyTA1"/>
      </w:pPr>
      <w:r w:rsidRPr="00C05BAF">
        <w:t>TEKSTY PRZYJĘTE</w:t>
      </w:r>
    </w:p>
    <w:p w14:paraId="7429C166" w14:textId="77777777" w:rsidR="00D058B8" w:rsidRPr="00C05BAF" w:rsidRDefault="00D058B8" w:rsidP="00D058B8">
      <w:pPr>
        <w:pStyle w:val="LineBottom"/>
      </w:pPr>
    </w:p>
    <w:p w14:paraId="00ED6C2E" w14:textId="3B8B7BB6" w:rsidR="00942CF4" w:rsidRPr="00C05BAF" w:rsidRDefault="00942CF4" w:rsidP="00942CF4">
      <w:pPr>
        <w:pStyle w:val="ATHeading1"/>
      </w:pPr>
      <w:bookmarkStart w:id="0" w:name="TANumber"/>
      <w:r w:rsidRPr="00C05BAF">
        <w:t>P10_TA(2025)0</w:t>
      </w:r>
      <w:bookmarkEnd w:id="0"/>
      <w:r w:rsidR="00C6290E">
        <w:t>345</w:t>
      </w:r>
    </w:p>
    <w:p w14:paraId="2F5BD995" w14:textId="77777777" w:rsidR="00942CF4" w:rsidRPr="00C05BAF" w:rsidRDefault="00942CF4" w:rsidP="00942CF4">
      <w:pPr>
        <w:pStyle w:val="ATHeading2"/>
      </w:pPr>
      <w:bookmarkStart w:id="1" w:name="title"/>
      <w:r w:rsidRPr="00C05BAF">
        <w:t>Ciągłe ataki hybrydowe Białorusi na Litwę</w:t>
      </w:r>
      <w:bookmarkEnd w:id="1"/>
    </w:p>
    <w:p w14:paraId="71B6FDCC" w14:textId="1BDC80FC" w:rsidR="00942CF4" w:rsidRPr="00C05BAF" w:rsidRDefault="00942CF4" w:rsidP="00942CF4">
      <w:pPr>
        <w:rPr>
          <w:i/>
          <w:vanish/>
        </w:rPr>
      </w:pPr>
      <w:r w:rsidRPr="00C05BAF">
        <w:rPr>
          <w:i/>
        </w:rPr>
        <w:fldChar w:fldCharType="begin"/>
      </w:r>
      <w:r w:rsidRPr="00C05BAF">
        <w:rPr>
          <w:i/>
        </w:rPr>
        <w:instrText xml:space="preserve"> TC"(</w:instrText>
      </w:r>
      <w:bookmarkStart w:id="2" w:name="DocNumber"/>
      <w:r w:rsidR="000615AE" w:rsidRPr="00843440">
        <w:rPr>
          <w:i/>
        </w:rPr>
        <w:instrText>B10-0571</w:instrText>
      </w:r>
      <w:r w:rsidR="000615AE">
        <w:rPr>
          <w:i/>
        </w:rPr>
        <w:instrText>, 0578, 0582, 0585 oraz 0587</w:instrText>
      </w:r>
      <w:r w:rsidR="000615AE" w:rsidRPr="00843440">
        <w:rPr>
          <w:i/>
        </w:rPr>
        <w:instrText>/2025</w:instrText>
      </w:r>
      <w:bookmarkEnd w:id="2"/>
      <w:r w:rsidRPr="00C05BAF">
        <w:rPr>
          <w:i/>
        </w:rPr>
        <w:instrText xml:space="preserve">)"\l3 \n&gt; \* MERGEFORMAT </w:instrText>
      </w:r>
      <w:r w:rsidRPr="00C05BAF">
        <w:rPr>
          <w:i/>
        </w:rPr>
        <w:fldChar w:fldCharType="end"/>
      </w:r>
    </w:p>
    <w:p w14:paraId="14336A32" w14:textId="77777777" w:rsidR="00942CF4" w:rsidRPr="00C05BAF" w:rsidRDefault="00942CF4" w:rsidP="00942CF4">
      <w:pPr>
        <w:rPr>
          <w:vanish/>
        </w:rPr>
      </w:pPr>
      <w:bookmarkStart w:id="3" w:name="PE"/>
      <w:r w:rsidRPr="00C05BAF">
        <w:rPr>
          <w:vanish/>
        </w:rPr>
        <w:t>PE779.052</w:t>
      </w:r>
      <w:bookmarkEnd w:id="3"/>
    </w:p>
    <w:p w14:paraId="137DAB67" w14:textId="2D402BA1" w:rsidR="00942CF4" w:rsidRPr="00C05BAF" w:rsidRDefault="00942CF4" w:rsidP="00942CF4">
      <w:pPr>
        <w:pStyle w:val="ATHeading3"/>
      </w:pPr>
      <w:bookmarkStart w:id="4" w:name="Sujet"/>
      <w:r w:rsidRPr="00C05BAF">
        <w:t xml:space="preserve">Rezolucja Parlamentu Europejskiego z dnia </w:t>
      </w:r>
      <w:r w:rsidR="000615AE">
        <w:t>18 grudnia</w:t>
      </w:r>
      <w:r w:rsidRPr="00C05BAF">
        <w:t xml:space="preserve"> 2025 r. w sprawie ciągłych ataków hybrydowych Białorusi na Litwę </w:t>
      </w:r>
      <w:bookmarkEnd w:id="4"/>
      <w:r w:rsidRPr="00C05BAF">
        <w:t xml:space="preserve"> </w:t>
      </w:r>
      <w:bookmarkStart w:id="5" w:name="References"/>
      <w:r w:rsidRPr="00C05BAF">
        <w:t>(2025/3025(RSP))</w:t>
      </w:r>
      <w:bookmarkEnd w:id="5"/>
    </w:p>
    <w:p w14:paraId="44B0AB5E" w14:textId="77777777" w:rsidR="00AB38E2" w:rsidRPr="00C05BAF" w:rsidRDefault="00AB38E2" w:rsidP="00AB38E2">
      <w:pPr>
        <w:pStyle w:val="EPComma"/>
      </w:pPr>
      <w:bookmarkStart w:id="6" w:name="TextBodyBegin"/>
      <w:bookmarkStart w:id="7" w:name="_Hlk216878219"/>
      <w:bookmarkEnd w:id="6"/>
      <w:r w:rsidRPr="00C05BAF">
        <w:rPr>
          <w:i/>
        </w:rPr>
        <w:t>Parlament Europejski</w:t>
      </w:r>
      <w:r w:rsidRPr="00C05BAF">
        <w:t>,</w:t>
      </w:r>
    </w:p>
    <w:bookmarkEnd w:id="7"/>
    <w:p w14:paraId="48AB0000" w14:textId="77777777" w:rsidR="00AB38E2" w:rsidRPr="00C05BAF" w:rsidRDefault="00AB38E2" w:rsidP="00AB38E2">
      <w:pPr>
        <w:pStyle w:val="NormalHanging12a"/>
      </w:pPr>
      <w:r w:rsidRPr="00C05BAF">
        <w:t>–</w:t>
      </w:r>
      <w:r w:rsidRPr="00C05BAF">
        <w:tab/>
        <w:t>uwzględniając swoje poprzednie rezolucje w sprawie Białorusi, Rosji i Ukrainy,</w:t>
      </w:r>
    </w:p>
    <w:p w14:paraId="632BEB72" w14:textId="77777777" w:rsidR="00AB38E2" w:rsidRPr="00C05BAF" w:rsidRDefault="00AB38E2" w:rsidP="00AB38E2">
      <w:pPr>
        <w:pStyle w:val="NormalHanging12a"/>
      </w:pPr>
      <w:r w:rsidRPr="00C05BAF">
        <w:t>–</w:t>
      </w:r>
      <w:r w:rsidRPr="00C05BAF">
        <w:tab/>
        <w:t>uwzględniając oświadczenie wysokiej przedstawicielki Unii do spraw zagranicznych i polityki bezpieczeństwa z 29 października 2025 r. w sprawie działań hybrydowych Białorusi na granicy zewnętrznej UE,</w:t>
      </w:r>
    </w:p>
    <w:p w14:paraId="26F46063" w14:textId="77777777" w:rsidR="00AB38E2" w:rsidRPr="00C05BAF" w:rsidRDefault="00AB38E2" w:rsidP="00AB38E2">
      <w:pPr>
        <w:pStyle w:val="NormalHanging12a"/>
      </w:pPr>
      <w:r w:rsidRPr="00C05BAF">
        <w:t>–</w:t>
      </w:r>
      <w:r w:rsidRPr="00C05BAF">
        <w:tab/>
        <w:t>uwzględniając Kartę Narodów Zjednoczonych, akt końcowy z Helsinek oraz podstawowe zasady prawa międzynarodowego,</w:t>
      </w:r>
    </w:p>
    <w:p w14:paraId="082285FE" w14:textId="77777777" w:rsidR="00AB38E2" w:rsidRPr="00C05BAF" w:rsidRDefault="00AB38E2" w:rsidP="00AB38E2">
      <w:pPr>
        <w:pStyle w:val="NormalHanging12a"/>
      </w:pPr>
      <w:r w:rsidRPr="00C05BAF">
        <w:t>–</w:t>
      </w:r>
      <w:r w:rsidRPr="00C05BAF">
        <w:tab/>
        <w:t>uwzględniając art. 136 ust. 2 i 4 Regulaminu,</w:t>
      </w:r>
    </w:p>
    <w:p w14:paraId="2F7B1473" w14:textId="77777777" w:rsidR="00AB38E2" w:rsidRPr="00C05BAF" w:rsidRDefault="00AB38E2" w:rsidP="00AB38E2">
      <w:pPr>
        <w:pStyle w:val="NormalHanging12a"/>
      </w:pPr>
      <w:r w:rsidRPr="00C05BAF">
        <w:t>A.</w:t>
      </w:r>
      <w:r w:rsidRPr="00C05BAF">
        <w:tab/>
        <w:t>mając na uwadze, że Białoruś zintensyfikowała operacje hybrydowe przeciwko Litwie, takie jak wysyłanie bezzałogowych statków powietrznych, wtargnięcia balonów, cyberataki i kampanie dezinformacyjne, oraz że w dalszym ciągu instrumentalizuje migrację;</w:t>
      </w:r>
    </w:p>
    <w:p w14:paraId="1FCC5BF1" w14:textId="77777777" w:rsidR="00AB38E2" w:rsidRPr="00C05BAF" w:rsidRDefault="00AB38E2" w:rsidP="00AB38E2">
      <w:pPr>
        <w:pStyle w:val="NormalHanging12a"/>
      </w:pPr>
      <w:r w:rsidRPr="00C05BAF">
        <w:t>B.</w:t>
      </w:r>
      <w:r w:rsidRPr="00C05BAF">
        <w:tab/>
        <w:t>mając na uwadze, że działania te należy postrzegać w kontekście rosyjskiej wojny napastniczej przeciwko Ukrainie i szerszej rosyjskiej strategii destabilizacji UE i NATO; mając na uwadze, że Białoruś jest platformą dla rosyjskich operacji hybrydowych przeciwko Europie; mając na uwadze, że według oceny służb wywiadu i bezpieczeństwa w całej UE białoruska taktyka hybrydowa ściśle wpisuje się w szerszą strategię wrogości Rosji wobec UE i jej państw członkowskich oraz przyczynia się do realizacji tej strategii;</w:t>
      </w:r>
    </w:p>
    <w:p w14:paraId="7DEFF00F" w14:textId="77777777" w:rsidR="00AB38E2" w:rsidRPr="00C05BAF" w:rsidRDefault="00AB38E2" w:rsidP="00AB38E2">
      <w:pPr>
        <w:pStyle w:val="NormalHanging12a"/>
      </w:pPr>
      <w:r w:rsidRPr="00C05BAF">
        <w:t>C.</w:t>
      </w:r>
      <w:r w:rsidRPr="00C05BAF">
        <w:tab/>
        <w:t>mając na uwadze, że od 2024 r. Litwa odnotowała setki naruszeń przestrzeni powietrznej przez obiekty wysłane z Białorusi, w tym balony pogodowe, z których żaden nie został zgłoszony władzom lotniczym, co stanowi naruszenie międzynarodowych zasad bezpieczeństwa i suwerenności Litwy;</w:t>
      </w:r>
    </w:p>
    <w:p w14:paraId="78D96289" w14:textId="77777777" w:rsidR="00AB38E2" w:rsidRPr="00C05BAF" w:rsidRDefault="00AB38E2" w:rsidP="00AB38E2">
      <w:pPr>
        <w:pStyle w:val="NormalHanging12a"/>
      </w:pPr>
      <w:r w:rsidRPr="00C05BAF">
        <w:t>D.</w:t>
      </w:r>
      <w:r w:rsidRPr="00C05BAF">
        <w:tab/>
        <w:t xml:space="preserve">mając na uwadze, że wtargnięcia te, do których doszło również w pobliżu portów lotniczych w Wilnie i Kownie, stanowią zagrożenie dla życia, podważają </w:t>
      </w:r>
      <w:r w:rsidRPr="00C05BAF">
        <w:lastRenderedPageBreak/>
        <w:t>bezpieczeństwo i zakłócają loty cywilne, a także spowodowały 19 zamknięć lotnisk, wpłynęły na setki lotów i dziesiątki tysięcy pasażerów oraz przyniosły znaczne straty ekonomiczne;</w:t>
      </w:r>
    </w:p>
    <w:p w14:paraId="46A621F9" w14:textId="77777777" w:rsidR="00AB38E2" w:rsidRPr="00C05BAF" w:rsidRDefault="00AB38E2" w:rsidP="00AB38E2">
      <w:pPr>
        <w:pStyle w:val="NormalHanging12a"/>
      </w:pPr>
      <w:r w:rsidRPr="00C05BAF">
        <w:t>E.</w:t>
      </w:r>
      <w:r w:rsidRPr="00C05BAF">
        <w:tab/>
        <w:t>mając na uwadze, że władze litewskie zgłosiły poważną eskalację działań hybrydowych z Białorusi, ponieważ w 2023 r. wykryły trzy balony, w 2024 r. – 184 , a w 2025 r. – ok. 700 balonów i 200 dronów;</w:t>
      </w:r>
    </w:p>
    <w:p w14:paraId="6E721F34" w14:textId="77777777" w:rsidR="00AB38E2" w:rsidRPr="00C05BAF" w:rsidRDefault="00AB38E2" w:rsidP="00AB38E2">
      <w:pPr>
        <w:pStyle w:val="NormalHanging12a"/>
      </w:pPr>
      <w:r w:rsidRPr="00C05BAF">
        <w:t>F.</w:t>
      </w:r>
      <w:r w:rsidRPr="00C05BAF">
        <w:tab/>
        <w:t>mając na uwadze, że litewskie służby bezpieczeństwa odzyskały szczątki z wysłanych z Białorusi bezzałogowych statków powietrznych i balonów, których analiza wykazała, że obiekty te zostały wysłane w sposób kontrolowany, zawierały elektronikę pokładową oraz – w jednym przypadku – ślady obecności materiałów wybuchowych;</w:t>
      </w:r>
    </w:p>
    <w:p w14:paraId="2B23EE40" w14:textId="77777777" w:rsidR="00AB38E2" w:rsidRPr="00C05BAF" w:rsidRDefault="00AB38E2" w:rsidP="00AB38E2">
      <w:pPr>
        <w:pStyle w:val="NormalHanging12a"/>
      </w:pPr>
      <w:r w:rsidRPr="00C05BAF">
        <w:t>G.</w:t>
      </w:r>
      <w:r w:rsidRPr="00C05BAF">
        <w:tab/>
        <w:t>mając na uwadze, że po decyzji Litwy o tymczasowym zamknięciu granicy z Białorusią faktyczne władze białoruskie zastosowały wymuszenie ekonomiczne, mianowicie zatrzymały europejskie pojazdy ciężarowe, grożąc ich konfiskatą i utrudniając legalny handel transgraniczny;</w:t>
      </w:r>
    </w:p>
    <w:p w14:paraId="1C77D782" w14:textId="77777777" w:rsidR="00AB38E2" w:rsidRPr="00C05BAF" w:rsidRDefault="00AB38E2" w:rsidP="00AB38E2">
      <w:pPr>
        <w:pStyle w:val="NormalHanging12a"/>
      </w:pPr>
      <w:r w:rsidRPr="00C05BAF">
        <w:t>H.</w:t>
      </w:r>
      <w:r w:rsidRPr="00C05BAF">
        <w:tab/>
        <w:t>mając na uwadze, że od 2021 r. Białoruś stosuje strategię celowej destabilizacji, w ramach której systematycznie instrumentalizuje migrację, kierując migrantów o nieuregulowanym statusie na granicę litewską; mając na uwadze, że wtargnięcia bezzałogowych statków powietrznych i balonów, kampanie dezinformacyjne i presja wywierana na granicę stanowią łącznie wzorzec skoordynowanej agresji hybrydowej na Litwę i UE;</w:t>
      </w:r>
    </w:p>
    <w:p w14:paraId="3C9349ED" w14:textId="77777777" w:rsidR="00AB38E2" w:rsidRPr="00C05BAF" w:rsidRDefault="00AB38E2" w:rsidP="00AB38E2">
      <w:pPr>
        <w:pStyle w:val="NormalHanging12a"/>
      </w:pPr>
      <w:r w:rsidRPr="00C05BAF">
        <w:t>I.</w:t>
      </w:r>
      <w:r w:rsidRPr="00C05BAF">
        <w:tab/>
        <w:t>mając na uwadze, że 9 grudnia 2025 r., w następstwie gwałtownego wzrostu liczby balonów wysłanych z Białorusi, Litwa ogłosiła stan wyjątkowy i zezwoliła na zestrzelenie bezzałogowych obiektów latających;</w:t>
      </w:r>
    </w:p>
    <w:p w14:paraId="7987EFAC" w14:textId="77777777" w:rsidR="00AB38E2" w:rsidRPr="00C05BAF" w:rsidRDefault="00AB38E2" w:rsidP="00AB38E2">
      <w:pPr>
        <w:pStyle w:val="NormalHanging12a"/>
      </w:pPr>
      <w:r w:rsidRPr="00C05BAF">
        <w:t>J.</w:t>
      </w:r>
      <w:r w:rsidRPr="00C05BAF">
        <w:tab/>
        <w:t>mając na uwadze, że Białoruś usiłowała uchylić się od odpowiedzialności, fałszywie oskarżając Litwę o szpiegostwo i fabrykowanie dowodów, co odzwierciedla ugruntowaną rosyjską taktykę wojny informacyjnej mającą na celu podważenie zaufania publicznego i zrzucenie odpowiedzialności; mając na uwadze, że odpowiedź na takie działania wymaga koordynacji na szczeblu UE i NATO;</w:t>
      </w:r>
    </w:p>
    <w:p w14:paraId="6F028CDF" w14:textId="77777777" w:rsidR="00AB38E2" w:rsidRPr="00C05BAF" w:rsidRDefault="00AB38E2" w:rsidP="00AB38E2">
      <w:pPr>
        <w:pStyle w:val="NormalHanging12a"/>
      </w:pPr>
      <w:r w:rsidRPr="00C05BAF">
        <w:t>K.</w:t>
      </w:r>
      <w:r w:rsidRPr="00C05BAF">
        <w:tab/>
        <w:t>mając na uwadze, że Białoruś zacieśnia współpracę wojskową i wywiadowczą z Rosją oraz zwiększa swoją zależność od Rosji, co obejmuje m.in. wspólne struktury obrony powietrznej, transfer technologii w systemach bezzałogowych statków powietrznych i skoordynowane operacje hybrydowe wymierzone w państwa członkowskie UE; mając na uwadze, że te ataki hybrydowe służą strategicznym interesom Kremla, ponieważ testują systemy obrony powietrznej i wykrywania oraz progi reakcji, a także osłabiają spójność NATO i UE;</w:t>
      </w:r>
    </w:p>
    <w:p w14:paraId="4FE33CB9" w14:textId="77777777" w:rsidR="00AB38E2" w:rsidRPr="00C05BAF" w:rsidRDefault="00AB38E2" w:rsidP="00AB38E2">
      <w:pPr>
        <w:pStyle w:val="NormalHanging12a"/>
      </w:pPr>
      <w:r w:rsidRPr="00C05BAF">
        <w:t>L.</w:t>
      </w:r>
      <w:r w:rsidRPr="00C05BAF">
        <w:tab/>
        <w:t xml:space="preserve">mając na uwadze, że wschodnia flanka UE stanowi obszar o strategicznym znaczeniu dla ogólnego bezpieczeństwa Europy i w związku z tym potrzebuje wzmocnionej infrastruktury, lepszych zdolności obserwacyjnych i skutecznych mechanizmów szybkiego wzmocnienia; mając na uwadze, że doświadczenia Litwy wskazują na pilną potrzebę skoordynowania działań na szczeblu UE, zbudowania skutecznych i innowacyjnych zdolności </w:t>
      </w:r>
      <w:proofErr w:type="spellStart"/>
      <w:r w:rsidRPr="00C05BAF">
        <w:t>antydronowych</w:t>
      </w:r>
      <w:proofErr w:type="spellEnd"/>
      <w:r w:rsidRPr="00C05BAF">
        <w:t>, rozwoju technologii ochrony granic i szybkiej wymiany informacji między państwami członkowskimi;</w:t>
      </w:r>
    </w:p>
    <w:p w14:paraId="5B9D6CD5" w14:textId="77777777" w:rsidR="00AB38E2" w:rsidRPr="00C05BAF" w:rsidRDefault="00AB38E2" w:rsidP="00AB38E2">
      <w:pPr>
        <w:pStyle w:val="NormalHanging12a"/>
      </w:pPr>
      <w:r w:rsidRPr="00C05BAF">
        <w:lastRenderedPageBreak/>
        <w:t>M.</w:t>
      </w:r>
      <w:r w:rsidRPr="00C05BAF">
        <w:tab/>
        <w:t>mając na uwadze, że w komunikacie „Utrzymanie pokoju – Plan działania na rzecz gotowości obronnej do 2030 r.” wskazano, iż europejska inicjatywa na rzecz obrony przed dronami i „straż wschodniej flanki” są inicjatywami, które należy uruchomić w pierwszej kolejności;</w:t>
      </w:r>
    </w:p>
    <w:p w14:paraId="4165093C" w14:textId="77777777" w:rsidR="00AB38E2" w:rsidRPr="00C05BAF" w:rsidRDefault="00AB38E2" w:rsidP="00AB38E2">
      <w:pPr>
        <w:pStyle w:val="NormalHanging12a"/>
      </w:pPr>
      <w:r w:rsidRPr="00C05BAF">
        <w:t>N.</w:t>
      </w:r>
      <w:r w:rsidRPr="00C05BAF">
        <w:tab/>
        <w:t>mając na uwadze, że Stany Zjednoczone postanowiły znieść część sankcji wobec Białorusi, nie uzgodniwszy wcześniej tego kroku z UE;</w:t>
      </w:r>
    </w:p>
    <w:p w14:paraId="5C20252D" w14:textId="77777777" w:rsidR="00AB38E2" w:rsidRPr="00C05BAF" w:rsidRDefault="00AB38E2" w:rsidP="00AB38E2">
      <w:pPr>
        <w:pStyle w:val="NormalHanging12a"/>
      </w:pPr>
      <w:r w:rsidRPr="00C05BAF">
        <w:t>1.</w:t>
      </w:r>
      <w:r w:rsidRPr="00C05BAF">
        <w:tab/>
        <w:t>zdecydowanie potępia trwające ataki hybrydowe Białorusi na Litwę, a tym samym UE, w tym wtargnięcia bezzałogowych statków powietrznych i balonów, instrumentalizację migracji, wymuszenia ekonomiczne, operacje przemytu, prowokacje wojskowe, cyberataki i dezinformację sponsorowaną przez państwo; uznaje te ataki za celowe, skoordynowane i wrogie oraz stanowiące element szerszej strategii prowadzonej przez Rosję w celu osłabienia UE, rządów państw członkowskich i NATO;</w:t>
      </w:r>
    </w:p>
    <w:p w14:paraId="583F1C24" w14:textId="77777777" w:rsidR="00AB38E2" w:rsidRPr="00C05BAF" w:rsidRDefault="00AB38E2" w:rsidP="00AB38E2">
      <w:pPr>
        <w:pStyle w:val="NormalHanging12a"/>
      </w:pPr>
      <w:r w:rsidRPr="00C05BAF">
        <w:t>2.</w:t>
      </w:r>
      <w:r w:rsidRPr="00C05BAF">
        <w:tab/>
        <w:t>potępia środki odwetowe reżimu Łukaszenki wobec Litwy, które stanowią akty przymusu wymierzone w państwo członkowskie UE, w tym bezprawne przetrzymywanie europejskich pojazdów ciężarowych i zastraszanie ich kierowców;</w:t>
      </w:r>
    </w:p>
    <w:p w14:paraId="08278765" w14:textId="77777777" w:rsidR="00AB38E2" w:rsidRPr="00C05BAF" w:rsidRDefault="00AB38E2" w:rsidP="00AB38E2">
      <w:pPr>
        <w:pStyle w:val="NormalHanging12a"/>
      </w:pPr>
      <w:r w:rsidRPr="00C05BAF">
        <w:t>3.</w:t>
      </w:r>
      <w:r w:rsidRPr="00C05BAF">
        <w:tab/>
        <w:t>wyraża pełną solidarność z Litwą i innymi państwami członkowskimi, które są celem ataków hybrydowych Białorusi; przypomina, że zagrożenie bezpieczeństwa jednego państwa członkowskiego ma wpływ na całą UE i wymaga wspólnej reakcji;</w:t>
      </w:r>
    </w:p>
    <w:p w14:paraId="6F81D9E6" w14:textId="0AD30DF0" w:rsidR="00AB38E2" w:rsidRPr="00C05BAF" w:rsidRDefault="00AB38E2" w:rsidP="00AB38E2">
      <w:pPr>
        <w:pStyle w:val="NormalHanging12a"/>
      </w:pPr>
      <w:r w:rsidRPr="00C05BAF">
        <w:t>4.</w:t>
      </w:r>
      <w:r w:rsidRPr="00C05BAF">
        <w:tab/>
      </w:r>
      <w:r w:rsidR="00C6290E" w:rsidRPr="00C6290E">
        <w:t>domaga się, aby Białoruś natychmiast zaprzestała wszelkich ataków hybrydowych na Litwę i inne państwa członkowskie, w tym wysyłania urządzeń bezzałogowych, działań przemytniczych, wspieranej przez reżim przestępczości zorganizowanej, kampanii dezinformacyjnych, wymuszeń ekonomicznych, rekrutacji na potrzeby szpiegostwa i instrumentalizacji migracji, natychmiast zwolniła wszystkie europejskie pojazdy ciężarowe i przewożony nimi towar, zrekompensowała przewoźnikom wszelkie straty finansowe oraz zagwarantowała bezpieczeństwo lotnictwa cywilnego i przejść granicznych; potępia reżim Łukaszenki za podżeganie do aktów sabotażu i innych wrogich działań skierowanych przeciwko Litwie i innym państwom członkowskim UE, zapewnianie wsparcia operacyjnego dla tych działań i oferowanie bezpiecznego schronienia sprawcom; wskazuje, że przykładem takich działań jest niedawne wysadzenie torów kolejowych w Polsce oraz udzielenie schronienia sprawcom zabójstwa polskiego żołnierza Mateusza Sitka, zabitego na granicy polsko-białoruskiej; apeluje o natychmiastowe zaprzestanie tych wrogich działań oraz o przekazanie organom ścigania osób odpowiedzialnych za wyżej wymienione poważne przestępstwa;</w:t>
      </w:r>
      <w:r w:rsidRPr="00C05BAF">
        <w:t>;</w:t>
      </w:r>
    </w:p>
    <w:p w14:paraId="63912CD6" w14:textId="77777777" w:rsidR="00AB38E2" w:rsidRPr="00C05BAF" w:rsidRDefault="00AB38E2" w:rsidP="00AB38E2">
      <w:pPr>
        <w:pStyle w:val="NormalHanging12a"/>
      </w:pPr>
      <w:r w:rsidRPr="00C05BAF">
        <w:t>5.</w:t>
      </w:r>
      <w:r w:rsidRPr="00C05BAF">
        <w:tab/>
        <w:t>w pełni popiera prawo Litwy do podejmowania proporcjonalnych środków przeciwko wszelkim atakom w celu ochrony jej suwerenności, porządku publicznego i bezpieczeństwa lotniczego, w tym środków polegających na przechwytywaniu lub neutralizowaniu bezzałogowych obiektów latających pochodzących z Białorusi;</w:t>
      </w:r>
    </w:p>
    <w:p w14:paraId="5371F751" w14:textId="77777777" w:rsidR="00AB38E2" w:rsidRPr="00C05BAF" w:rsidRDefault="00AB38E2" w:rsidP="00AB38E2">
      <w:pPr>
        <w:pStyle w:val="NormalHanging12a"/>
      </w:pPr>
      <w:r w:rsidRPr="00C05BAF">
        <w:t>6.</w:t>
      </w:r>
      <w:r w:rsidRPr="00C05BAF">
        <w:tab/>
        <w:t xml:space="preserve">ubolewa nad brakiem koordynacji w związku tym, że 13 grudnia 2025 r. Stany Zjednoczone częściowo zniosły sankcje wobec Białorusi, co podważa solidarność i zbiorowe wsparcie dla członków UE i NATO będących celem białoruskich ataków hybrydowych; podkreśla, że oświadczenia specjalnego wysłannika USA ds. Białorusi w sprawie faktycznych władz tego kraju, w których zapewniono, że Białoruś zaprzestanie wysyłania balonów, wskazują na to, że przyjmuje ona odpowiedzialność za te działania, </w:t>
      </w:r>
      <w:r w:rsidRPr="00C05BAF">
        <w:lastRenderedPageBreak/>
        <w:t>i są istotne dla ustalenia odpowiedzialności tego państwa na mocy prawa międzynarodowego;</w:t>
      </w:r>
    </w:p>
    <w:p w14:paraId="5629B5A4" w14:textId="77777777" w:rsidR="00AB38E2" w:rsidRPr="00C05BAF" w:rsidRDefault="00AB38E2" w:rsidP="00AB38E2">
      <w:pPr>
        <w:pStyle w:val="NormalHanging12a"/>
      </w:pPr>
      <w:r w:rsidRPr="00C05BAF">
        <w:t>7.</w:t>
      </w:r>
      <w:r w:rsidRPr="00C05BAF">
        <w:tab/>
        <w:t xml:space="preserve">przypomina, że nie uznaje </w:t>
      </w:r>
      <w:proofErr w:type="spellStart"/>
      <w:r w:rsidRPr="00C05BAF">
        <w:t>Alaksandra</w:t>
      </w:r>
      <w:proofErr w:type="spellEnd"/>
      <w:r w:rsidRPr="00C05BAF">
        <w:t xml:space="preserve"> Łukaszenki za prawowitego prezydenta Białorusi; podkreśla, że przeglądy sankcji UE wobec Białorusi lub współpracę z nią trzeba ściśle uzależnić od wprowadzenia przez ten kraj trwałych, weryfikowalnych i nieodwracalnych zmian systemowych, w tym od uwolnienia ponad 1 100 pozostałych więźniów politycznych; wzywa do solidarności w reagowaniu na zagrożenia stwarzane przez reżim Łukaszenki, w szczególności te wywołane instrumentalizacją migracji sterowaną przez państwo; zdecydowanie potępia wykorzystywanie migracji do celów politycznych przez faktyczne władze Białorusi;</w:t>
      </w:r>
    </w:p>
    <w:p w14:paraId="192A3EE7" w14:textId="77777777" w:rsidR="00AB38E2" w:rsidRPr="00C05BAF" w:rsidRDefault="00AB38E2" w:rsidP="00AB38E2">
      <w:pPr>
        <w:pStyle w:val="NormalHanging12a"/>
      </w:pPr>
      <w:r w:rsidRPr="00C05BAF">
        <w:t>8.</w:t>
      </w:r>
      <w:r w:rsidRPr="00C05BAF">
        <w:tab/>
        <w:t>wzywa do zacieśnienia współpracy wywiadowczej między UE a NATO w zakresie bezpieczeństwa przestrzeni powietrznej i przeciwdziałania zagrożeniom hybrydowym; wzywa do zacieśnienia współpracy między UE a NATO w zakresie nadzoru nad litewską przestrzenią powietrzną, w tym do ujednolicenia protokołów klasyfikacji incydentów, zwiększenia lotniczego nadzoru przestrzeni powietrznej i skoordynowanych reakcji na wtargnięcia balonów lub bezzałogowych statków powietrznych; podkreśla, że potrzeba regularnych wspólnych ćwiczeń symulujących hybrydowe zagrożenia z powietrza; apeluje do państw członkowskich, by zadbały o szybki transgraniczny przepływ zasobów wojskowych i środków bezpieczeństwa dla Litwy, w tym budujących zdolności w zakresie obrony powietrznej i zwalczania bezzałogowych statków powietrznych;</w:t>
      </w:r>
    </w:p>
    <w:p w14:paraId="04BBF418" w14:textId="77777777" w:rsidR="00AB38E2" w:rsidRPr="00C05BAF" w:rsidRDefault="00AB38E2" w:rsidP="00AB38E2">
      <w:pPr>
        <w:pStyle w:val="NormalHanging12a"/>
      </w:pPr>
      <w:r w:rsidRPr="00C05BAF">
        <w:t>9.</w:t>
      </w:r>
      <w:r w:rsidRPr="00C05BAF">
        <w:tab/>
        <w:t>wzywa państwa członkowskie i sojuszników NATO do ponownej oceny istniejących ram strategicznych i operacyjnych dotyczących przeciwdziałania zagrożeniom hybrydowym, aby wzmocnić gotowość i zdolności odstraszania oraz wczesnego reagowania, a także aktywnie zapobiegać tym zagrożeniom poprzez odstraszanie zamiast reagować na nie;</w:t>
      </w:r>
    </w:p>
    <w:p w14:paraId="398FFDD5" w14:textId="77777777" w:rsidR="00AB38E2" w:rsidRPr="00C05BAF" w:rsidRDefault="00AB38E2" w:rsidP="00AB38E2">
      <w:pPr>
        <w:pStyle w:val="NormalHanging12a"/>
      </w:pPr>
      <w:r w:rsidRPr="00C05BAF">
        <w:t>10.</w:t>
      </w:r>
      <w:r w:rsidRPr="00C05BAF">
        <w:tab/>
        <w:t>podkreśla, że ochrona i odporność infrastruktury krytycznej, w tym infrastruktury transportowej i lotniczej, muszą być strukturalnie uwzględnione i odpowiednio finansowane w kolejnych WRF;</w:t>
      </w:r>
    </w:p>
    <w:p w14:paraId="6409A84C" w14:textId="77777777" w:rsidR="00AB38E2" w:rsidRPr="00C05BAF" w:rsidRDefault="00AB38E2" w:rsidP="00AB38E2">
      <w:pPr>
        <w:pStyle w:val="NormalHanging12a"/>
      </w:pPr>
      <w:r w:rsidRPr="00C05BAF">
        <w:t>11.</w:t>
      </w:r>
      <w:r w:rsidRPr="00C05BAF">
        <w:tab/>
        <w:t xml:space="preserve">wzywa Komisję i </w:t>
      </w:r>
      <w:proofErr w:type="spellStart"/>
      <w:r w:rsidRPr="00C05BAF">
        <w:t>Frontex</w:t>
      </w:r>
      <w:proofErr w:type="spellEnd"/>
      <w:r w:rsidRPr="00C05BAF">
        <w:t>, aby przy pełnym poszanowaniu swoich mandatów wspierały wzmocnienie nadzoru granic i przestrzeni powietrznej Litwy za pomocą dodatkowych czujników, samolotów patrolowych, przenośnych zestawów do zwalczania bezzałogowych statków powietrznych oraz analizy zagrożeń w czasie rzeczywistym; zauważa, że taktyka hybrydowa Białorusi ujawnia słabości strukturalne, które wymagają wspólnej reakcji UE; z zadowoleniem przyjmuje europejską inicjatywę na rzecz obrony przed dronami jako sztandarowy europejski projekt na rzecz wykrywania, śledzenia i zwalczania wrogich systemów bezzałogowych statków powietrznych; z zadowoleniem odnotowuje propozycję utworzenia „straży wschodniej flanki”, która ma zintegrować zdolności w zakresie obrony powietrznej i zwalczania bezzałogowych statków powietrznych z bezpieczeństwem lądowym i morskim w regionach Morza Bałtyckiego i Morza Czarnego; wzywa Komisję do przygotowania środków ochrony infrastruktury transeuropejskiej sieci transportowej oraz zagwarantowania ciągłości transeuropejskich usług transportowych na wypadek przyszłych ataków hybrydowych; apeluje, by szybko wdrożyć te projekty;</w:t>
      </w:r>
    </w:p>
    <w:p w14:paraId="618A563B" w14:textId="77777777" w:rsidR="00AB38E2" w:rsidRPr="00C05BAF" w:rsidRDefault="00AB38E2" w:rsidP="00AB38E2">
      <w:pPr>
        <w:pStyle w:val="NormalHanging12a"/>
      </w:pPr>
      <w:r w:rsidRPr="00C05BAF">
        <w:t>12.</w:t>
      </w:r>
      <w:r w:rsidRPr="00C05BAF">
        <w:tab/>
        <w:t xml:space="preserve">wzywa do zacieśnienia współpracy między UE a Ukrainą w zakresie technologii </w:t>
      </w:r>
      <w:r w:rsidRPr="00C05BAF">
        <w:lastRenderedPageBreak/>
        <w:t xml:space="preserve">dronów, systemów zwalczania bezzałogowych statków powietrznych, </w:t>
      </w:r>
      <w:proofErr w:type="spellStart"/>
      <w:r w:rsidRPr="00C05BAF">
        <w:t>cyberochrony</w:t>
      </w:r>
      <w:proofErr w:type="spellEnd"/>
      <w:r w:rsidRPr="00C05BAF">
        <w:t xml:space="preserve"> i odporności na zagrożenia hybrydowe i zauważa, że wiedza fachowa Ukrainy jest strategicznie cenna dla bezpieczeństwa UE;</w:t>
      </w:r>
    </w:p>
    <w:p w14:paraId="131B017C" w14:textId="77777777" w:rsidR="00AB38E2" w:rsidRPr="00C05BAF" w:rsidRDefault="00AB38E2" w:rsidP="00AB38E2">
      <w:pPr>
        <w:pStyle w:val="NormalHanging12a"/>
      </w:pPr>
      <w:r w:rsidRPr="00C05BAF">
        <w:t>13.</w:t>
      </w:r>
      <w:r w:rsidRPr="00C05BAF">
        <w:tab/>
        <w:t>z zadowoleniem odnotowuje niedawne przyjęcie nowego kryterium sankcji dotyczącego ataków hybrydowych przeciwko państwom członkowskim; wzywa Radę do przyjęcia dodatkowych ukierunkowanych sankcji wobec białoruskich urzędników, podmiotów państwowych i prywatnych oraz osób fizycznych zaangażowanych w produkcję i wysyłanie bezzałogowych statków powietrznych oraz inne operacje hybrydowe wymierzone w infrastrukturę krytyczną, działalność gospodarczą i instytucje demokratyczne; apeluje do Rady, by przyjęła kolejne środki sektorowe wobec Białorusi, w tym by rozszerzyła ograniczenia dotyczące sektora lotnictwa i sektora finansowego, wprowadziła kolejne zakazy przywozu i inwestycji, rozszerzyła zakazy świadczenia usług, ograniczyła dostęp do stanowisk w organach zarządzających europejską infrastrukturą krytyczną oraz zakazała przyjmowania darowizn od faktycznych władz Białorusi i podmiotów publicznych;</w:t>
      </w:r>
    </w:p>
    <w:p w14:paraId="0E14A2AE" w14:textId="77777777" w:rsidR="00AB38E2" w:rsidRPr="00C05BAF" w:rsidRDefault="00AB38E2" w:rsidP="00AB38E2">
      <w:pPr>
        <w:pStyle w:val="NormalHanging12a"/>
      </w:pPr>
      <w:r w:rsidRPr="00C05BAF">
        <w:t>14.</w:t>
      </w:r>
      <w:r w:rsidRPr="00C05BAF">
        <w:tab/>
        <w:t>apeluje do UE i państw członkowskich, by dążyły do rozliczenia Białorusi na szczeblu międzynarodowym za jej działania, w tym stwarzanie zagrożeń dla lotnictwa cywilnego, bezprawne przetrzymywanie unijnych pojazdów ciężarowych i transgraniczne represje wobec Białorusinów mieszkających w państwach członkowskich UE, oraz by poruszyły te kwestie na odpowiednich forach międzynarodowych;</w:t>
      </w:r>
    </w:p>
    <w:p w14:paraId="48B19C44" w14:textId="77777777" w:rsidR="00AB38E2" w:rsidRPr="00C05BAF" w:rsidRDefault="00AB38E2" w:rsidP="00AB38E2">
      <w:pPr>
        <w:pStyle w:val="NormalHanging12a"/>
      </w:pPr>
      <w:r w:rsidRPr="00C05BAF">
        <w:t>15.</w:t>
      </w:r>
      <w:r w:rsidRPr="00C05BAF">
        <w:tab/>
        <w:t>apeluje do Rady, by w kolejnych WRF uwzględniła priorytety w zakresie bezpieczeństwa na wschodniej granicy, co zagwarantuje trwałe inwestycje UE na rzecz przeciwdziałania zagrożeniom hybrydowym oraz inwestycje poprawiające odporność krytyczną infrastruktury UE, mobilność wojskową i technologie obronne;</w:t>
      </w:r>
    </w:p>
    <w:p w14:paraId="60C4B93D" w14:textId="77777777" w:rsidR="00AB38E2" w:rsidRPr="00C05BAF" w:rsidRDefault="00AB38E2" w:rsidP="00AB38E2">
      <w:pPr>
        <w:pStyle w:val="NormalHanging12a"/>
      </w:pPr>
      <w:r w:rsidRPr="00C05BAF">
        <w:t>16.</w:t>
      </w:r>
      <w:r w:rsidRPr="00C05BAF">
        <w:tab/>
        <w:t xml:space="preserve">sprzeciwia się dezinformacji rozpowszechnianej przez Białoruś, zgodnie z którą fabrykowano dowody i dopuszczono się szpiegostwa; wzywa UE i państwa członkowskie do poprawy komunikacji strategicznej, przeciwdziałania dezinformacji, publicznego przypisywania wrogich działań i wdrożenia zaleceń zawartych w sprawozdaniu </w:t>
      </w:r>
      <w:proofErr w:type="spellStart"/>
      <w:r w:rsidRPr="00C05BAF">
        <w:t>Niinistö</w:t>
      </w:r>
      <w:proofErr w:type="spellEnd"/>
      <w:r w:rsidRPr="00C05BAF">
        <w:t xml:space="preserve"> w celu budowania odporności społeczeństwa;</w:t>
      </w:r>
    </w:p>
    <w:p w14:paraId="76033F82" w14:textId="77777777" w:rsidR="00AB38E2" w:rsidRPr="00C05BAF" w:rsidRDefault="00AB38E2" w:rsidP="00AB38E2">
      <w:pPr>
        <w:pStyle w:val="NormalHanging12a"/>
      </w:pPr>
      <w:r w:rsidRPr="00C05BAF">
        <w:t>17.</w:t>
      </w:r>
      <w:r w:rsidRPr="00C05BAF">
        <w:tab/>
        <w:t>wzywa przedsiębiorstwa europejskie, w szczególności przewoźników, do ponownej oceny zagrożeń dla bezpieczeństwa związanych z działalnością na Białorusi oraz do przyjęcia odpowiednich środków ochronnych;</w:t>
      </w:r>
    </w:p>
    <w:p w14:paraId="75A86312" w14:textId="2AADD7C2" w:rsidR="00C05BAF" w:rsidRPr="00C05BAF" w:rsidRDefault="00AB38E2" w:rsidP="00C05BAF">
      <w:pPr>
        <w:pStyle w:val="NormalHanging12a"/>
      </w:pPr>
      <w:r w:rsidRPr="00C05BAF">
        <w:t>18.</w:t>
      </w:r>
      <w:r w:rsidRPr="00C05BAF">
        <w:tab/>
        <w:t>zobowiązuje swoją przewodniczącą do przekazania niniejszej rezolucji Radzie, Komisji, wiceprzewodniczącej Komisji / wysokiej przedstawicielce Unii do spraw zagranicznych i polityki bezpieczeństwa, państwom członkowskim UE, NATO, Organizacji Narodów Zjednoczonych oraz faktycznym władzom Białorusi.</w:t>
      </w:r>
    </w:p>
    <w:p w14:paraId="415B6780" w14:textId="50F8ABE2" w:rsidR="00E365E1" w:rsidRPr="00C05BAF" w:rsidRDefault="00E365E1" w:rsidP="00942CF4"/>
    <w:sectPr w:rsidR="00E365E1" w:rsidRPr="00C05BAF" w:rsidSect="00C05B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07D80" w14:textId="77777777" w:rsidR="00942CF4" w:rsidRPr="00C05BAF" w:rsidRDefault="00942CF4">
      <w:r w:rsidRPr="00C05BAF">
        <w:separator/>
      </w:r>
    </w:p>
  </w:endnote>
  <w:endnote w:type="continuationSeparator" w:id="0">
    <w:p w14:paraId="00327529" w14:textId="77777777" w:rsidR="00942CF4" w:rsidRPr="00C05BAF" w:rsidRDefault="00942CF4">
      <w:r w:rsidRPr="00C05B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B7BBB" w14:textId="77777777" w:rsidR="00064002" w:rsidRPr="00C05B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089D4" w14:textId="77777777" w:rsidR="00064002" w:rsidRPr="00C05B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1F517" w14:textId="77777777" w:rsidR="00064002" w:rsidRPr="00C05B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8C58C" w14:textId="77777777" w:rsidR="00942CF4" w:rsidRPr="00C05BAF" w:rsidRDefault="00942CF4">
      <w:r w:rsidRPr="00C05BAF">
        <w:separator/>
      </w:r>
    </w:p>
  </w:footnote>
  <w:footnote w:type="continuationSeparator" w:id="0">
    <w:p w14:paraId="2BAE22F3" w14:textId="77777777" w:rsidR="00942CF4" w:rsidRPr="00C05BAF" w:rsidRDefault="00942CF4">
      <w:r w:rsidRPr="00C05BA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E8027" w14:textId="77777777" w:rsidR="00064002" w:rsidRPr="00C05B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8EC48" w14:textId="77777777" w:rsidR="00064002" w:rsidRPr="00C05B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3E6F6" w14:textId="77777777" w:rsidR="00064002" w:rsidRPr="00C05B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1830934">
    <w:abstractNumId w:val="9"/>
  </w:num>
  <w:num w:numId="2" w16cid:durableId="445348085">
    <w:abstractNumId w:val="9"/>
  </w:num>
  <w:num w:numId="3" w16cid:durableId="1412892290">
    <w:abstractNumId w:val="7"/>
  </w:num>
  <w:num w:numId="4" w16cid:durableId="871115831">
    <w:abstractNumId w:val="7"/>
  </w:num>
  <w:num w:numId="5" w16cid:durableId="1074086043">
    <w:abstractNumId w:val="6"/>
  </w:num>
  <w:num w:numId="6" w16cid:durableId="608584962">
    <w:abstractNumId w:val="6"/>
  </w:num>
  <w:num w:numId="7" w16cid:durableId="604071944">
    <w:abstractNumId w:val="5"/>
  </w:num>
  <w:num w:numId="8" w16cid:durableId="1110127674">
    <w:abstractNumId w:val="5"/>
  </w:num>
  <w:num w:numId="9" w16cid:durableId="1026369829">
    <w:abstractNumId w:val="4"/>
  </w:num>
  <w:num w:numId="10" w16cid:durableId="1137143474">
    <w:abstractNumId w:val="4"/>
  </w:num>
  <w:num w:numId="11" w16cid:durableId="1607153972">
    <w:abstractNumId w:val="8"/>
  </w:num>
  <w:num w:numId="12" w16cid:durableId="903182414">
    <w:abstractNumId w:val="8"/>
  </w:num>
  <w:num w:numId="13" w16cid:durableId="812524455">
    <w:abstractNumId w:val="3"/>
  </w:num>
  <w:num w:numId="14" w16cid:durableId="351226546">
    <w:abstractNumId w:val="3"/>
  </w:num>
  <w:num w:numId="15" w16cid:durableId="2130586366">
    <w:abstractNumId w:val="2"/>
  </w:num>
  <w:num w:numId="16" w16cid:durableId="132913797">
    <w:abstractNumId w:val="2"/>
  </w:num>
  <w:num w:numId="17" w16cid:durableId="2026786477">
    <w:abstractNumId w:val="1"/>
  </w:num>
  <w:num w:numId="18" w16cid:durableId="736130498">
    <w:abstractNumId w:val="1"/>
  </w:num>
  <w:num w:numId="19" w16cid:durableId="444615301">
    <w:abstractNumId w:val="0"/>
  </w:num>
  <w:num w:numId="20" w16cid:durableId="1941984015">
    <w:abstractNumId w:val="0"/>
  </w:num>
  <w:num w:numId="21" w16cid:durableId="1674798010">
    <w:abstractNumId w:val="9"/>
  </w:num>
  <w:num w:numId="22" w16cid:durableId="804666668">
    <w:abstractNumId w:val="7"/>
  </w:num>
  <w:num w:numId="23" w16cid:durableId="1122260780">
    <w:abstractNumId w:val="6"/>
  </w:num>
  <w:num w:numId="24" w16cid:durableId="297953685">
    <w:abstractNumId w:val="5"/>
  </w:num>
  <w:num w:numId="25" w16cid:durableId="1343631433">
    <w:abstractNumId w:val="4"/>
  </w:num>
  <w:num w:numId="26" w16cid:durableId="2140948382">
    <w:abstractNumId w:val="8"/>
  </w:num>
  <w:num w:numId="27" w16cid:durableId="863400172">
    <w:abstractNumId w:val="3"/>
  </w:num>
  <w:num w:numId="28" w16cid:durableId="7102603">
    <w:abstractNumId w:val="2"/>
  </w:num>
  <w:num w:numId="29" w16cid:durableId="1040783623">
    <w:abstractNumId w:val="1"/>
  </w:num>
  <w:num w:numId="30" w16cid:durableId="1826434190">
    <w:abstractNumId w:val="0"/>
  </w:num>
  <w:num w:numId="31" w16cid:durableId="606885176">
    <w:abstractNumId w:val="9"/>
  </w:num>
  <w:num w:numId="32" w16cid:durableId="1662342591">
    <w:abstractNumId w:val="7"/>
  </w:num>
  <w:num w:numId="33" w16cid:durableId="1787964508">
    <w:abstractNumId w:val="6"/>
  </w:num>
  <w:num w:numId="34" w16cid:durableId="790901660">
    <w:abstractNumId w:val="5"/>
  </w:num>
  <w:num w:numId="35" w16cid:durableId="562059702">
    <w:abstractNumId w:val="4"/>
  </w:num>
  <w:num w:numId="36" w16cid:durableId="1379551954">
    <w:abstractNumId w:val="8"/>
  </w:num>
  <w:num w:numId="37" w16cid:durableId="1354964986">
    <w:abstractNumId w:val="3"/>
  </w:num>
  <w:num w:numId="38" w16cid:durableId="1534877314">
    <w:abstractNumId w:val="2"/>
  </w:num>
  <w:num w:numId="39" w16cid:durableId="1427186641">
    <w:abstractNumId w:val="1"/>
  </w:num>
  <w:num w:numId="40" w16cid:durableId="1160775406">
    <w:abstractNumId w:val="0"/>
  </w:num>
  <w:num w:numId="41" w16cid:durableId="876888748">
    <w:abstractNumId w:val="10"/>
  </w:num>
  <w:num w:numId="42" w16cid:durableId="1396052524">
    <w:abstractNumId w:val="10"/>
  </w:num>
  <w:num w:numId="43" w16cid:durableId="1929728860">
    <w:abstractNumId w:val="10"/>
  </w:num>
  <w:num w:numId="44" w16cid:durableId="15661440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71/2025"/>
    <w:docVar w:name="dvlangue" w:val="PL"/>
    <w:docVar w:name="dvnumam" w:val="0"/>
    <w:docVar w:name="dvpe" w:val="779.052"/>
    <w:docVar w:name="dvtitre" w:val="Rezolucja Parlamentu Europejskiego z dnia  2025 r. w sprawie ciągłych ataków hybrydowych Białorusi na Litwę (2025/3025(RSP))"/>
  </w:docVars>
  <w:rsids>
    <w:rsidRoot w:val="00942CF4"/>
    <w:rsid w:val="00002272"/>
    <w:rsid w:val="000615A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1A7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CF4"/>
    <w:rsid w:val="009509D8"/>
    <w:rsid w:val="00950B64"/>
    <w:rsid w:val="00981893"/>
    <w:rsid w:val="00A1687D"/>
    <w:rsid w:val="00A43E52"/>
    <w:rsid w:val="00A4678D"/>
    <w:rsid w:val="00A778C7"/>
    <w:rsid w:val="00AB38E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AF"/>
    <w:rsid w:val="00C05BFE"/>
    <w:rsid w:val="00C23CD4"/>
    <w:rsid w:val="00C61C0C"/>
    <w:rsid w:val="00C6290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E5C"/>
    <w:rsid w:val="00F04346"/>
    <w:rsid w:val="00F075DC"/>
    <w:rsid w:val="00F149E9"/>
    <w:rsid w:val="00F5134D"/>
    <w:rsid w:val="00F74202"/>
    <w:rsid w:val="00F87713"/>
    <w:rsid w:val="00FB4360"/>
    <w:rsid w:val="00FD0C70"/>
    <w:rsid w:val="00FF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23F068"/>
  <w15:chartTrackingRefBased/>
  <w15:docId w15:val="{7157E205-91FE-4696-9C38-8A6ABAB9E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B38E2"/>
    <w:pPr>
      <w:spacing w:after="240"/>
      <w:ind w:left="567" w:hanging="567"/>
    </w:pPr>
  </w:style>
  <w:style w:type="paragraph" w:customStyle="1" w:styleId="EPComma">
    <w:name w:val="EPComma"/>
    <w:basedOn w:val="Normal"/>
    <w:rsid w:val="00AB38E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AB38E2"/>
    <w:rPr>
      <w:sz w:val="24"/>
      <w:lang w:val="pl-PL"/>
    </w:rPr>
  </w:style>
  <w:style w:type="paragraph" w:styleId="Revision">
    <w:name w:val="Revision"/>
    <w:hidden/>
    <w:uiPriority w:val="99"/>
    <w:semiHidden/>
    <w:rsid w:val="00C6290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1793</Words>
  <Characters>12504</Characters>
  <Application>Microsoft Office Word</Application>
  <DocSecurity>0</DocSecurity>
  <Lines>104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2025-12-18T13:06:00Z</dcterms:created>
  <dcterms:modified xsi:type="dcterms:W3CDTF">2025-12-18T13:06:00Z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B10-0571/2025</vt:lpwstr>
  </property>
  <property fmtid="{D5CDD505-2E9C-101B-9397-08002B2CF9AE}" pid="4" name="&lt;Type&gt;">
    <vt:lpwstr>RR</vt:lpwstr>
  </property>
</Properties>
</file>