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718D" w14:paraId="7C5C9B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414E0A" w14:textId="77777777" w:rsidR="00751A4A" w:rsidRPr="0093718D" w:rsidRDefault="0053043C" w:rsidP="0010095E">
            <w:pPr>
              <w:pStyle w:val="EPName"/>
            </w:pPr>
            <w:r w:rsidRPr="0093718D">
              <w:t xml:space="preserve">Parlamento </w:t>
            </w:r>
            <w:proofErr w:type="gramStart"/>
            <w:r w:rsidRPr="0093718D">
              <w:t>Europeu</w:t>
            </w:r>
            <w:proofErr w:type="gramEnd"/>
          </w:p>
          <w:p w14:paraId="5D5BA667" w14:textId="77777777" w:rsidR="00751A4A" w:rsidRPr="009371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718D">
              <w:t>2024</w:t>
            </w:r>
            <w:r w:rsidR="00817416" w:rsidRPr="0093718D">
              <w:t>-202</w:t>
            </w:r>
            <w:r w:rsidRPr="0093718D">
              <w:t>9</w:t>
            </w:r>
          </w:p>
        </w:tc>
        <w:tc>
          <w:tcPr>
            <w:tcW w:w="2268" w:type="dxa"/>
            <w:shd w:val="clear" w:color="auto" w:fill="auto"/>
          </w:tcPr>
          <w:p w14:paraId="200BB648" w14:textId="77777777" w:rsidR="00751A4A" w:rsidRPr="0093718D" w:rsidRDefault="00187494" w:rsidP="0010095E">
            <w:pPr>
              <w:pStyle w:val="EPLogo"/>
            </w:pPr>
            <w:r w:rsidRPr="0093718D">
              <w:rPr>
                <w:noProof/>
                <w:lang w:eastAsia="ja-JP"/>
              </w:rPr>
              <w:drawing>
                <wp:inline distT="0" distB="0" distL="0" distR="0" wp14:anchorId="4C34ABA8" wp14:editId="1BAA2A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7486F" w14:textId="77777777" w:rsidR="00D058B8" w:rsidRPr="0093718D" w:rsidRDefault="00D058B8" w:rsidP="004C5D52">
      <w:pPr>
        <w:pStyle w:val="LineTop"/>
      </w:pPr>
    </w:p>
    <w:p w14:paraId="1D6273E9" w14:textId="77777777" w:rsidR="00680577" w:rsidRPr="0093718D" w:rsidRDefault="0053043C" w:rsidP="00680577">
      <w:pPr>
        <w:pStyle w:val="EPBodyTA1"/>
      </w:pPr>
      <w:r w:rsidRPr="0093718D">
        <w:t>TEXTOS APROVADOS</w:t>
      </w:r>
    </w:p>
    <w:p w14:paraId="65058437" w14:textId="77777777" w:rsidR="00D058B8" w:rsidRPr="0093718D" w:rsidRDefault="00D058B8" w:rsidP="00D058B8">
      <w:pPr>
        <w:pStyle w:val="LineBottom"/>
      </w:pPr>
    </w:p>
    <w:p w14:paraId="1FAE1244" w14:textId="5F119EAF" w:rsidR="0053043C" w:rsidRPr="0093718D" w:rsidRDefault="0053043C" w:rsidP="0053043C">
      <w:pPr>
        <w:pStyle w:val="ATHeading1"/>
      </w:pPr>
      <w:bookmarkStart w:id="0" w:name="TANumber"/>
      <w:r w:rsidRPr="0093718D">
        <w:t>P10_</w:t>
      </w:r>
      <w:proofErr w:type="gramStart"/>
      <w:r w:rsidRPr="0093718D">
        <w:t>TA(</w:t>
      </w:r>
      <w:proofErr w:type="gramEnd"/>
      <w:r w:rsidRPr="0093718D">
        <w:t>2025)</w:t>
      </w:r>
      <w:bookmarkEnd w:id="0"/>
      <w:r w:rsidR="00B54CF5" w:rsidRPr="0093718D">
        <w:t>0345</w:t>
      </w:r>
    </w:p>
    <w:p w14:paraId="73FF7DD6" w14:textId="77777777" w:rsidR="0053043C" w:rsidRPr="0093718D" w:rsidRDefault="0053043C" w:rsidP="0053043C">
      <w:pPr>
        <w:pStyle w:val="ATHeading2"/>
      </w:pPr>
      <w:bookmarkStart w:id="1" w:name="title"/>
      <w:r w:rsidRPr="0093718D">
        <w:t>Ataques híbridos contínuos da Bielorrússia contra a Lituânia</w:t>
      </w:r>
      <w:bookmarkEnd w:id="1"/>
    </w:p>
    <w:p w14:paraId="2B8B715B" w14:textId="77777777" w:rsidR="0053043C" w:rsidRPr="0093718D" w:rsidRDefault="0053043C" w:rsidP="0053043C">
      <w:pPr>
        <w:rPr>
          <w:i/>
          <w:vanish/>
        </w:rPr>
      </w:pPr>
      <w:r w:rsidRPr="0093718D">
        <w:rPr>
          <w:i/>
        </w:rPr>
        <w:fldChar w:fldCharType="begin"/>
      </w:r>
      <w:r w:rsidRPr="0093718D">
        <w:rPr>
          <w:i/>
        </w:rPr>
        <w:instrText xml:space="preserve"> TC"(</w:instrText>
      </w:r>
      <w:bookmarkStart w:id="2" w:name="DocNumber"/>
      <w:r w:rsidRPr="0093718D">
        <w:rPr>
          <w:i/>
        </w:rPr>
        <w:instrText>B10-0571, 0578, 0582, 0585 e 0587/2025</w:instrText>
      </w:r>
      <w:bookmarkEnd w:id="2"/>
      <w:r w:rsidRPr="0093718D">
        <w:rPr>
          <w:i/>
        </w:rPr>
        <w:instrText xml:space="preserve">)"\l3 \n&gt; \* MERGEFORMAT </w:instrText>
      </w:r>
      <w:r w:rsidRPr="0093718D">
        <w:rPr>
          <w:i/>
        </w:rPr>
        <w:fldChar w:fldCharType="end"/>
      </w:r>
    </w:p>
    <w:p w14:paraId="1F887838" w14:textId="77777777" w:rsidR="0053043C" w:rsidRPr="0093718D" w:rsidRDefault="0053043C" w:rsidP="0053043C">
      <w:pPr>
        <w:rPr>
          <w:vanish/>
        </w:rPr>
      </w:pPr>
      <w:bookmarkStart w:id="3" w:name="PE"/>
      <w:r w:rsidRPr="0093718D">
        <w:rPr>
          <w:vanish/>
        </w:rPr>
        <w:t>PE779.052</w:t>
      </w:r>
      <w:bookmarkEnd w:id="3"/>
    </w:p>
    <w:p w14:paraId="1D880244" w14:textId="4F95926B" w:rsidR="0053043C" w:rsidRPr="0093718D" w:rsidRDefault="0053043C" w:rsidP="0053043C">
      <w:pPr>
        <w:pStyle w:val="ATHeading3"/>
      </w:pPr>
      <w:bookmarkStart w:id="4" w:name="Sujet"/>
      <w:r w:rsidRPr="0093718D">
        <w:t xml:space="preserve">Resolução do Parlamento Europeu, de </w:t>
      </w:r>
      <w:r w:rsidR="00B54CF5" w:rsidRPr="0093718D">
        <w:t xml:space="preserve">18 </w:t>
      </w:r>
      <w:r w:rsidRPr="0093718D">
        <w:t xml:space="preserve">de </w:t>
      </w:r>
      <w:r w:rsidR="00B54CF5" w:rsidRPr="0093718D">
        <w:t xml:space="preserve">dezembro </w:t>
      </w:r>
      <w:r w:rsidRPr="0093718D">
        <w:t xml:space="preserve">de 2025, sobre os ataques híbridos contínuos da Bielorrússia contra a Lituânia </w:t>
      </w:r>
      <w:bookmarkStart w:id="5" w:name="References"/>
      <w:bookmarkEnd w:id="4"/>
      <w:r w:rsidRPr="0093718D">
        <w:t>(2025/3025(RSP))</w:t>
      </w:r>
      <w:bookmarkEnd w:id="5"/>
    </w:p>
    <w:p w14:paraId="31575EBC" w14:textId="77777777" w:rsidR="003F0BB1" w:rsidRPr="0093718D" w:rsidRDefault="003F0BB1" w:rsidP="003F0BB1">
      <w:pPr>
        <w:pStyle w:val="EPComma"/>
      </w:pPr>
      <w:bookmarkStart w:id="6" w:name="TextBodyBegin"/>
      <w:bookmarkStart w:id="7" w:name="_Hlk216878219"/>
      <w:bookmarkEnd w:id="6"/>
      <w:r w:rsidRPr="0093718D">
        <w:rPr>
          <w:i/>
        </w:rPr>
        <w:t>O Parlamento Europeu</w:t>
      </w:r>
      <w:r w:rsidRPr="0093718D">
        <w:t>,</w:t>
      </w:r>
    </w:p>
    <w:bookmarkEnd w:id="7"/>
    <w:p w14:paraId="7FDA0E29" w14:textId="77777777" w:rsidR="003F0BB1" w:rsidRPr="0093718D" w:rsidRDefault="003F0BB1" w:rsidP="003F0BB1">
      <w:pPr>
        <w:pStyle w:val="NormalHanging12a"/>
      </w:pPr>
      <w:r w:rsidRPr="0093718D">
        <w:t>–</w:t>
      </w:r>
      <w:r w:rsidRPr="0093718D">
        <w:tab/>
        <w:t>Tendo em conta as suas anteriores resoluções sobre a Bielorrússia, a Rússia e a Ucrânia,</w:t>
      </w:r>
    </w:p>
    <w:p w14:paraId="6B5E401D" w14:textId="77777777" w:rsidR="003F0BB1" w:rsidRPr="0093718D" w:rsidRDefault="003F0BB1" w:rsidP="003F0BB1">
      <w:pPr>
        <w:pStyle w:val="NormalHanging12a"/>
      </w:pPr>
      <w:r w:rsidRPr="0093718D">
        <w:t>–</w:t>
      </w:r>
      <w:r w:rsidRPr="0093718D">
        <w:tab/>
        <w:t>Tendo em conta a declaração de 29 de outubro de 2025 da alta representante da União para os Negócios Estrangeiros e a Política de Segurança, em nome da UE, sobre as intervenções híbridas da Bielorrússia na fronteira externa da UE,</w:t>
      </w:r>
    </w:p>
    <w:p w14:paraId="19CE973E" w14:textId="77777777" w:rsidR="003F0BB1" w:rsidRPr="0093718D" w:rsidRDefault="003F0BB1" w:rsidP="003F0BB1">
      <w:pPr>
        <w:pStyle w:val="NormalHanging12a"/>
      </w:pPr>
      <w:r w:rsidRPr="0093718D">
        <w:t>–</w:t>
      </w:r>
      <w:r w:rsidRPr="0093718D">
        <w:tab/>
        <w:t>Tendo em conta a Carta das Nações Unidas, a Ata Final de Helsínquia e os princípios fundamentais do direito internacional,</w:t>
      </w:r>
    </w:p>
    <w:p w14:paraId="258CDEFF" w14:textId="77777777" w:rsidR="003F0BB1" w:rsidRPr="0093718D" w:rsidRDefault="003F0BB1" w:rsidP="003F0BB1">
      <w:pPr>
        <w:pStyle w:val="NormalHanging12a"/>
      </w:pPr>
      <w:r w:rsidRPr="0093718D">
        <w:t>–</w:t>
      </w:r>
      <w:r w:rsidRPr="0093718D">
        <w:tab/>
        <w:t xml:space="preserve">Tendo em conta o artigo 136.º, </w:t>
      </w:r>
      <w:proofErr w:type="spellStart"/>
      <w:proofErr w:type="gramStart"/>
      <w:r w:rsidRPr="0093718D">
        <w:t>n.</w:t>
      </w:r>
      <w:r w:rsidRPr="0093718D">
        <w:rPr>
          <w:vertAlign w:val="superscript"/>
        </w:rPr>
        <w:t>os</w:t>
      </w:r>
      <w:proofErr w:type="spellEnd"/>
      <w:proofErr w:type="gramEnd"/>
      <w:r w:rsidRPr="0093718D">
        <w:t xml:space="preserve"> 2 e 4, do seu Regimento,</w:t>
      </w:r>
    </w:p>
    <w:p w14:paraId="28539C54" w14:textId="77777777" w:rsidR="003F0BB1" w:rsidRPr="0093718D" w:rsidRDefault="003F0BB1" w:rsidP="003F0BB1">
      <w:pPr>
        <w:pStyle w:val="NormalHanging12a"/>
      </w:pPr>
      <w:r w:rsidRPr="0093718D">
        <w:t>A.</w:t>
      </w:r>
      <w:r w:rsidRPr="0093718D">
        <w:tab/>
        <w:t>Considerando que a Bielorrússia intensificou as suas operações híbridas contra a Lituânia, incluindo a projeção de veículos aéreos não tripulados (UAV) e de balões, ciberataques e campanhas de desinformação, e continua a instrumentalizar a migração;</w:t>
      </w:r>
    </w:p>
    <w:p w14:paraId="2AA10521" w14:textId="15E48E5C" w:rsidR="003F0BB1" w:rsidRPr="0093718D" w:rsidRDefault="003F0BB1" w:rsidP="003F0BB1">
      <w:pPr>
        <w:pStyle w:val="NormalHanging12a"/>
      </w:pPr>
      <w:r w:rsidRPr="0093718D">
        <w:t>B.</w:t>
      </w:r>
      <w:r w:rsidRPr="0093718D">
        <w:tab/>
        <w:t>Considerando que estas ações devem ser entendidas no contexto da guerra de agressão da Rússia contra a Ucrânia e da sua estratégia mais ampla para desestabilizar a UE e a NATO</w:t>
      </w:r>
      <w:r w:rsidR="00B54CF5" w:rsidRPr="0093718D">
        <w:t>; considerando que</w:t>
      </w:r>
      <w:r w:rsidRPr="0093718D">
        <w:t xml:space="preserve"> a Bielorrússia é uma plataforma para as operações híbridas da Rússia contra a Europa</w:t>
      </w:r>
      <w:r w:rsidR="00B54CF5" w:rsidRPr="0093718D">
        <w:t>; considerando que</w:t>
      </w:r>
      <w:r w:rsidRPr="0093718D">
        <w:t xml:space="preserve"> as avaliações dos serviços de informações e de segurança em toda a UE indicam que as táticas híbridas bielorrussas estão estreitamente alinhadas com a estratégia mais ampla de hostilidade da Rússia contra a UE e os seus Estados</w:t>
      </w:r>
      <w:r w:rsidRPr="0093718D">
        <w:noBreakHyphen/>
        <w:t>Membros, e contribuem para essa estratégia;</w:t>
      </w:r>
    </w:p>
    <w:p w14:paraId="7E4E88D1" w14:textId="77777777" w:rsidR="003F0BB1" w:rsidRPr="0093718D" w:rsidRDefault="003F0BB1" w:rsidP="003F0BB1">
      <w:pPr>
        <w:pStyle w:val="NormalHanging12a"/>
      </w:pPr>
      <w:r w:rsidRPr="0093718D">
        <w:t>C.</w:t>
      </w:r>
      <w:r w:rsidRPr="0093718D">
        <w:tab/>
        <w:t>Considerando que, desde 2024, a Lituânia registou centenas de violações do espaço aéreo por objetos lançados da Bielorrússia, incluindo balões meteorológicos, nenhum dos quais havia sido notificado às autoridades da aviação, o que constitui uma violação das regras de segurança internacionais e da soberania lituana;</w:t>
      </w:r>
    </w:p>
    <w:p w14:paraId="25E3C538" w14:textId="77777777" w:rsidR="003F0BB1" w:rsidRPr="0093718D" w:rsidRDefault="003F0BB1" w:rsidP="003F0BB1">
      <w:pPr>
        <w:pStyle w:val="NormalHanging12a"/>
      </w:pPr>
      <w:r w:rsidRPr="0093718D">
        <w:t>D.</w:t>
      </w:r>
      <w:r w:rsidRPr="0093718D">
        <w:tab/>
        <w:t xml:space="preserve">Considerando que estas incursões, nomeadamente na proximidade dos aeroportos de Vílnius e de Kaunas, põem vidas em perigo, fragilizam a segurança e perturbam a aviação civil, e já provocaram 19 encerramentos de aeroportos, que afetaram centenas </w:t>
      </w:r>
      <w:r w:rsidRPr="0093718D">
        <w:lastRenderedPageBreak/>
        <w:t>de voos e dezenas de milhares de passageiros, causando prejuízos económicos consideráveis;</w:t>
      </w:r>
    </w:p>
    <w:p w14:paraId="2E11C299" w14:textId="77777777" w:rsidR="003F0BB1" w:rsidRPr="0093718D" w:rsidRDefault="003F0BB1" w:rsidP="003F0BB1">
      <w:pPr>
        <w:pStyle w:val="NormalHanging12a"/>
      </w:pPr>
      <w:r w:rsidRPr="0093718D">
        <w:t>E.</w:t>
      </w:r>
      <w:r w:rsidRPr="0093718D">
        <w:tab/>
        <w:t xml:space="preserve">Considerando que as autoridades lituanas comunicaram uma importante escalada das atividades híbridas com origem na Bielorrússia, tendo detetado a intrusão de três balões em 2023, 184 balões em 2024, e cerca de 700 balões e 200 </w:t>
      </w:r>
      <w:proofErr w:type="spellStart"/>
      <w:r w:rsidRPr="0093718D">
        <w:rPr>
          <w:i/>
        </w:rPr>
        <w:t>drones</w:t>
      </w:r>
      <w:proofErr w:type="spellEnd"/>
      <w:r w:rsidRPr="0093718D">
        <w:t xml:space="preserve"> em 2025;</w:t>
      </w:r>
    </w:p>
    <w:p w14:paraId="7A632578" w14:textId="77777777" w:rsidR="003F0BB1" w:rsidRPr="0093718D" w:rsidRDefault="003F0BB1" w:rsidP="003F0BB1">
      <w:pPr>
        <w:pStyle w:val="NormalHanging12a"/>
      </w:pPr>
      <w:r w:rsidRPr="0093718D">
        <w:t>F.</w:t>
      </w:r>
      <w:r w:rsidRPr="0093718D">
        <w:tab/>
        <w:t>Considerando que os serviços de segurança lituanos recuperaram fragmentos de UAV e de balões lançados pela Bielorrússia, que apontam para um envio controlado e para a presença de instrumentos eletrónicos de bordo e, num caso específico, de materiais explosivos;</w:t>
      </w:r>
    </w:p>
    <w:p w14:paraId="48A16E25" w14:textId="77777777" w:rsidR="003F0BB1" w:rsidRPr="0093718D" w:rsidRDefault="003F0BB1" w:rsidP="003F0BB1">
      <w:pPr>
        <w:pStyle w:val="NormalHanging12a"/>
      </w:pPr>
      <w:r w:rsidRPr="0093718D">
        <w:t>G.</w:t>
      </w:r>
      <w:r w:rsidRPr="0093718D">
        <w:tab/>
        <w:t>Considerando que, desde a decisão da Lituânia de encerrar temporariamente a sua fronteira com a Bielorrússia, as autoridades de facto bielorrussas têm recorrido à coerção económica, detendo veículos de transporte de mercadorias europeus, ameaçando o seu confisco e obstruindo o comércio transfronteiriço lícito;</w:t>
      </w:r>
    </w:p>
    <w:p w14:paraId="740B5D87" w14:textId="7C36252D" w:rsidR="003F0BB1" w:rsidRPr="0093718D" w:rsidRDefault="003F0BB1" w:rsidP="003F0BB1">
      <w:pPr>
        <w:pStyle w:val="NormalHanging12a"/>
      </w:pPr>
      <w:r w:rsidRPr="0093718D">
        <w:t>H.</w:t>
      </w:r>
      <w:r w:rsidRPr="0093718D">
        <w:tab/>
        <w:t>Considerando que, desde 2021, a Bielorrússia tem sistematicamente instrumentalizado a migração, conduzindo migrantes em situação irregular para a fronteira lituana no âmbito de uma estratégia deliberada de desestabilização</w:t>
      </w:r>
      <w:r w:rsidR="00B54CF5" w:rsidRPr="0093718D">
        <w:t>; considerando que</w:t>
      </w:r>
      <w:r w:rsidRPr="0093718D">
        <w:t>, consideradas em conjunto, as incursões de UAV e de balões, as campanhas de desinformação e a pressão exercida nas fronteiras enformam um padrão de agressão híbrida coordenada contra a Lituânia e a UE;</w:t>
      </w:r>
    </w:p>
    <w:p w14:paraId="730FE6F2" w14:textId="77777777" w:rsidR="003F0BB1" w:rsidRPr="0093718D" w:rsidRDefault="003F0BB1" w:rsidP="003F0BB1">
      <w:pPr>
        <w:pStyle w:val="NormalHanging12a"/>
      </w:pPr>
      <w:r w:rsidRPr="0093718D">
        <w:t>I.</w:t>
      </w:r>
      <w:r w:rsidRPr="0093718D">
        <w:tab/>
        <w:t>Considerando que, em 9 de dezembro de 2025, na sequência de um aumento acentuado de balões lançados da Bielorrússia, a Lituânia declarou o estado de emergência nacional e autorizou o abate de objetos aéreos não tripulados;</w:t>
      </w:r>
    </w:p>
    <w:p w14:paraId="441BC920" w14:textId="443D33AC" w:rsidR="003F0BB1" w:rsidRPr="0093718D" w:rsidRDefault="003F0BB1" w:rsidP="003F0BB1">
      <w:pPr>
        <w:pStyle w:val="NormalHanging12a"/>
      </w:pPr>
      <w:r w:rsidRPr="0093718D">
        <w:t>J.</w:t>
      </w:r>
      <w:r w:rsidRPr="0093718D">
        <w:tab/>
        <w:t>Considerando que a Bielorrússia tentou desviar a responsabilidade, acusando falsamente a Lituânia de espionagem e fabricando provas, refletindo as táticas de guerra de informação russas estabelecidas que visam minar a confiança pública e desviar a responsabilidade</w:t>
      </w:r>
      <w:r w:rsidR="00B54CF5" w:rsidRPr="0093718D">
        <w:t>; considerando que</w:t>
      </w:r>
      <w:r w:rsidRPr="0093718D">
        <w:t xml:space="preserve"> a luta contra estas ações exige coordenação a nível da UE e da NATO;</w:t>
      </w:r>
    </w:p>
    <w:p w14:paraId="78FFAA29" w14:textId="7AF41EEE" w:rsidR="003F0BB1" w:rsidRPr="0093718D" w:rsidRDefault="003F0BB1" w:rsidP="003F0BB1">
      <w:pPr>
        <w:pStyle w:val="NormalHanging12a"/>
      </w:pPr>
      <w:r w:rsidRPr="0093718D">
        <w:t>K.</w:t>
      </w:r>
      <w:r w:rsidRPr="0093718D">
        <w:tab/>
        <w:t>Considerando que a Bielorrússia coopera de forma cada vez mais estreita com a Rússia no domínio militar e da informação e depende cada vez mais deste aliado, incluindo no que respeita a estruturas partilhadas de defesa aérea, à transferência de tecnologia em sistemas de UAV e a operações híbridas coordenadas que visam os Estados</w:t>
      </w:r>
      <w:r w:rsidRPr="0093718D">
        <w:noBreakHyphen/>
        <w:t>Membros da UE</w:t>
      </w:r>
      <w:r w:rsidR="00B54CF5" w:rsidRPr="0093718D">
        <w:t>; considerando que</w:t>
      </w:r>
      <w:r w:rsidRPr="0093718D">
        <w:t xml:space="preserve"> estes ataques híbridos servem os interesses estratégicos do Kremlin, pois testam os sistemas de deteção e defesa aérea, sondam os limiares de resposta e fragilizam a coesão da NATO e da UE;</w:t>
      </w:r>
    </w:p>
    <w:p w14:paraId="032FE96C" w14:textId="02537B50" w:rsidR="003F0BB1" w:rsidRPr="0093718D" w:rsidRDefault="003F0BB1" w:rsidP="003F0BB1">
      <w:pPr>
        <w:pStyle w:val="NormalHanging12a"/>
      </w:pPr>
      <w:r w:rsidRPr="0093718D">
        <w:t>L.</w:t>
      </w:r>
      <w:r w:rsidRPr="0093718D">
        <w:tab/>
        <w:t>Considerando que o flanco oriental da UE constitui uma zona estratégica para a segurança global da Europa, o que exige infraestruturas reforçadas, capacidades de vigilância acrescidas e mecanismos de reforço rápido eficazes</w:t>
      </w:r>
      <w:r w:rsidR="00B54CF5" w:rsidRPr="0093718D">
        <w:t>; considerando que</w:t>
      </w:r>
      <w:r w:rsidRPr="0093718D">
        <w:t xml:space="preserve"> a experiência da Lituânia demonstra a necessidade urgente de uma ação coordenada da UE, de capacidades inovadoras e eficazes de defesa contra UAV, de tecnologias de proteção das fronteiras e de uma partilha de informações rápida entre os Estados</w:t>
      </w:r>
      <w:r w:rsidRPr="0093718D">
        <w:noBreakHyphen/>
        <w:t>Membros;</w:t>
      </w:r>
    </w:p>
    <w:p w14:paraId="601A97E5" w14:textId="57AE6070" w:rsidR="003F0BB1" w:rsidRPr="0093718D" w:rsidRDefault="003F0BB1" w:rsidP="003F0BB1">
      <w:pPr>
        <w:pStyle w:val="NormalHanging12a"/>
      </w:pPr>
      <w:r w:rsidRPr="0093718D">
        <w:t>M.</w:t>
      </w:r>
      <w:r w:rsidRPr="0093718D">
        <w:tab/>
        <w:t xml:space="preserve">Considerando que, no documento intitulado «Preservar a Paz </w:t>
      </w:r>
      <w:r w:rsidR="000660C9" w:rsidRPr="0093718D">
        <w:t xml:space="preserve">– </w:t>
      </w:r>
      <w:r w:rsidRPr="0093718D">
        <w:t xml:space="preserve">Roteiro sobre a </w:t>
      </w:r>
      <w:r w:rsidRPr="0093718D">
        <w:lastRenderedPageBreak/>
        <w:t xml:space="preserve">Prontidão no domínio da Defesa 2030», a Iniciativa de Defesa Europeia </w:t>
      </w:r>
      <w:proofErr w:type="spellStart"/>
      <w:r w:rsidRPr="0093718D">
        <w:t>Antidrones</w:t>
      </w:r>
      <w:proofErr w:type="spellEnd"/>
      <w:r w:rsidRPr="0093718D">
        <w:t xml:space="preserve"> e a Vigilância do Flanco Oriental são destacadas como as iniciativas cujo lançamento é prioritário;</w:t>
      </w:r>
    </w:p>
    <w:p w14:paraId="774206DB" w14:textId="77777777" w:rsidR="003F0BB1" w:rsidRPr="0093718D" w:rsidRDefault="003F0BB1" w:rsidP="003F0BB1">
      <w:pPr>
        <w:pStyle w:val="NormalHanging12a"/>
      </w:pPr>
      <w:r w:rsidRPr="0093718D">
        <w:t>N.</w:t>
      </w:r>
      <w:r w:rsidRPr="0093718D">
        <w:tab/>
        <w:t>Considerando que os EUA decidiram levantar algumas das sanções contra a Bielorrússia sem coordenação prévia com a UE;</w:t>
      </w:r>
    </w:p>
    <w:p w14:paraId="3B0DE829" w14:textId="77777777" w:rsidR="003F0BB1" w:rsidRPr="0093718D" w:rsidRDefault="003F0BB1" w:rsidP="003F0BB1">
      <w:pPr>
        <w:pStyle w:val="NormalHanging12a"/>
      </w:pPr>
      <w:r w:rsidRPr="0093718D">
        <w:t>1.</w:t>
      </w:r>
      <w:r w:rsidRPr="0093718D">
        <w:tab/>
        <w:t>Condena veementemente os ataques híbridos em curso da Bielorrússia contra a Lituânia e, por conseguinte, contra a UE, notadamente as incursões de UAV e de balões, a instrumentalização da migração, a coerção económica, as operações de contrabando, as provocações militares, os ciberataques e a desinformação patrocinada pelo Estado; considera que estes ataques são deliberados, coordenados e hostis e fazem parte de uma estratégia mais ampla, liderada pela Rússia, para fragilizar a UE, os Governos dos Estados</w:t>
      </w:r>
      <w:r w:rsidRPr="0093718D">
        <w:noBreakHyphen/>
        <w:t>Membros e a NATO;</w:t>
      </w:r>
    </w:p>
    <w:p w14:paraId="1F903640" w14:textId="77777777" w:rsidR="003F0BB1" w:rsidRPr="0093718D" w:rsidRDefault="003F0BB1" w:rsidP="003F0BB1">
      <w:pPr>
        <w:pStyle w:val="NormalHanging12a"/>
      </w:pPr>
      <w:r w:rsidRPr="0093718D">
        <w:t>2.</w:t>
      </w:r>
      <w:r w:rsidRPr="0093718D">
        <w:tab/>
        <w:t xml:space="preserve">Condena as medidas de retaliação tomadas pelo regime de </w:t>
      </w:r>
      <w:proofErr w:type="spellStart"/>
      <w:r w:rsidRPr="0093718D">
        <w:t>Lukashenko</w:t>
      </w:r>
      <w:proofErr w:type="spellEnd"/>
      <w:r w:rsidRPr="0093718D">
        <w:t xml:space="preserve"> contra a Lituânia, incluindo a detenção ilegal e a intimidação de operadores europeus de transporte de mercadorias, que constituem atos de coerção contra um Estado</w:t>
      </w:r>
      <w:r w:rsidRPr="0093718D">
        <w:noBreakHyphen/>
        <w:t>Membro da UE;</w:t>
      </w:r>
    </w:p>
    <w:p w14:paraId="7A7E086B" w14:textId="77777777" w:rsidR="003F0BB1" w:rsidRPr="0093718D" w:rsidRDefault="003F0BB1" w:rsidP="003F0BB1">
      <w:pPr>
        <w:pStyle w:val="NormalHanging12a"/>
      </w:pPr>
      <w:r w:rsidRPr="0093718D">
        <w:t>3.</w:t>
      </w:r>
      <w:r w:rsidRPr="0093718D">
        <w:tab/>
        <w:t>Manifesta total solidariedade com a Lituânia e outros Estados</w:t>
      </w:r>
      <w:r w:rsidRPr="0093718D">
        <w:noBreakHyphen/>
        <w:t>Membros visados por ataques híbridos bielorrussos; reitera que as ameaças à segurança de um Estado</w:t>
      </w:r>
      <w:r w:rsidRPr="0093718D">
        <w:noBreakHyphen/>
        <w:t>Membro afetam a UE no seu todo e exigem uma resposta unida;</w:t>
      </w:r>
    </w:p>
    <w:p w14:paraId="5015E289" w14:textId="410DA84A" w:rsidR="003F0BB1" w:rsidRPr="0093718D" w:rsidRDefault="003F0BB1" w:rsidP="003F0BB1">
      <w:pPr>
        <w:pStyle w:val="NormalHanging12a"/>
      </w:pPr>
      <w:r w:rsidRPr="0093718D">
        <w:t>4.</w:t>
      </w:r>
      <w:r w:rsidRPr="0093718D">
        <w:tab/>
        <w:t>Exige que a Bielorrússia cesse de imediato todos os ataques híbridos contra a Lituânia</w:t>
      </w:r>
      <w:r w:rsidR="00B54CF5" w:rsidRPr="0093718D">
        <w:t xml:space="preserve"> e outros Estados</w:t>
      </w:r>
      <w:r w:rsidR="00AD6D5D" w:rsidRPr="0093718D">
        <w:noBreakHyphen/>
      </w:r>
      <w:r w:rsidR="00B54CF5" w:rsidRPr="0093718D">
        <w:t>Membros</w:t>
      </w:r>
      <w:r w:rsidRPr="0093718D">
        <w:t>, nomeadamente o lançamento de dispositivos não tripulados, o contrabando, a criminalidade organizada apoiada pelo regime, a desinformação, a coerção económica, o recrutamento de informadores e a instrumentalização da migração, liberte imediatamente todos os transportadores de mercadorias europeus e as suas cargas, indemnize os transportadores por todos os prejuízos financeiros e garanta a segurança da aviação civil e das passagens de fronteira;</w:t>
      </w:r>
      <w:r w:rsidR="00B54CF5" w:rsidRPr="0093718D">
        <w:t xml:space="preserve"> condena o regime de </w:t>
      </w:r>
      <w:proofErr w:type="spellStart"/>
      <w:r w:rsidR="00B54CF5" w:rsidRPr="0093718D">
        <w:t>Lukashenko</w:t>
      </w:r>
      <w:proofErr w:type="spellEnd"/>
      <w:r w:rsidR="00B54CF5" w:rsidRPr="0093718D">
        <w:t xml:space="preserve"> por instigar atos de sabotagem e outras ações hostis contra a Lituânia e outros Estados</w:t>
      </w:r>
      <w:r w:rsidR="00B54CF5" w:rsidRPr="0093718D">
        <w:noBreakHyphen/>
        <w:t xml:space="preserve">Membros da UE, prestar apoio operacional a tais atos e oferecer um refúgio aos seus autores, tal como demonstrado pela recente explosão numa via férrea da Polónia e pela oferta de refúgio aos autores do assassinato do soldado polaco </w:t>
      </w:r>
      <w:proofErr w:type="spellStart"/>
      <w:r w:rsidR="00B54CF5" w:rsidRPr="0093718D">
        <w:t>Mateusz</w:t>
      </w:r>
      <w:proofErr w:type="spellEnd"/>
      <w:r w:rsidR="00B54CF5" w:rsidRPr="0093718D">
        <w:t xml:space="preserve"> </w:t>
      </w:r>
      <w:proofErr w:type="spellStart"/>
      <w:r w:rsidR="00B54CF5" w:rsidRPr="0093718D">
        <w:t>Sitek</w:t>
      </w:r>
      <w:proofErr w:type="spellEnd"/>
      <w:r w:rsidR="00B54CF5" w:rsidRPr="0093718D">
        <w:t>, que foi morto na fronteira entre a Polónia e a Bielorrússia; solicita a cessação imediata destas ações hostis e a entrega dos responsáveis pelos crimes graves acima referidos às autoridades responsáveis pela aplicação da lei;</w:t>
      </w:r>
    </w:p>
    <w:p w14:paraId="72A090BC" w14:textId="77777777" w:rsidR="003F0BB1" w:rsidRPr="0093718D" w:rsidRDefault="003F0BB1" w:rsidP="003F0BB1">
      <w:pPr>
        <w:pStyle w:val="NormalHanging12a"/>
      </w:pPr>
      <w:r w:rsidRPr="0093718D">
        <w:t>5.</w:t>
      </w:r>
      <w:r w:rsidRPr="0093718D">
        <w:tab/>
        <w:t>Apoia sem reservas o direito da Lituânia de tomar medidas proporcionadas contra quaisquer ataques, a fim de proteger a sua soberania, a ordem pública e a segurança da aviação, incluindo a interceção ou a neutralização de objetos aéreos não tripulados originários da Bielorrússia;</w:t>
      </w:r>
    </w:p>
    <w:p w14:paraId="14DD7CE0" w14:textId="77777777" w:rsidR="003F0BB1" w:rsidRPr="0093718D" w:rsidRDefault="003F0BB1" w:rsidP="003F0BB1">
      <w:pPr>
        <w:pStyle w:val="NormalHanging12a"/>
      </w:pPr>
      <w:r w:rsidRPr="0093718D">
        <w:t>6.</w:t>
      </w:r>
      <w:r w:rsidRPr="0093718D">
        <w:tab/>
        <w:t xml:space="preserve">Lamenta a falta de coordenação no atinente ao levantamento parcial das sanções por parte dos EUA contra a Bielorrússia em 13 de dezembro de 2025, o que compromete a solidariedade e o apoio coletivo aos membros da UE e da NATO visados pelos ataques híbridos bielorrussos; frisa que as declarações do enviado especial dos EUA à Bielorrússia sobre as autoridades de facto bielorrussas, que garantem que os lançamentos de balões serão interrompidos, indicam um reconhecimento da responsabilidade e são relevantes para o apurar da responsabilidade do Estado ao abrigo </w:t>
      </w:r>
      <w:r w:rsidRPr="0093718D">
        <w:lastRenderedPageBreak/>
        <w:t>do direito internacional;</w:t>
      </w:r>
    </w:p>
    <w:p w14:paraId="100C6B87" w14:textId="77777777" w:rsidR="003F0BB1" w:rsidRPr="0093718D" w:rsidRDefault="003F0BB1" w:rsidP="003F0BB1">
      <w:pPr>
        <w:pStyle w:val="NormalHanging12a"/>
      </w:pPr>
      <w:r w:rsidRPr="0093718D">
        <w:t>7.</w:t>
      </w:r>
      <w:r w:rsidRPr="0093718D">
        <w:tab/>
        <w:t xml:space="preserve">Reitera que não reconhece </w:t>
      </w:r>
      <w:proofErr w:type="spellStart"/>
      <w:r w:rsidRPr="0093718D">
        <w:t>Alexander</w:t>
      </w:r>
      <w:proofErr w:type="spellEnd"/>
      <w:r w:rsidRPr="0093718D">
        <w:t xml:space="preserve"> </w:t>
      </w:r>
      <w:proofErr w:type="spellStart"/>
      <w:r w:rsidRPr="0093718D">
        <w:t>Lukashenko</w:t>
      </w:r>
      <w:proofErr w:type="spellEnd"/>
      <w:r w:rsidRPr="0093718D">
        <w:t xml:space="preserve"> como presidente legítimo da Bielorrússia; salienta que qualquer revisão das sanções da UE contra a Bielorrússia e qualquer diálogo com a Bielorrússia devem estar estritamente subordinados à realização, pela Bielorrússia, de mudanças sistémicas sustentadas, verificáveis e irreversíveis, incluindo a libertação dos mais de 1 100 presos políticos remanescentes; preconiza solidariedade na resposta às ameaças colocadas pelo regime de </w:t>
      </w:r>
      <w:proofErr w:type="spellStart"/>
      <w:r w:rsidRPr="0093718D">
        <w:t>Lukashenko</w:t>
      </w:r>
      <w:proofErr w:type="spellEnd"/>
      <w:r w:rsidRPr="0093718D">
        <w:t>, particularmente as associadas à instrumentalização da migração orquestrada pelo Estado; condena veementemente a utilização da migração para fins políticos pelas autoridades bielorrussas de facto;</w:t>
      </w:r>
    </w:p>
    <w:p w14:paraId="4785DED4" w14:textId="77777777" w:rsidR="003F0BB1" w:rsidRPr="0093718D" w:rsidRDefault="003F0BB1" w:rsidP="003F0BB1">
      <w:pPr>
        <w:pStyle w:val="NormalHanging12a"/>
      </w:pPr>
      <w:r w:rsidRPr="0093718D">
        <w:t>8.</w:t>
      </w:r>
      <w:r w:rsidRPr="0093718D">
        <w:tab/>
        <w:t>Solicita uma cooperação mais profunda entre a UE e a NATO em matéria de informações sobre a segurança do espaço aéreo e o combate às ameaças híbridas; apela para o reforço da cooperação UE</w:t>
      </w:r>
      <w:r w:rsidRPr="0093718D">
        <w:noBreakHyphen/>
        <w:t>NATO em matéria de vigilância do espaço aéreo lituano, incluindo protocolos unificados de classificação de incidentes, rotações de policiamento aéreo reforçadas e respostas coordenadas às intrusões de balões ou de UAV; destaca a necessidade de realizar exercícios conjuntos regulares de simulação de ameaças aéreas híbridas; insta os Estados</w:t>
      </w:r>
      <w:r w:rsidRPr="0093718D">
        <w:noBreakHyphen/>
        <w:t>Membros a garantirem uma mobilidade transfronteiriça rápida dos meios militares e de segurança, incluindo as capacidades de defesa aérea e de combate aos UAV, em apoio da Lituânia;</w:t>
      </w:r>
    </w:p>
    <w:p w14:paraId="75C23B1C" w14:textId="77777777" w:rsidR="003F0BB1" w:rsidRPr="0093718D" w:rsidRDefault="003F0BB1" w:rsidP="003F0BB1">
      <w:pPr>
        <w:pStyle w:val="NormalHanging12a"/>
      </w:pPr>
      <w:r w:rsidRPr="0093718D">
        <w:t>9.</w:t>
      </w:r>
      <w:r w:rsidRPr="0093718D">
        <w:tab/>
        <w:t>Insta os Estados</w:t>
      </w:r>
      <w:r w:rsidRPr="0093718D">
        <w:noBreakHyphen/>
        <w:t>Membros e os aliados da NATO a reavaliarem os atuais quadros estratégicos e operacionais de combate às ameaças híbridas, com vista a reforçar a dissuasão, a preparação e a resposta atempada, transitando de uma abordagem reativa para a dissuasão pró</w:t>
      </w:r>
      <w:r w:rsidRPr="0093718D">
        <w:noBreakHyphen/>
        <w:t>ativa;</w:t>
      </w:r>
    </w:p>
    <w:p w14:paraId="3762A80B" w14:textId="77777777" w:rsidR="003F0BB1" w:rsidRPr="0093718D" w:rsidRDefault="003F0BB1" w:rsidP="003F0BB1">
      <w:pPr>
        <w:pStyle w:val="NormalHanging12a"/>
      </w:pPr>
      <w:r w:rsidRPr="0093718D">
        <w:t>10.</w:t>
      </w:r>
      <w:r w:rsidRPr="0093718D">
        <w:tab/>
        <w:t>Enfatiza que a proteção e a resiliência das infraestruturas críticas, incluindo as infraestruturas de transporte e de aviação, devem ser estruturalmente integradas e adequadamente financiadas no próximo QFP;</w:t>
      </w:r>
    </w:p>
    <w:p w14:paraId="5ED58609" w14:textId="77777777" w:rsidR="003F0BB1" w:rsidRPr="0093718D" w:rsidRDefault="003F0BB1" w:rsidP="003F0BB1">
      <w:pPr>
        <w:pStyle w:val="NormalHanging12a"/>
      </w:pPr>
      <w:r w:rsidRPr="0093718D">
        <w:t>11.</w:t>
      </w:r>
      <w:r w:rsidRPr="0093718D">
        <w:tab/>
        <w:t xml:space="preserve">Insta a Comissão e a </w:t>
      </w:r>
      <w:proofErr w:type="spellStart"/>
      <w:r w:rsidRPr="0093718D">
        <w:t>Frontex</w:t>
      </w:r>
      <w:proofErr w:type="spellEnd"/>
      <w:r w:rsidRPr="0093718D">
        <w:t xml:space="preserve">, no pleno respeito do seu mandato, a apoiarem o reforço da vigilância da fronteira e do espaço aéreo da Lituânia, com recurso a mais sensores, aeronaves de patrulha, sistemas móveis de combate a UAV e análise de ameaças em tempo real; observa que as táticas híbridas da Bielorrússia expõem vulnerabilidades estruturais que exigem uma resposta coletiva da UE; acolhe favoravelmente a Iniciativa de Defesa Europeia </w:t>
      </w:r>
      <w:proofErr w:type="spellStart"/>
      <w:r w:rsidRPr="0093718D">
        <w:t>Antidrones</w:t>
      </w:r>
      <w:proofErr w:type="spellEnd"/>
      <w:r w:rsidRPr="0093718D">
        <w:t xml:space="preserve"> como projeto emblemático europeu para detetar, rastrear e combater os sistemas aéreos não tripulados hostis; é favorável à iniciativa Vigilância do Flanco Oriental proposta, que visa integrar as capacidades de defesa aérea e de combate aos </w:t>
      </w:r>
      <w:proofErr w:type="spellStart"/>
      <w:r w:rsidRPr="0093718D">
        <w:rPr>
          <w:i/>
        </w:rPr>
        <w:t>drones</w:t>
      </w:r>
      <w:proofErr w:type="spellEnd"/>
      <w:r w:rsidRPr="0093718D">
        <w:t xml:space="preserve"> com os sistemas de segurança terrestre e marítima nas regiões do Báltico e do mar Negro; insta a Comissão a preparar medidas para proteger as infraestruturas da rede transeuropeia de transportes e salvaguardar a continuidade dos serviços transeuropeus de transporte contra futuros ataques híbridos; preconiza a célere execução destes projetos;</w:t>
      </w:r>
    </w:p>
    <w:p w14:paraId="4083F185" w14:textId="77777777" w:rsidR="003F0BB1" w:rsidRPr="0093718D" w:rsidRDefault="003F0BB1" w:rsidP="003F0BB1">
      <w:pPr>
        <w:pStyle w:val="NormalHanging12a"/>
      </w:pPr>
      <w:r w:rsidRPr="0093718D">
        <w:t>12.</w:t>
      </w:r>
      <w:r w:rsidRPr="0093718D">
        <w:tab/>
        <w:t xml:space="preserve">Solicita uma cooperação mais profunda entre a UE e a Ucrânia no domínio da tecnologia de </w:t>
      </w:r>
      <w:proofErr w:type="spellStart"/>
      <w:r w:rsidRPr="0093718D">
        <w:rPr>
          <w:i/>
        </w:rPr>
        <w:t>drones</w:t>
      </w:r>
      <w:proofErr w:type="spellEnd"/>
      <w:r w:rsidRPr="0093718D">
        <w:t xml:space="preserve">, sistemas de combate a UAV, </w:t>
      </w:r>
      <w:proofErr w:type="spellStart"/>
      <w:r w:rsidRPr="0093718D">
        <w:t>ciberproteção</w:t>
      </w:r>
      <w:proofErr w:type="spellEnd"/>
      <w:r w:rsidRPr="0093718D">
        <w:t xml:space="preserve"> e resiliência a ameaças híbridas, reconhecendo os conhecimentos especializados da Ucrânia como estrategicamente valiosos para a segurança da UE;</w:t>
      </w:r>
    </w:p>
    <w:p w14:paraId="20D54486" w14:textId="77777777" w:rsidR="003F0BB1" w:rsidRPr="0093718D" w:rsidRDefault="003F0BB1" w:rsidP="003F0BB1">
      <w:pPr>
        <w:pStyle w:val="NormalHanging12a"/>
      </w:pPr>
      <w:r w:rsidRPr="0093718D">
        <w:t>13.</w:t>
      </w:r>
      <w:r w:rsidRPr="0093718D">
        <w:tab/>
        <w:t>Congratula</w:t>
      </w:r>
      <w:r w:rsidRPr="0093718D">
        <w:noBreakHyphen/>
        <w:t xml:space="preserve">se com a recente adoção de um novo critério para a aplicação de sanções, </w:t>
      </w:r>
      <w:r w:rsidRPr="0093718D">
        <w:lastRenderedPageBreak/>
        <w:t>que abrange os ataques híbridos contra Estados</w:t>
      </w:r>
      <w:r w:rsidRPr="0093718D">
        <w:noBreakHyphen/>
        <w:t>Membros; insta o Conselho a adotar sanções específicas adicionais contra altos funcionários, entidades públicas e privadas e pessoas singulares bielorrussos implicados na produção e na projeção de UAV e em todas as outras operações híbridas que visem infraestruturas críticas, atividades económicas e instituições democráticas; insta o Conselho a tomar medidas setoriais adicionais contra a Bielorrússia, incluindo restrições alargadas nos setores financeiro e da aviação, proibições adicionais de importação e de investimento, proibições de serviços mais amplas, restrições do acesso a funções de governação em infraestruturas críticas europeias e a proibição de aceitar donativos das autoridades de facto e entidades públicas bielorrussas;</w:t>
      </w:r>
    </w:p>
    <w:p w14:paraId="30B28DEA" w14:textId="77777777" w:rsidR="003F0BB1" w:rsidRPr="0093718D" w:rsidRDefault="003F0BB1" w:rsidP="003F0BB1">
      <w:pPr>
        <w:pStyle w:val="NormalHanging12a"/>
      </w:pPr>
      <w:r w:rsidRPr="0093718D">
        <w:t>14.</w:t>
      </w:r>
      <w:r w:rsidRPr="0093718D">
        <w:tab/>
        <w:t>Insta a UE e os Estados</w:t>
      </w:r>
      <w:r w:rsidRPr="0093718D">
        <w:noBreakHyphen/>
        <w:t>Membros a diligenciarem no sentido de responsabilizar a Bielorrússia a nível internacional pelas suas ações, incluindo as ameaças à aviação civil, a detenção ilegal de operadores de transporte de mercadorias da UE e a repressão transnacional de cidadãos bielorrussos residentes nos Estados</w:t>
      </w:r>
      <w:r w:rsidRPr="0093718D">
        <w:noBreakHyphen/>
        <w:t>Membros da UE, e a levantarem estas questões nas instâncias internacionais pertinentes;</w:t>
      </w:r>
    </w:p>
    <w:p w14:paraId="4CFB1D8D" w14:textId="77777777" w:rsidR="003F0BB1" w:rsidRPr="0093718D" w:rsidRDefault="003F0BB1" w:rsidP="003F0BB1">
      <w:pPr>
        <w:pStyle w:val="NormalHanging12a"/>
      </w:pPr>
      <w:r w:rsidRPr="0093718D">
        <w:t>15.</w:t>
      </w:r>
      <w:r w:rsidRPr="0093718D">
        <w:tab/>
        <w:t>Exorta o Conselho a incorporar as prioridades de segurança nas fronteiras orientais no próximo QFP, assegurando investimentos sustentados da UE no combate às ameaças híbridas e na melhoria da resiliência das infraestruturas críticas, da mobilidade militar e das tecnologias de defesa da UE;</w:t>
      </w:r>
    </w:p>
    <w:p w14:paraId="58A9985E" w14:textId="77777777" w:rsidR="003F0BB1" w:rsidRPr="0093718D" w:rsidRDefault="003F0BB1" w:rsidP="003F0BB1">
      <w:pPr>
        <w:pStyle w:val="NormalHanging12a"/>
      </w:pPr>
      <w:r w:rsidRPr="0093718D">
        <w:t>16.</w:t>
      </w:r>
      <w:r w:rsidRPr="0093718D">
        <w:tab/>
        <w:t>Rejeita a desinformação bielorrussa que dissemina provas fabricadas ou alegações de espionagem; insta a UE e os Estados</w:t>
      </w:r>
      <w:r w:rsidRPr="0093718D">
        <w:noBreakHyphen/>
        <w:t xml:space="preserve">Membros a reforçarem a comunicação estratégica, a combaterem a desinformação, a atribuírem publicamente a autoria de atos hostis e a aplicarem as recomendações do Relatório </w:t>
      </w:r>
      <w:proofErr w:type="spellStart"/>
      <w:r w:rsidRPr="0093718D">
        <w:t>Niinistö</w:t>
      </w:r>
      <w:proofErr w:type="spellEnd"/>
      <w:r w:rsidRPr="0093718D">
        <w:t>, a fim de consolidar a resiliência da sociedade;</w:t>
      </w:r>
    </w:p>
    <w:p w14:paraId="7D47286F" w14:textId="77777777" w:rsidR="003F0BB1" w:rsidRPr="0093718D" w:rsidRDefault="003F0BB1" w:rsidP="003F0BB1">
      <w:pPr>
        <w:pStyle w:val="NormalHanging12a"/>
      </w:pPr>
      <w:r w:rsidRPr="0093718D">
        <w:t>17.</w:t>
      </w:r>
      <w:r w:rsidRPr="0093718D">
        <w:tab/>
        <w:t>Insta as empresas europeias, em particular os transportadores de mercadorias, a reavaliarem os riscos de segurança associados a operar na Bielorrússia e a tomarem medidas de proteção adequadas;</w:t>
      </w:r>
    </w:p>
    <w:p w14:paraId="2DE725CF" w14:textId="26258934" w:rsidR="002B5F72" w:rsidRPr="0093718D" w:rsidRDefault="003F0BB1" w:rsidP="002B5F72">
      <w:pPr>
        <w:pStyle w:val="NormalHanging12a"/>
      </w:pPr>
      <w:r w:rsidRPr="0093718D">
        <w:t>18.</w:t>
      </w:r>
      <w:r w:rsidRPr="0093718D">
        <w:tab/>
        <w:t>Encarrega a sua Presidente de transmitir a presente resolução ao Conselho, à Comissão, à Vice</w:t>
      </w:r>
      <w:r w:rsidRPr="0093718D">
        <w:noBreakHyphen/>
        <w:t>Presidente da Comissão/Alta Representante da União para os Negócios Estrangeiros e a Política de Segurança, aos Estados</w:t>
      </w:r>
      <w:r w:rsidRPr="0093718D">
        <w:noBreakHyphen/>
        <w:t>Membros da UE, à NATO, à ONU e às autoridades de facto da Bielorrússia.</w:t>
      </w:r>
    </w:p>
    <w:p w14:paraId="3616D904" w14:textId="34A621A5" w:rsidR="00E365E1" w:rsidRPr="0093718D" w:rsidRDefault="00E365E1" w:rsidP="0053043C"/>
    <w:sectPr w:rsidR="00E365E1" w:rsidRPr="0093718D" w:rsidSect="002B5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AF3AC" w14:textId="77777777" w:rsidR="0053043C" w:rsidRPr="002B5F72" w:rsidRDefault="0053043C">
      <w:r w:rsidRPr="002B5F72">
        <w:separator/>
      </w:r>
    </w:p>
  </w:endnote>
  <w:endnote w:type="continuationSeparator" w:id="0">
    <w:p w14:paraId="63DA0259" w14:textId="77777777" w:rsidR="0053043C" w:rsidRPr="002B5F72" w:rsidRDefault="0053043C">
      <w:r w:rsidRPr="002B5F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85AEF" w14:textId="77777777" w:rsidR="00064002" w:rsidRPr="002B5F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FCCE" w14:textId="77777777" w:rsidR="00064002" w:rsidRPr="002B5F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EE60" w14:textId="77777777" w:rsidR="00064002" w:rsidRPr="002B5F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A15D7" w14:textId="77777777" w:rsidR="0053043C" w:rsidRPr="002B5F72" w:rsidRDefault="0053043C">
      <w:r w:rsidRPr="002B5F72">
        <w:separator/>
      </w:r>
    </w:p>
  </w:footnote>
  <w:footnote w:type="continuationSeparator" w:id="0">
    <w:p w14:paraId="32090F6C" w14:textId="77777777" w:rsidR="0053043C" w:rsidRPr="002B5F72" w:rsidRDefault="0053043C">
      <w:r w:rsidRPr="002B5F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2F8A6" w14:textId="77777777" w:rsidR="00064002" w:rsidRPr="002B5F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3C43" w14:textId="77777777" w:rsidR="00064002" w:rsidRPr="002B5F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5052" w14:textId="77777777" w:rsidR="00064002" w:rsidRPr="002B5F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9593936">
    <w:abstractNumId w:val="9"/>
  </w:num>
  <w:num w:numId="2" w16cid:durableId="1444037573">
    <w:abstractNumId w:val="9"/>
  </w:num>
  <w:num w:numId="3" w16cid:durableId="524752649">
    <w:abstractNumId w:val="7"/>
  </w:num>
  <w:num w:numId="4" w16cid:durableId="1191845788">
    <w:abstractNumId w:val="7"/>
  </w:num>
  <w:num w:numId="5" w16cid:durableId="1170946272">
    <w:abstractNumId w:val="6"/>
  </w:num>
  <w:num w:numId="6" w16cid:durableId="141973518">
    <w:abstractNumId w:val="6"/>
  </w:num>
  <w:num w:numId="7" w16cid:durableId="1893494947">
    <w:abstractNumId w:val="5"/>
  </w:num>
  <w:num w:numId="8" w16cid:durableId="1266422021">
    <w:abstractNumId w:val="5"/>
  </w:num>
  <w:num w:numId="9" w16cid:durableId="1896966332">
    <w:abstractNumId w:val="4"/>
  </w:num>
  <w:num w:numId="10" w16cid:durableId="457380628">
    <w:abstractNumId w:val="4"/>
  </w:num>
  <w:num w:numId="11" w16cid:durableId="878591306">
    <w:abstractNumId w:val="8"/>
  </w:num>
  <w:num w:numId="12" w16cid:durableId="1881278854">
    <w:abstractNumId w:val="8"/>
  </w:num>
  <w:num w:numId="13" w16cid:durableId="867260977">
    <w:abstractNumId w:val="3"/>
  </w:num>
  <w:num w:numId="14" w16cid:durableId="853035288">
    <w:abstractNumId w:val="3"/>
  </w:num>
  <w:num w:numId="15" w16cid:durableId="1761440467">
    <w:abstractNumId w:val="2"/>
  </w:num>
  <w:num w:numId="16" w16cid:durableId="1586263850">
    <w:abstractNumId w:val="2"/>
  </w:num>
  <w:num w:numId="17" w16cid:durableId="630482473">
    <w:abstractNumId w:val="1"/>
  </w:num>
  <w:num w:numId="18" w16cid:durableId="765616135">
    <w:abstractNumId w:val="1"/>
  </w:num>
  <w:num w:numId="19" w16cid:durableId="1764958032">
    <w:abstractNumId w:val="0"/>
  </w:num>
  <w:num w:numId="20" w16cid:durableId="1195341339">
    <w:abstractNumId w:val="0"/>
  </w:num>
  <w:num w:numId="21" w16cid:durableId="856037369">
    <w:abstractNumId w:val="9"/>
  </w:num>
  <w:num w:numId="22" w16cid:durableId="528110153">
    <w:abstractNumId w:val="7"/>
  </w:num>
  <w:num w:numId="23" w16cid:durableId="219677019">
    <w:abstractNumId w:val="6"/>
  </w:num>
  <w:num w:numId="24" w16cid:durableId="1110929886">
    <w:abstractNumId w:val="5"/>
  </w:num>
  <w:num w:numId="25" w16cid:durableId="1026444569">
    <w:abstractNumId w:val="4"/>
  </w:num>
  <w:num w:numId="26" w16cid:durableId="1092509990">
    <w:abstractNumId w:val="8"/>
  </w:num>
  <w:num w:numId="27" w16cid:durableId="224722951">
    <w:abstractNumId w:val="3"/>
  </w:num>
  <w:num w:numId="28" w16cid:durableId="804396023">
    <w:abstractNumId w:val="2"/>
  </w:num>
  <w:num w:numId="29" w16cid:durableId="405346435">
    <w:abstractNumId w:val="1"/>
  </w:num>
  <w:num w:numId="30" w16cid:durableId="346293386">
    <w:abstractNumId w:val="0"/>
  </w:num>
  <w:num w:numId="31" w16cid:durableId="2086216891">
    <w:abstractNumId w:val="9"/>
  </w:num>
  <w:num w:numId="32" w16cid:durableId="1482848681">
    <w:abstractNumId w:val="7"/>
  </w:num>
  <w:num w:numId="33" w16cid:durableId="1326934958">
    <w:abstractNumId w:val="6"/>
  </w:num>
  <w:num w:numId="34" w16cid:durableId="1019698628">
    <w:abstractNumId w:val="5"/>
  </w:num>
  <w:num w:numId="35" w16cid:durableId="116340452">
    <w:abstractNumId w:val="4"/>
  </w:num>
  <w:num w:numId="36" w16cid:durableId="1727291345">
    <w:abstractNumId w:val="8"/>
  </w:num>
  <w:num w:numId="37" w16cid:durableId="1723483315">
    <w:abstractNumId w:val="3"/>
  </w:num>
  <w:num w:numId="38" w16cid:durableId="750274534">
    <w:abstractNumId w:val="2"/>
  </w:num>
  <w:num w:numId="39" w16cid:durableId="1992758591">
    <w:abstractNumId w:val="1"/>
  </w:num>
  <w:num w:numId="40" w16cid:durableId="2123264066">
    <w:abstractNumId w:val="0"/>
  </w:num>
  <w:num w:numId="41" w16cid:durableId="1597862547">
    <w:abstractNumId w:val="10"/>
  </w:num>
  <w:num w:numId="42" w16cid:durableId="1451702735">
    <w:abstractNumId w:val="10"/>
  </w:num>
  <w:num w:numId="43" w16cid:durableId="1504278717">
    <w:abstractNumId w:val="10"/>
  </w:num>
  <w:num w:numId="44" w16cid:durableId="362753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, 0578, 0582, 0585 e 0587/2025"/>
    <w:docVar w:name="dvlangue" w:val="PT"/>
    <w:docVar w:name="dvnumam" w:val="0"/>
    <w:docVar w:name="dvpe" w:val="779.052"/>
    <w:docVar w:name="dvtitre" w:val="Resolução do Parlamento Europeu, de ... de ... de 2025,_x000d__x000a_ sobre os ataques híbridos contínuos da Bielorrússia contra a Lituânia (2025/3025(RSP))"/>
  </w:docVars>
  <w:rsids>
    <w:rsidRoot w:val="0053043C"/>
    <w:rsid w:val="00002272"/>
    <w:rsid w:val="00064002"/>
    <w:rsid w:val="000660C9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F72"/>
    <w:rsid w:val="00343214"/>
    <w:rsid w:val="00361C00"/>
    <w:rsid w:val="00395FA1"/>
    <w:rsid w:val="003E15D4"/>
    <w:rsid w:val="003F0BB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43C"/>
    <w:rsid w:val="00545827"/>
    <w:rsid w:val="00560270"/>
    <w:rsid w:val="005B6B0E"/>
    <w:rsid w:val="005C2568"/>
    <w:rsid w:val="005F1B17"/>
    <w:rsid w:val="006037C0"/>
    <w:rsid w:val="006631B6"/>
    <w:rsid w:val="00680577"/>
    <w:rsid w:val="006F74FA"/>
    <w:rsid w:val="00705251"/>
    <w:rsid w:val="00731ADD"/>
    <w:rsid w:val="00734777"/>
    <w:rsid w:val="00747932"/>
    <w:rsid w:val="00751A4A"/>
    <w:rsid w:val="00756632"/>
    <w:rsid w:val="0076078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18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D5D"/>
    <w:rsid w:val="00AE0928"/>
    <w:rsid w:val="00AF3B82"/>
    <w:rsid w:val="00B12E95"/>
    <w:rsid w:val="00B22876"/>
    <w:rsid w:val="00B54CF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F32D9"/>
  <w15:chartTrackingRefBased/>
  <w15:docId w15:val="{ED49E60C-7FB8-4D65-84FC-3FE02AC7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F0BB1"/>
    <w:pPr>
      <w:spacing w:after="240"/>
      <w:ind w:left="567" w:hanging="567"/>
    </w:pPr>
  </w:style>
  <w:style w:type="paragraph" w:customStyle="1" w:styleId="EPComma">
    <w:name w:val="EPComma"/>
    <w:basedOn w:val="Normal"/>
    <w:rsid w:val="003F0BB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F0BB1"/>
    <w:rPr>
      <w:sz w:val="24"/>
      <w:lang w:val="pt-PT"/>
    </w:rPr>
  </w:style>
  <w:style w:type="paragraph" w:styleId="Revision">
    <w:name w:val="Revision"/>
    <w:hidden/>
    <w:uiPriority w:val="99"/>
    <w:semiHidden/>
    <w:rsid w:val="00B54CF5"/>
    <w:rPr>
      <w:sz w:val="24"/>
      <w:lang w:val="pt-PT"/>
    </w:rPr>
  </w:style>
  <w:style w:type="character" w:styleId="CommentReference">
    <w:name w:val="annotation reference"/>
    <w:basedOn w:val="DefaultParagraphFont"/>
    <w:rsid w:val="00B54C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C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4CF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54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4CF5"/>
    <w:rPr>
      <w:b/>
      <w:bCs/>
      <w:lang w:val="pt-PT"/>
    </w:rPr>
  </w:style>
  <w:style w:type="character" w:styleId="Hyperlink">
    <w:name w:val="Hyperlink"/>
    <w:basedOn w:val="DefaultParagraphFont"/>
    <w:rsid w:val="00B54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2140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2025-12-18T12:31:00Z</dcterms:created>
  <dcterms:modified xsi:type="dcterms:W3CDTF">2025-12-18T12:31:00Z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B10-0571, 0578, 0582, 0585 e 0587/2025</vt:lpwstr>
  </property>
  <property fmtid="{D5CDD505-2E9C-101B-9397-08002B2CF9AE}" pid="4" name="&lt;Type&gt;">
    <vt:lpwstr>RR</vt:lpwstr>
  </property>
</Properties>
</file>