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4FE2" w14:paraId="4C5A5D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4CD283" w14:textId="77777777" w:rsidR="00751A4A" w:rsidRPr="00224FE2" w:rsidRDefault="008B68F6" w:rsidP="0010095E">
            <w:pPr>
              <w:pStyle w:val="EPName"/>
            </w:pPr>
            <w:r w:rsidRPr="00224FE2">
              <w:t>Európsky parlament</w:t>
            </w:r>
          </w:p>
          <w:p w14:paraId="2C34D3AB" w14:textId="77777777" w:rsidR="00751A4A" w:rsidRPr="00224F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4FE2">
              <w:t>2024</w:t>
            </w:r>
            <w:r w:rsidR="00817416" w:rsidRPr="00224FE2">
              <w:t>-202</w:t>
            </w:r>
            <w:r w:rsidRPr="00224FE2">
              <w:t>9</w:t>
            </w:r>
          </w:p>
        </w:tc>
        <w:tc>
          <w:tcPr>
            <w:tcW w:w="2268" w:type="dxa"/>
            <w:shd w:val="clear" w:color="auto" w:fill="auto"/>
          </w:tcPr>
          <w:p w14:paraId="01A90611" w14:textId="77777777" w:rsidR="00751A4A" w:rsidRPr="00224FE2" w:rsidRDefault="00187494" w:rsidP="0010095E">
            <w:pPr>
              <w:pStyle w:val="EPLogo"/>
            </w:pPr>
            <w:r w:rsidRPr="00224FE2">
              <w:rPr>
                <w:noProof/>
                <w:lang w:eastAsia="ja-JP"/>
              </w:rPr>
              <w:drawing>
                <wp:inline distT="0" distB="0" distL="0" distR="0" wp14:anchorId="4FDF911F" wp14:editId="4ECF21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08D47" w14:textId="77777777" w:rsidR="00D058B8" w:rsidRPr="00224FE2" w:rsidRDefault="00D058B8" w:rsidP="004C5D52">
      <w:pPr>
        <w:pStyle w:val="LineTop"/>
      </w:pPr>
    </w:p>
    <w:p w14:paraId="12F8A314" w14:textId="77777777" w:rsidR="00680577" w:rsidRPr="00224FE2" w:rsidRDefault="008B68F6" w:rsidP="00680577">
      <w:pPr>
        <w:pStyle w:val="EPBodyTA1"/>
      </w:pPr>
      <w:r w:rsidRPr="00224FE2">
        <w:t>PRIJATÉ TEXTY</w:t>
      </w:r>
    </w:p>
    <w:p w14:paraId="6794F846" w14:textId="77777777" w:rsidR="00D058B8" w:rsidRPr="00224FE2" w:rsidRDefault="00D058B8" w:rsidP="00D058B8">
      <w:pPr>
        <w:pStyle w:val="LineBottom"/>
      </w:pPr>
    </w:p>
    <w:p w14:paraId="5905969B" w14:textId="4ABE3A64" w:rsidR="008B68F6" w:rsidRPr="00224FE2" w:rsidRDefault="008B68F6" w:rsidP="008B68F6">
      <w:pPr>
        <w:pStyle w:val="ATHeading1"/>
      </w:pPr>
      <w:bookmarkStart w:id="0" w:name="TANumber"/>
      <w:r w:rsidRPr="00224FE2">
        <w:t>P10_TA(2025)0</w:t>
      </w:r>
      <w:r w:rsidR="00241AA7" w:rsidRPr="00224FE2">
        <w:t>3</w:t>
      </w:r>
      <w:r w:rsidR="0044480A" w:rsidRPr="00224FE2">
        <w:t>45</w:t>
      </w:r>
      <w:bookmarkEnd w:id="0"/>
    </w:p>
    <w:p w14:paraId="466F97D8" w14:textId="77777777" w:rsidR="008B68F6" w:rsidRPr="00224FE2" w:rsidRDefault="008B68F6" w:rsidP="008B68F6">
      <w:pPr>
        <w:pStyle w:val="ATHeading2"/>
      </w:pPr>
      <w:bookmarkStart w:id="1" w:name="title"/>
      <w:r w:rsidRPr="00224FE2">
        <w:t>Neustále bieloruské hybridné útoky proti Litve</w:t>
      </w:r>
      <w:bookmarkEnd w:id="1"/>
    </w:p>
    <w:p w14:paraId="422103A6" w14:textId="77777777" w:rsidR="008B68F6" w:rsidRPr="00224FE2" w:rsidRDefault="008B68F6" w:rsidP="008B68F6">
      <w:pPr>
        <w:rPr>
          <w:i/>
          <w:vanish/>
        </w:rPr>
      </w:pPr>
      <w:r w:rsidRPr="00224FE2">
        <w:rPr>
          <w:i/>
        </w:rPr>
        <w:fldChar w:fldCharType="begin"/>
      </w:r>
      <w:r w:rsidRPr="00224FE2">
        <w:rPr>
          <w:i/>
        </w:rPr>
        <w:instrText xml:space="preserve"> TC"(</w:instrText>
      </w:r>
      <w:bookmarkStart w:id="2" w:name="DocNumber"/>
      <w:r w:rsidRPr="00224FE2">
        <w:rPr>
          <w:i/>
        </w:rPr>
        <w:instrText>B10-0571, 0578, 0582, 0585 a 0587/2025</w:instrText>
      </w:r>
      <w:bookmarkEnd w:id="2"/>
      <w:r w:rsidRPr="00224FE2">
        <w:rPr>
          <w:i/>
        </w:rPr>
        <w:instrText xml:space="preserve">)"\l3 \n&gt; \* MERGEFORMAT </w:instrText>
      </w:r>
      <w:r w:rsidRPr="00224FE2">
        <w:rPr>
          <w:i/>
        </w:rPr>
        <w:fldChar w:fldCharType="end"/>
      </w:r>
    </w:p>
    <w:p w14:paraId="0795CA67" w14:textId="77777777" w:rsidR="008B68F6" w:rsidRPr="00224FE2" w:rsidRDefault="008B68F6" w:rsidP="008B68F6">
      <w:pPr>
        <w:rPr>
          <w:vanish/>
        </w:rPr>
      </w:pPr>
      <w:bookmarkStart w:id="3" w:name="PE"/>
      <w:r w:rsidRPr="00224FE2">
        <w:rPr>
          <w:vanish/>
        </w:rPr>
        <w:t>PE779.052</w:t>
      </w:r>
      <w:bookmarkEnd w:id="3"/>
    </w:p>
    <w:p w14:paraId="188295C1" w14:textId="77777777" w:rsidR="008B68F6" w:rsidRPr="00224FE2" w:rsidRDefault="008B68F6" w:rsidP="008B68F6">
      <w:pPr>
        <w:pStyle w:val="ATHeading3"/>
      </w:pPr>
      <w:bookmarkStart w:id="4" w:name="Sujet"/>
      <w:r w:rsidRPr="00224FE2">
        <w:t xml:space="preserve">Uznesenie Európskeho parlamentu z 18. decembra 2025 o neustálych bieloruských hybridných útokoch proti Litve </w:t>
      </w:r>
      <w:bookmarkEnd w:id="4"/>
      <w:r w:rsidRPr="00224FE2">
        <w:t xml:space="preserve"> </w:t>
      </w:r>
      <w:bookmarkStart w:id="5" w:name="References"/>
      <w:r w:rsidRPr="00224FE2">
        <w:t>(2025/3025(RSP))</w:t>
      </w:r>
      <w:bookmarkEnd w:id="5"/>
    </w:p>
    <w:p w14:paraId="3C500B85" w14:textId="77777777" w:rsidR="008667F4" w:rsidRPr="00224FE2" w:rsidRDefault="008667F4" w:rsidP="008667F4">
      <w:pPr>
        <w:pStyle w:val="EPComma"/>
      </w:pPr>
      <w:bookmarkStart w:id="6" w:name="TextBodyBegin"/>
      <w:bookmarkEnd w:id="6"/>
      <w:r w:rsidRPr="00224FE2">
        <w:rPr>
          <w:i/>
          <w:iCs/>
        </w:rPr>
        <w:t>Európsky parlament</w:t>
      </w:r>
      <w:r w:rsidRPr="00224FE2">
        <w:t>,</w:t>
      </w:r>
    </w:p>
    <w:p w14:paraId="65D6CB80" w14:textId="77777777" w:rsidR="008667F4" w:rsidRPr="00224FE2" w:rsidRDefault="008667F4" w:rsidP="008667F4">
      <w:pPr>
        <w:pStyle w:val="NormalHanging12a"/>
      </w:pPr>
      <w:r w:rsidRPr="00224FE2">
        <w:t>–</w:t>
      </w:r>
      <w:r w:rsidRPr="00224FE2">
        <w:tab/>
        <w:t>so zreteľom na svoje predchádzajúce uznesenia o Bielorusku, Rusku a Ukrajine,</w:t>
      </w:r>
    </w:p>
    <w:p w14:paraId="7C49D3B3" w14:textId="77777777" w:rsidR="008667F4" w:rsidRPr="00224FE2" w:rsidRDefault="008667F4" w:rsidP="008667F4">
      <w:pPr>
        <w:pStyle w:val="NormalHanging12a"/>
      </w:pPr>
      <w:r w:rsidRPr="00224FE2">
        <w:t>–</w:t>
      </w:r>
      <w:r w:rsidRPr="00224FE2">
        <w:tab/>
        <w:t>so zreteľom na vyhlásenie vysokej predstaviteľky Únie pre zahraničné veci a bezpečnostnú politiku z 29. októbra 2025 v mene EÚ o hybridných akciách Bieloruska na vonkajších hraniciach EÚ,</w:t>
      </w:r>
    </w:p>
    <w:p w14:paraId="374B70F0" w14:textId="77777777" w:rsidR="008667F4" w:rsidRPr="00224FE2" w:rsidRDefault="008667F4" w:rsidP="008667F4">
      <w:pPr>
        <w:pStyle w:val="NormalHanging12a"/>
      </w:pPr>
      <w:r w:rsidRPr="00224FE2">
        <w:t>–</w:t>
      </w:r>
      <w:r w:rsidRPr="00224FE2">
        <w:tab/>
        <w:t>so zreteľom na Chartu Organizácie Spojených národov, Helsinský záverečný akt a základné zásady medzinárodného práva,</w:t>
      </w:r>
    </w:p>
    <w:p w14:paraId="64388B37" w14:textId="77777777" w:rsidR="008667F4" w:rsidRPr="00224FE2" w:rsidRDefault="008667F4" w:rsidP="008667F4">
      <w:pPr>
        <w:pStyle w:val="NormalHanging12a"/>
      </w:pPr>
      <w:r w:rsidRPr="00224FE2">
        <w:t>–</w:t>
      </w:r>
      <w:r w:rsidRPr="00224FE2">
        <w:tab/>
        <w:t>so zreteľom na článok 136 ods. 2 a ods. 4 rokovacieho poriadku,</w:t>
      </w:r>
    </w:p>
    <w:p w14:paraId="6841A9A0" w14:textId="77777777" w:rsidR="008667F4" w:rsidRPr="00224FE2" w:rsidRDefault="008667F4" w:rsidP="008667F4">
      <w:pPr>
        <w:pStyle w:val="NormalHanging12a"/>
      </w:pPr>
      <w:r w:rsidRPr="00224FE2">
        <w:t>A.</w:t>
      </w:r>
      <w:r w:rsidRPr="00224FE2">
        <w:tab/>
        <w:t>keďže Bielorusko zintenzívnilo hybridné operácie proti Litve vrátane nasadenia bezpilotných vzdušných prostriedkov a narušení vzdušného priestoru balónmi, kybernetických útokov, dezinformačných kampaní, pričom pokračuje v zneužívaní migrácie;</w:t>
      </w:r>
    </w:p>
    <w:p w14:paraId="3A154780" w14:textId="77777777" w:rsidR="008667F4" w:rsidRPr="00224FE2" w:rsidRDefault="008667F4" w:rsidP="008667F4">
      <w:pPr>
        <w:pStyle w:val="NormalHanging12a"/>
      </w:pPr>
      <w:r w:rsidRPr="00224FE2">
        <w:t>B.</w:t>
      </w:r>
      <w:r w:rsidRPr="00224FE2">
        <w:tab/>
        <w:t>keďže tieto kroky treba chápať v kontexte útočnej vojny Ruska proti Ukrajine a jeho širšej stratégie na destabilizáciu EÚ a NATO; keďže Bielorusko je platformou pre hybridné operácie Ruska proti Európe; keďže z posúdení spravodajských a bezpečnostných informácií v celej EÚ vyplýva, že bieloruské hybridné taktiky sú úzko spojené so širšou ruskou stratégiou nepriateľstva voči EÚ a jej členským štátom a že k tejto stratégii prispievajú;</w:t>
      </w:r>
    </w:p>
    <w:p w14:paraId="5D64D450" w14:textId="77777777" w:rsidR="008667F4" w:rsidRPr="00224FE2" w:rsidRDefault="008667F4" w:rsidP="008667F4">
      <w:pPr>
        <w:pStyle w:val="NormalHanging12a"/>
      </w:pPr>
      <w:r w:rsidRPr="00224FE2">
        <w:t>C.</w:t>
      </w:r>
      <w:r w:rsidRPr="00224FE2">
        <w:tab/>
        <w:t>keďže Litva od roku 2024 zaznamenala stovky narušení vzdušného priestoru objektmi vypustenými z Bieloruska vrátane poveternostných balónov, z ktorých žiadny nebol oznámený leteckým úradom, čo predstavuje porušenie medzinárodných bezpečnostných pravidiel a zvrchovanosti Litvy;</w:t>
      </w:r>
    </w:p>
    <w:p w14:paraId="0031E09A" w14:textId="77777777" w:rsidR="008667F4" w:rsidRPr="00224FE2" w:rsidRDefault="008667F4" w:rsidP="008667F4">
      <w:pPr>
        <w:pStyle w:val="NormalHanging12a"/>
      </w:pPr>
      <w:r w:rsidRPr="00224FE2">
        <w:t>D.</w:t>
      </w:r>
      <w:r w:rsidRPr="00224FE2">
        <w:tab/>
        <w:t xml:space="preserve">keďže narušenia vzdušného priestoru, a to aj v blízkosti veľkých letísk, ako je letisko vo Vilniuse a v </w:t>
      </w:r>
      <w:proofErr w:type="spellStart"/>
      <w:r w:rsidRPr="00224FE2">
        <w:t>Kaunase</w:t>
      </w:r>
      <w:proofErr w:type="spellEnd"/>
      <w:r w:rsidRPr="00224FE2">
        <w:t xml:space="preserve">, ohrozujú životy, bezpečnosť civilného letectva a narúšajú ho a už spôsobili 19 uzatvorení letísk, ovplyvnili stovky letov a desiatky tisíc cestujúcich a </w:t>
      </w:r>
      <w:r w:rsidRPr="00224FE2">
        <w:lastRenderedPageBreak/>
        <w:t>spôsobili značné hospodárske straty;</w:t>
      </w:r>
    </w:p>
    <w:p w14:paraId="148217C4" w14:textId="77777777" w:rsidR="008667F4" w:rsidRPr="00224FE2" w:rsidRDefault="008667F4" w:rsidP="008667F4">
      <w:pPr>
        <w:pStyle w:val="NormalHanging12a"/>
      </w:pPr>
      <w:r w:rsidRPr="00224FE2">
        <w:t>E.</w:t>
      </w:r>
      <w:r w:rsidRPr="00224FE2">
        <w:tab/>
        <w:t xml:space="preserve">keďže litovské orgány informovali o veľkom náraste hybridných akcií z Bieloruska, pričom v roku 2023 odhalili tri narušenia vzdušného priestoru balónom, 184 v roku 2024 a v roku 2025 približne 700 narušení balónmi a 200 </w:t>
      </w:r>
      <w:proofErr w:type="spellStart"/>
      <w:r w:rsidRPr="00224FE2">
        <w:t>dronmi</w:t>
      </w:r>
      <w:proofErr w:type="spellEnd"/>
      <w:r w:rsidRPr="00224FE2">
        <w:t>;</w:t>
      </w:r>
    </w:p>
    <w:p w14:paraId="5DD666EF" w14:textId="77777777" w:rsidR="008667F4" w:rsidRPr="00224FE2" w:rsidRDefault="008667F4" w:rsidP="008667F4">
      <w:pPr>
        <w:pStyle w:val="NormalHanging12a"/>
      </w:pPr>
      <w:r w:rsidRPr="00224FE2">
        <w:t>F.</w:t>
      </w:r>
      <w:r w:rsidRPr="00224FE2">
        <w:tab/>
        <w:t>keďže litovské bezpečnostné zložky našli trosky z bezpilotných vzdušných prostriedkov a balónov vypustených z Bieloruska, na základe ktorých zistili, že prostriedky sú riadené, majú palubnú elektroniku a v jednom prípade sa potvrdila prítomnosť výbušných materiálov;</w:t>
      </w:r>
    </w:p>
    <w:p w14:paraId="0537D7E5" w14:textId="77777777" w:rsidR="008667F4" w:rsidRPr="00224FE2" w:rsidRDefault="008667F4" w:rsidP="008667F4">
      <w:pPr>
        <w:pStyle w:val="NormalHanging12a"/>
      </w:pPr>
      <w:r w:rsidRPr="00224FE2">
        <w:t>G.</w:t>
      </w:r>
      <w:r w:rsidRPr="00224FE2">
        <w:tab/>
        <w:t xml:space="preserve">keďže v reakcii na rozhodnutie litovskej vlády dočasne uzavrieť hranice s Bieloruskom začali bieloruské de </w:t>
      </w:r>
      <w:proofErr w:type="spellStart"/>
      <w:r w:rsidRPr="00224FE2">
        <w:t>facto</w:t>
      </w:r>
      <w:proofErr w:type="spellEnd"/>
      <w:r w:rsidRPr="00224FE2">
        <w:t xml:space="preserve"> orgány vyvíjať hospodársky nátlak zadržiavaním európskych nákladných vozidiel, pričom hrozili ich konfiškáciou a bránili legitímnemu cezhraničnému obchodu;</w:t>
      </w:r>
    </w:p>
    <w:p w14:paraId="4A62158D" w14:textId="77777777" w:rsidR="008667F4" w:rsidRPr="00224FE2" w:rsidRDefault="008667F4" w:rsidP="008667F4">
      <w:pPr>
        <w:pStyle w:val="NormalHanging12a"/>
      </w:pPr>
      <w:r w:rsidRPr="00224FE2">
        <w:t>H.</w:t>
      </w:r>
      <w:r w:rsidRPr="00224FE2">
        <w:tab/>
        <w:t>keďže Bielorusko od roku 2021 systematicky zneužíva migráciu smerovaním neoprávnených migrantov na litovské hranice v rámci zámernej destabilizačnej stratégie; keďže narušenia vzdušného priestoru bezpilotnými vzdušnými prostriedkami a balónmi, dezinformačné kampane a tlak na hranice predstavujú spolu vzorec koordinovanej hybridnej agresie voči Litve a EÚ;</w:t>
      </w:r>
    </w:p>
    <w:p w14:paraId="2FE1A641" w14:textId="77777777" w:rsidR="008667F4" w:rsidRPr="00224FE2" w:rsidRDefault="008667F4" w:rsidP="008667F4">
      <w:pPr>
        <w:pStyle w:val="NormalHanging12a"/>
      </w:pPr>
      <w:r w:rsidRPr="00224FE2">
        <w:t>I.</w:t>
      </w:r>
      <w:r w:rsidRPr="00224FE2">
        <w:tab/>
        <w:t>keďže 9. decembra 2025 Litva po prudkom náraste počtu balónov vypustených z Bieloruska vyhlásila výnimočný stav a povolila zostrelenie bezpilotných vzdušných prostriedkov;</w:t>
      </w:r>
    </w:p>
    <w:p w14:paraId="7EB3D1E4" w14:textId="77777777" w:rsidR="008667F4" w:rsidRPr="00224FE2" w:rsidRDefault="008667F4" w:rsidP="008667F4">
      <w:pPr>
        <w:pStyle w:val="NormalHanging12a"/>
      </w:pPr>
      <w:r w:rsidRPr="00224FE2">
        <w:t>J.</w:t>
      </w:r>
      <w:r w:rsidRPr="00224FE2">
        <w:tab/>
        <w:t>keďže Bielorusko sa pokúsilo vyhnúť sa zodpovednosti tým, že nepravdivo obvinilo Litvu zo špionáže a vykonštruovalo dôkazy, čo zodpovedá zavedenej taktike ruskej informačnej vojny zameranej na narušenie dôvery verejnosti a vyhýbaniu sa zodpovednosti; keďže boj proti takýmto akciám si vyžaduje koordinovanú komunikáciu na úrovni EÚ aj NATO;</w:t>
      </w:r>
    </w:p>
    <w:p w14:paraId="53882691" w14:textId="77777777" w:rsidR="008667F4" w:rsidRPr="00224FE2" w:rsidRDefault="008667F4" w:rsidP="008667F4">
      <w:pPr>
        <w:pStyle w:val="NormalHanging12a"/>
      </w:pPr>
      <w:r w:rsidRPr="00224FE2">
        <w:t>K.</w:t>
      </w:r>
      <w:r w:rsidRPr="00224FE2">
        <w:tab/>
        <w:t>keďže Bielorusko čoraz užšie vojensky a spravodajsky spolupracuje s Ruskom a závisí od neho, a to aj pokiaľ ide o spoločné štruktúry protivzdušnej obrany, transfer technológie systémov bezpilotných vzdušných prostriedkov a koordinované hybridné operácie zamerané na členské štáty EÚ; keďže tieto hybridné útoky slúžia strategickým záujmom Kremľa na skúšky systémov protivzdušnej obrany a detekcie, umožňujú sondovať hranice reakcie na tieto akcie a oslabujú súdržnosť NATO a EÚ;</w:t>
      </w:r>
    </w:p>
    <w:p w14:paraId="293C6391" w14:textId="77777777" w:rsidR="008667F4" w:rsidRPr="00224FE2" w:rsidRDefault="008667F4" w:rsidP="008667F4">
      <w:pPr>
        <w:pStyle w:val="NormalHanging12a"/>
      </w:pPr>
      <w:r w:rsidRPr="00224FE2">
        <w:t>L.</w:t>
      </w:r>
      <w:r w:rsidRPr="00224FE2">
        <w:tab/>
        <w:t>keďže východné krídlo EÚ predstavuje strategickú oblasť pre celkovú bezpečnosť Európy, a preto si vyžaduje posilnenú infraštruktúru, lepšie spôsobilosti dohľadu a účinné mechanizmy na rýchle posilnenie; keďže skúsenosti Litvy poukazujú na naliehavú potrebu koordinovaných opatrení EÚ, účinných a inovatívnych spôsobilostí na boj proti bezpilotným vzdušným prostriedkom, technológií na ochranu hraníc a rýchlej výmeny informácií medzi členskými štátmi;</w:t>
      </w:r>
    </w:p>
    <w:p w14:paraId="0CC471D1" w14:textId="77777777" w:rsidR="008667F4" w:rsidRPr="00224FE2" w:rsidRDefault="008667F4" w:rsidP="008667F4">
      <w:pPr>
        <w:pStyle w:val="NormalHanging12a"/>
      </w:pPr>
      <w:r w:rsidRPr="00224FE2">
        <w:t>M.</w:t>
      </w:r>
      <w:r w:rsidRPr="00224FE2">
        <w:tab/>
        <w:t xml:space="preserve">keďže v spoločnom oznámení Zachovanie mieru – Plán obrannej pripravenosti do roku 2030 sa Európska iniciatíva </w:t>
      </w:r>
      <w:proofErr w:type="spellStart"/>
      <w:r w:rsidRPr="00224FE2">
        <w:t>protidronovej</w:t>
      </w:r>
      <w:proofErr w:type="spellEnd"/>
      <w:r w:rsidRPr="00224FE2">
        <w:t xml:space="preserve"> obrany a Stráž východného krídla označujú ako iniciatívy, ktoré sa majú začať ako prvé;</w:t>
      </w:r>
    </w:p>
    <w:p w14:paraId="674F24FB" w14:textId="77777777" w:rsidR="008667F4" w:rsidRPr="00224FE2" w:rsidRDefault="008667F4" w:rsidP="008667F4">
      <w:pPr>
        <w:pStyle w:val="NormalHanging12a"/>
      </w:pPr>
      <w:r w:rsidRPr="00224FE2">
        <w:t>N.</w:t>
      </w:r>
      <w:r w:rsidRPr="00224FE2">
        <w:tab/>
        <w:t>keďže Spojené štáty rozhodli o zrušení niektorých sankcií voči Bielorusku bez predchádzajúcej koordinácie s EÚ;</w:t>
      </w:r>
    </w:p>
    <w:p w14:paraId="624AAB04" w14:textId="77777777" w:rsidR="008667F4" w:rsidRPr="00224FE2" w:rsidRDefault="008667F4" w:rsidP="008667F4">
      <w:pPr>
        <w:pStyle w:val="NormalHanging12a"/>
      </w:pPr>
      <w:r w:rsidRPr="00224FE2">
        <w:lastRenderedPageBreak/>
        <w:t>1.</w:t>
      </w:r>
      <w:r w:rsidRPr="00224FE2">
        <w:tab/>
        <w:t>dôrazne odsudzuje pokračujúce hybridné útoky Bieloruska proti Litve, a teda aj proti EÚ vrátane narušení vzdušného priestoru bezpilotnými vzdušnými prostriedkami a balónmi, zneužívania migrácie, hospodárskeho nátlaku, prevádzačských operácií, vojenských provokácií, kybernetických útokov a štátom podporovaných dezinformácií; domnieva sa, že tieto útoky sú úmyselné, koordinované a nepriateľské a sú súčasťou širšej stratégie pod vedením Ruska s cieľom oslabiť EÚ, vlády členských štátov a NATO;</w:t>
      </w:r>
    </w:p>
    <w:p w14:paraId="658F9FA1" w14:textId="77777777" w:rsidR="008667F4" w:rsidRPr="00224FE2" w:rsidRDefault="008667F4" w:rsidP="008667F4">
      <w:pPr>
        <w:pStyle w:val="NormalHanging12a"/>
      </w:pPr>
      <w:r w:rsidRPr="00224FE2">
        <w:t>2.</w:t>
      </w:r>
      <w:r w:rsidRPr="00224FE2">
        <w:tab/>
        <w:t xml:space="preserve">odsudzuje odvetné opatrenia </w:t>
      </w:r>
      <w:proofErr w:type="spellStart"/>
      <w:r w:rsidRPr="00224FE2">
        <w:t>Lukašenkovho</w:t>
      </w:r>
      <w:proofErr w:type="spellEnd"/>
      <w:r w:rsidRPr="00224FE2">
        <w:t xml:space="preserve"> režimu voči Litve vrátane nezákonného zadržiavania a zastrašovania pracovníkov európskych prevádzkovateľov nákladnej dopravy, čo predstavuje donucovacie akty zamerané na členský štát EÚ;</w:t>
      </w:r>
    </w:p>
    <w:p w14:paraId="51EBC1E6" w14:textId="77777777" w:rsidR="008667F4" w:rsidRPr="00224FE2" w:rsidRDefault="008667F4" w:rsidP="008667F4">
      <w:pPr>
        <w:pStyle w:val="NormalHanging12a"/>
      </w:pPr>
      <w:r w:rsidRPr="00224FE2">
        <w:t>3.</w:t>
      </w:r>
      <w:r w:rsidRPr="00224FE2">
        <w:tab/>
        <w:t>vyjadruje plnú solidaritu s Litvou a ďalšími členskými štátmi zasiahnutými bieloruskými hybridnými útokmi; opakuje, že hrozby pre bezpečnosť jedného členského štátu ovplyvňujú EÚ ako celok a vyžadujú si jednotnú reakciu;</w:t>
      </w:r>
    </w:p>
    <w:p w14:paraId="5C7A694C" w14:textId="3E2C4CAB" w:rsidR="008667F4" w:rsidRPr="00224FE2" w:rsidRDefault="008667F4" w:rsidP="008667F4">
      <w:pPr>
        <w:pStyle w:val="NormalHanging12a"/>
      </w:pPr>
      <w:r w:rsidRPr="00224FE2">
        <w:t>4.</w:t>
      </w:r>
      <w:r w:rsidRPr="00224FE2">
        <w:tab/>
        <w:t xml:space="preserve">žiada, aby Bielorusko okamžite zastavilo všetky hybridné útoky proti Litve </w:t>
      </w:r>
      <w:r w:rsidR="00317EDA" w:rsidRPr="00224FE2">
        <w:t xml:space="preserve">a ďalším členským štátom </w:t>
      </w:r>
      <w:r w:rsidRPr="00224FE2">
        <w:t xml:space="preserve">vrátane vypúšťania bezpilotných prostriedkov, </w:t>
      </w:r>
      <w:proofErr w:type="spellStart"/>
      <w:r w:rsidRPr="00224FE2">
        <w:t>prevádzačstva</w:t>
      </w:r>
      <w:proofErr w:type="spellEnd"/>
      <w:r w:rsidRPr="00224FE2">
        <w:t>, organizovanej trestnej činnosti podporovanej režimom, dezinformácií, hospodárskeho nátlaku, náboru osôb na spravodajské činnosti a zneužívania migrácie, okamžite prepustilo všetkých pracovníkov európskych dopravcov a uvoľnilo ich majetok, nahradilo im akékoľvek finančné straty a zabezpečilo bezpečnosť civilného letectva a hraničných priechodov;</w:t>
      </w:r>
      <w:r w:rsidR="003C0F64" w:rsidRPr="00224FE2">
        <w:t xml:space="preserve"> odsudzuje </w:t>
      </w:r>
      <w:proofErr w:type="spellStart"/>
      <w:r w:rsidR="003C0F64" w:rsidRPr="00224FE2">
        <w:t>Lukašenkov</w:t>
      </w:r>
      <w:proofErr w:type="spellEnd"/>
      <w:r w:rsidR="003C0F64" w:rsidRPr="00224FE2">
        <w:t xml:space="preserve"> režim za podnecovanie sabotáží a iných nepriateľských činov namierených proti Litve a ďalším členským štátom EÚ, poskytovanie operačnej podpory týmto činom a bezpečného útočiska páchateľom, o čom svedčí nedávny prípad výbuchu železničnej trate v Poľsku, a poskytnutie útočiska páchateľom vraždy poľského vojaka </w:t>
      </w:r>
      <w:proofErr w:type="spellStart"/>
      <w:r w:rsidR="003C0F64" w:rsidRPr="00224FE2">
        <w:t>Mateusza</w:t>
      </w:r>
      <w:proofErr w:type="spellEnd"/>
      <w:r w:rsidR="003C0F64" w:rsidRPr="00224FE2">
        <w:t xml:space="preserve"> </w:t>
      </w:r>
      <w:proofErr w:type="spellStart"/>
      <w:r w:rsidR="003C0F64" w:rsidRPr="00224FE2">
        <w:t>Siteka</w:t>
      </w:r>
      <w:proofErr w:type="spellEnd"/>
      <w:r w:rsidR="003C0F64" w:rsidRPr="00224FE2">
        <w:t>, ktorý bol zabitý na poľsko-bieloruskej hranici; vyzýva na okamžité zastavenie týchto nepriateľských akcií a na odovzdanie osôb zodpovedných za uvedené závažné trestné činy orgánom presadzovania práva;</w:t>
      </w:r>
    </w:p>
    <w:p w14:paraId="5F267328" w14:textId="77777777" w:rsidR="008667F4" w:rsidRPr="00224FE2" w:rsidRDefault="008667F4" w:rsidP="008667F4">
      <w:pPr>
        <w:pStyle w:val="NormalHanging12a"/>
      </w:pPr>
      <w:r w:rsidRPr="00224FE2">
        <w:t>5.</w:t>
      </w:r>
      <w:r w:rsidRPr="00224FE2">
        <w:tab/>
        <w:t>plne podporuje právo Litvy prijímať primerané opatrenia na boj proti akýmkoľvek útokom na ochranu svojej zvrchovanosti, verejného poriadku a bezpečnosti letectva vrátane zachytávania alebo neutralizácie bezpilotných vzdušných prostriedkov pochádzajúcich z Bieloruska;</w:t>
      </w:r>
    </w:p>
    <w:p w14:paraId="611CAA9C" w14:textId="77777777" w:rsidR="008667F4" w:rsidRPr="00224FE2" w:rsidRDefault="008667F4" w:rsidP="008667F4">
      <w:pPr>
        <w:pStyle w:val="NormalHanging12a"/>
      </w:pPr>
      <w:r w:rsidRPr="00224FE2">
        <w:t>6.</w:t>
      </w:r>
      <w:r w:rsidRPr="00224FE2">
        <w:tab/>
        <w:t xml:space="preserve">vyjadruje poľutovanie nad nedostatočnou koordináciou v súvislosti s čiastočným zrušením sankcií voči Bielorusku zo strany Spojených štátov 13. decembra 2025, čo oslabuje solidaritu a kolektívnu podporu členom EÚ a NATO, ktorí sú terčom bieloruských hybridných útokov; zdôrazňuje, že vyhlásenia osobitného vyslanca USA v Bielorusku o tom, že bieloruské de </w:t>
      </w:r>
      <w:proofErr w:type="spellStart"/>
      <w:r w:rsidRPr="00224FE2">
        <w:t>facto</w:t>
      </w:r>
      <w:proofErr w:type="spellEnd"/>
      <w:r w:rsidRPr="00224FE2">
        <w:t xml:space="preserve"> orgány poskytli ubezpečenia, že vypúšťanie balónov sa zastaví, naznačujú priznanie zodpovednosti a sú relevantné pre stanovenie zodpovednosti štátu podľa medzinárodného práva;</w:t>
      </w:r>
    </w:p>
    <w:p w14:paraId="23C9FDC9" w14:textId="77777777" w:rsidR="008667F4" w:rsidRPr="00224FE2" w:rsidRDefault="008667F4" w:rsidP="008667F4">
      <w:pPr>
        <w:pStyle w:val="NormalHanging12a"/>
      </w:pPr>
      <w:r w:rsidRPr="00224FE2">
        <w:t>7.</w:t>
      </w:r>
      <w:r w:rsidRPr="00224FE2">
        <w:tab/>
        <w:t xml:space="preserve">opätovne zdôrazňuje, že neuznáva Alexandra Lukašenka ako legitímneho prezidenta Bieloruska; zdôrazňuje, že akékoľvek preskúmanie sankcií EÚ voči Bielorusku alebo spolupráca s ním musia byť prísne podmienené tým, že Bielorusko uskutoční trvalú, overiteľnú a nezvratnú systémovú zmenu a prepustí viac ako 1100 zostávajúcich politických väzňov; vyzýva na solidaritu pri riešení hrozieb, ktoré predstavuje </w:t>
      </w:r>
      <w:proofErr w:type="spellStart"/>
      <w:r w:rsidRPr="00224FE2">
        <w:t>Lukašenkov</w:t>
      </w:r>
      <w:proofErr w:type="spellEnd"/>
      <w:r w:rsidRPr="00224FE2">
        <w:t xml:space="preserve"> režim, najmä prostredníctvom štátom riadeného zneužívania migrácie; dôrazne odsudzuje skutočnosť, že bieloruské de </w:t>
      </w:r>
      <w:proofErr w:type="spellStart"/>
      <w:r w:rsidRPr="00224FE2">
        <w:t>facto</w:t>
      </w:r>
      <w:proofErr w:type="spellEnd"/>
      <w:r w:rsidRPr="00224FE2">
        <w:t xml:space="preserve"> orgány využívajú migráciu </w:t>
      </w:r>
      <w:r w:rsidRPr="00224FE2">
        <w:lastRenderedPageBreak/>
        <w:t>na politické účely;</w:t>
      </w:r>
    </w:p>
    <w:p w14:paraId="1719DD11" w14:textId="77777777" w:rsidR="008667F4" w:rsidRPr="00224FE2" w:rsidRDefault="008667F4" w:rsidP="008667F4">
      <w:pPr>
        <w:pStyle w:val="NormalHanging12a"/>
      </w:pPr>
      <w:r w:rsidRPr="00224FE2">
        <w:t>8.</w:t>
      </w:r>
      <w:r w:rsidRPr="00224FE2">
        <w:tab/>
        <w:t>vyzýva na hlbšiu spravodajskú spoluprácu medzi EÚ a NATO v oblasti bezpečnosti vzdušného priestoru a boja proti hybridným hrozbám; vyzýva na zintenzívnenie spolupráce medzi EÚ a NATO v oblasti monitorovania litovského vzdušného priestoru vrátane jednotných protokolov klasifikácie incidentov, posilnených rotácií vzdušnej polície a koordinovaných reakcií na narušenia vzdušného priestoru balónmi alebo bezpilotnými vzdušnými prostriedkami; zdôrazňuje potrebu pravidelných spoločných cvičení so simuláciou hybridných vzdušných hrozieb; vyzýva členské štáty, aby v rámci podpory Litvy zabezpečili rýchlu cezhraničnú mobilitu vojenských a bezpečnostných prostriedkov vrátane spôsobilostí protivzdušnej obrany a spôsobilosti na boj proti bezpilotným vzdušným prostriedkom;</w:t>
      </w:r>
    </w:p>
    <w:p w14:paraId="56428EDF" w14:textId="77777777" w:rsidR="008667F4" w:rsidRPr="00224FE2" w:rsidRDefault="008667F4" w:rsidP="008667F4">
      <w:pPr>
        <w:pStyle w:val="NormalHanging12a"/>
      </w:pPr>
      <w:r w:rsidRPr="00224FE2">
        <w:t>9.</w:t>
      </w:r>
      <w:r w:rsidRPr="00224FE2">
        <w:tab/>
        <w:t>vyzýva členské štáty a spojencov NATO, aby prehodnotili súčasné strategické a operačné rámce na riešenie hybridných hrozieb s cieľom posilniť odrádzanie, pripravenosť a včasné reakcie a prejsť od reagovania na situácie k proaktívnemu odrádzaniu;</w:t>
      </w:r>
    </w:p>
    <w:p w14:paraId="526FD59B" w14:textId="77777777" w:rsidR="008667F4" w:rsidRPr="00224FE2" w:rsidRDefault="008667F4" w:rsidP="008667F4">
      <w:pPr>
        <w:pStyle w:val="NormalHanging12a"/>
      </w:pPr>
      <w:r w:rsidRPr="00224FE2">
        <w:t>10.</w:t>
      </w:r>
      <w:r w:rsidRPr="00224FE2">
        <w:tab/>
        <w:t>zdôrazňuje, že v budúcom VFR treba štrukturálne zakotviť a primerane financovať ochranu a odolnosť kritickej infraštruktúry vrátane dopravnej a leteckej infraštruktúry;</w:t>
      </w:r>
    </w:p>
    <w:p w14:paraId="276277EC" w14:textId="77777777" w:rsidR="008667F4" w:rsidRPr="00224FE2" w:rsidRDefault="008667F4" w:rsidP="008667F4">
      <w:pPr>
        <w:pStyle w:val="NormalHanging12a"/>
      </w:pPr>
      <w:r w:rsidRPr="00224FE2">
        <w:t>11.</w:t>
      </w:r>
      <w:r w:rsidRPr="00224FE2">
        <w:tab/>
        <w:t xml:space="preserve">vyzýva Komisiu a agentúru </w:t>
      </w:r>
      <w:proofErr w:type="spellStart"/>
      <w:r w:rsidRPr="00224FE2">
        <w:t>Frontex</w:t>
      </w:r>
      <w:proofErr w:type="spellEnd"/>
      <w:r w:rsidRPr="00224FE2">
        <w:t xml:space="preserve">, aby v plnom súlade so svojím mandátom podporovali posilnenie dohľadu nad litovskými hranicami a vzdušným priestorom používaním dodatočných snímačov, hliadkovacích lietadiel, mobilných súprav na boj proti bezpilotným vzdušným prostriedkom a analýzy hrozieb v reálnom čase; konštatuje, že hybridné taktiky Bieloruska odhaľujú štrukturálnu zraniteľnosť, ktorá si vyžaduje kolektívnu odozvu EÚ; víta Európsku iniciatívu </w:t>
      </w:r>
      <w:proofErr w:type="spellStart"/>
      <w:r w:rsidRPr="00224FE2">
        <w:t>protidronovej</w:t>
      </w:r>
      <w:proofErr w:type="spellEnd"/>
      <w:r w:rsidRPr="00224FE2">
        <w:t xml:space="preserve"> obrany ako hlavný európsky projekt na odhaľovanie, sledovanie nepriateľských bezpilotných vzdušných systémov a boj proti nim; víta navrhnutú iniciatívu Stráž východného krídla, ktorej cieľom je integrovať spôsobilosti v oblasti protivzdušnej obrany a obrany proti </w:t>
      </w:r>
      <w:proofErr w:type="spellStart"/>
      <w:r w:rsidRPr="00224FE2">
        <w:t>dronom</w:t>
      </w:r>
      <w:proofErr w:type="spellEnd"/>
      <w:r w:rsidRPr="00224FE2">
        <w:t xml:space="preserve"> s pozemnými obrannými systémami a námornou bezpečnosťou v regióne Baltského a Čierneho mora; vyzýva Komisiu, aby vypracovala opatrenia na ochranu infraštruktúry </w:t>
      </w:r>
      <w:proofErr w:type="spellStart"/>
      <w:r w:rsidRPr="00224FE2">
        <w:t>transeurópskej</w:t>
      </w:r>
      <w:proofErr w:type="spellEnd"/>
      <w:r w:rsidRPr="00224FE2">
        <w:t xml:space="preserve"> dopravnej siete a zabezpečenie kontinuity </w:t>
      </w:r>
      <w:proofErr w:type="spellStart"/>
      <w:r w:rsidRPr="00224FE2">
        <w:t>transeurópskych</w:t>
      </w:r>
      <w:proofErr w:type="spellEnd"/>
      <w:r w:rsidRPr="00224FE2">
        <w:t xml:space="preserve"> dopravných služieb pred budúcimi hybridnými útokmi; vyzýva na rýchlu realizáciu týchto projektov;</w:t>
      </w:r>
    </w:p>
    <w:p w14:paraId="079F5FB2" w14:textId="77777777" w:rsidR="008667F4" w:rsidRPr="00224FE2" w:rsidRDefault="008667F4" w:rsidP="008667F4">
      <w:pPr>
        <w:pStyle w:val="NormalHanging12a"/>
      </w:pPr>
      <w:r w:rsidRPr="00224FE2">
        <w:t>12.</w:t>
      </w:r>
      <w:r w:rsidRPr="00224FE2">
        <w:tab/>
        <w:t xml:space="preserve">vyzýva na hlbšiu spoluprácu medzi EÚ a Ukrajinou v oblasti </w:t>
      </w:r>
      <w:proofErr w:type="spellStart"/>
      <w:r w:rsidRPr="00224FE2">
        <w:t>dronových</w:t>
      </w:r>
      <w:proofErr w:type="spellEnd"/>
      <w:r w:rsidRPr="00224FE2">
        <w:t xml:space="preserve"> technológií, systémov boja proti bezpilotným vzdušným prostriedkom, kybernetickej ochrany a odolnosti voči hybridným hrozbám, pričom uznáva odborné znalosti Ukrajiny ako strategicky hodnotné pre bezpečnosť EÚ;</w:t>
      </w:r>
    </w:p>
    <w:p w14:paraId="0826E3AB" w14:textId="77777777" w:rsidR="008667F4" w:rsidRPr="00224FE2" w:rsidRDefault="008667F4" w:rsidP="008667F4">
      <w:pPr>
        <w:pStyle w:val="NormalHanging12a"/>
      </w:pPr>
      <w:r w:rsidRPr="00224FE2">
        <w:t>13.</w:t>
      </w:r>
      <w:r w:rsidRPr="00224FE2">
        <w:tab/>
        <w:t xml:space="preserve">víta nedávne prijatie nového kritéria pre sankcie, ktoré sa týka hybridných útokov proti členským štátom; vyzýva Radu, aby prijala ďalšie cielené sankcie voči bieloruským úradníkom, štátnym podnikom a súkromným subjektom a jednotlivcom zapojeným do výroby a nasadzovania bezpilotných vzdušných prostriedkov a všetkých ostatných hybridných operácií zameraných na kritickú infraštruktúru, hospodárske činnosti a demokratické inštitúcie; vyzýva Radu, aby prijala ďalšie odvetvové opatrenia proti Bielorusku vrátane rozšírených obmedzení v leteckom a finančnom sektore, dodatočných zákazov dovozu a investícií, širších zákazov služieb, obmedzení prístupu k riadiacim úlohám v kritickej európskej infraštruktúre a zákazov prijímania darov od bieloruských de </w:t>
      </w:r>
      <w:proofErr w:type="spellStart"/>
      <w:r w:rsidRPr="00224FE2">
        <w:t>facto</w:t>
      </w:r>
      <w:proofErr w:type="spellEnd"/>
      <w:r w:rsidRPr="00224FE2">
        <w:t xml:space="preserve"> orgánov a subjektov vo verejnom vlastníctve;</w:t>
      </w:r>
    </w:p>
    <w:p w14:paraId="56F8CCD8" w14:textId="77777777" w:rsidR="008667F4" w:rsidRPr="00224FE2" w:rsidRDefault="008667F4" w:rsidP="008667F4">
      <w:pPr>
        <w:pStyle w:val="NormalHanging12a"/>
      </w:pPr>
      <w:r w:rsidRPr="00224FE2">
        <w:lastRenderedPageBreak/>
        <w:t>14.</w:t>
      </w:r>
      <w:r w:rsidRPr="00224FE2">
        <w:tab/>
        <w:t>vyzýva EÚ a členské štáty, aby sa usilovali o medzinárodné vyvodenie zodpovednosti voči Bielorusku za jeho akcie vrátane hrozieb pre civilné letectvo, nezákonného zadržiavania pracovníkov prevádzkovateľov nákladnej dopravy z EÚ a cezhraničných represií voči Bielorusom s pobytom v členských štátoch EÚ a aby nastolili tieto otázky na príslušných medzinárodných fórach;</w:t>
      </w:r>
    </w:p>
    <w:p w14:paraId="21D75D60" w14:textId="77777777" w:rsidR="008667F4" w:rsidRPr="00224FE2" w:rsidRDefault="008667F4" w:rsidP="008667F4">
      <w:pPr>
        <w:pStyle w:val="NormalHanging12a"/>
      </w:pPr>
      <w:r w:rsidRPr="00224FE2">
        <w:t>15.</w:t>
      </w:r>
      <w:r w:rsidRPr="00224FE2">
        <w:tab/>
        <w:t>naliehavo vyzýva Radu, aby začlenila priority v oblasti bezpečnosti východných hraníc do budúceho VFR a zabezpečila trvalé investície EÚ na boj proti hybridným hrozbám a zlepšenie odolnosti kritickej infraštruktúry, vojenskej mobility a obranných technológií EÚ;</w:t>
      </w:r>
    </w:p>
    <w:p w14:paraId="5E25FCB9" w14:textId="77777777" w:rsidR="008667F4" w:rsidRPr="00224FE2" w:rsidRDefault="008667F4" w:rsidP="008667F4">
      <w:pPr>
        <w:pStyle w:val="NormalHanging12a"/>
      </w:pPr>
      <w:r w:rsidRPr="00224FE2">
        <w:t>16.</w:t>
      </w:r>
      <w:r w:rsidRPr="00224FE2">
        <w:tab/>
        <w:t xml:space="preserve">odmieta bieloruské dezinformácie šíriace vykonštruované dôkazy alebo o údajnej špionáži; vyzýva EÚ a členské štáty, aby posilnili strategickú komunikáciu, bojovali proti dezinformáciám, verejne pripisovali nepriateľské činy a vykonávali odporúčania uvedené v správe </w:t>
      </w:r>
      <w:proofErr w:type="spellStart"/>
      <w:r w:rsidRPr="00224FE2">
        <w:t>Sauliho</w:t>
      </w:r>
      <w:proofErr w:type="spellEnd"/>
      <w:r w:rsidRPr="00224FE2">
        <w:t xml:space="preserve"> </w:t>
      </w:r>
      <w:proofErr w:type="spellStart"/>
      <w:r w:rsidRPr="00224FE2">
        <w:t>Niinistöa</w:t>
      </w:r>
      <w:proofErr w:type="spellEnd"/>
      <w:r w:rsidRPr="00224FE2">
        <w:t xml:space="preserve"> s cieľom budovať odolnosť spoločnosti;</w:t>
      </w:r>
    </w:p>
    <w:p w14:paraId="725D1EAB" w14:textId="77777777" w:rsidR="008667F4" w:rsidRPr="00224FE2" w:rsidRDefault="008667F4" w:rsidP="008667F4">
      <w:pPr>
        <w:pStyle w:val="NormalHanging12a"/>
      </w:pPr>
      <w:r w:rsidRPr="00224FE2">
        <w:t>17.</w:t>
      </w:r>
      <w:r w:rsidRPr="00224FE2">
        <w:tab/>
        <w:t>vyzýva európske podniky, najmä dopravcov, aby prehodnotili bezpečnostné riziká spojené s podnikaním v Bielorusku a aby prijali vhodné ochranné opatrenia;</w:t>
      </w:r>
    </w:p>
    <w:p w14:paraId="735E39B1" w14:textId="663DE973" w:rsidR="00E365E1" w:rsidRPr="00224FE2" w:rsidRDefault="008667F4" w:rsidP="00D84222">
      <w:pPr>
        <w:pStyle w:val="NormalHanging12a"/>
      </w:pPr>
      <w:r w:rsidRPr="00224FE2">
        <w:t>18.</w:t>
      </w:r>
      <w:r w:rsidRPr="00224FE2">
        <w:tab/>
        <w:t xml:space="preserve">poveruje svoju predsedníčku, aby postúpila toto uznesenie Rade, Komisii, podpredsedníčke Komisie/vysokej predstaviteľke Únie pre zahraničné veci a bezpečnostnú politiku, členským štátom EÚ, NATO, OSN a bieloruským de </w:t>
      </w:r>
      <w:proofErr w:type="spellStart"/>
      <w:r w:rsidRPr="00224FE2">
        <w:t>facto</w:t>
      </w:r>
      <w:proofErr w:type="spellEnd"/>
      <w:r w:rsidRPr="00224FE2">
        <w:t xml:space="preserve"> orgánom.</w:t>
      </w:r>
    </w:p>
    <w:sectPr w:rsidR="00E365E1" w:rsidRPr="00224FE2" w:rsidSect="00C808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21BDF" w14:textId="77777777" w:rsidR="008B68F6" w:rsidRPr="00C8087C" w:rsidRDefault="008B68F6">
      <w:r w:rsidRPr="00C8087C">
        <w:separator/>
      </w:r>
    </w:p>
  </w:endnote>
  <w:endnote w:type="continuationSeparator" w:id="0">
    <w:p w14:paraId="24428D8D" w14:textId="77777777" w:rsidR="008B68F6" w:rsidRPr="00C8087C" w:rsidRDefault="008B68F6">
      <w:r w:rsidRPr="00C808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16C9" w14:textId="77777777" w:rsidR="00064002" w:rsidRPr="00C808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0EC4" w14:textId="77777777" w:rsidR="00064002" w:rsidRPr="00C808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3CB7" w14:textId="77777777" w:rsidR="00064002" w:rsidRPr="00C808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B1E27" w14:textId="77777777" w:rsidR="008B68F6" w:rsidRPr="00C8087C" w:rsidRDefault="008B68F6">
      <w:r w:rsidRPr="00C8087C">
        <w:separator/>
      </w:r>
    </w:p>
  </w:footnote>
  <w:footnote w:type="continuationSeparator" w:id="0">
    <w:p w14:paraId="4D063BB0" w14:textId="77777777" w:rsidR="008B68F6" w:rsidRPr="00C8087C" w:rsidRDefault="008B68F6">
      <w:r w:rsidRPr="00C808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302D" w14:textId="77777777" w:rsidR="00064002" w:rsidRPr="00C808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9F79" w14:textId="77777777" w:rsidR="00064002" w:rsidRPr="00C808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14D5" w14:textId="77777777" w:rsidR="00064002" w:rsidRPr="00C808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696235">
    <w:abstractNumId w:val="9"/>
  </w:num>
  <w:num w:numId="2" w16cid:durableId="1105466267">
    <w:abstractNumId w:val="9"/>
  </w:num>
  <w:num w:numId="3" w16cid:durableId="1080298326">
    <w:abstractNumId w:val="7"/>
  </w:num>
  <w:num w:numId="4" w16cid:durableId="918708018">
    <w:abstractNumId w:val="7"/>
  </w:num>
  <w:num w:numId="5" w16cid:durableId="586154053">
    <w:abstractNumId w:val="6"/>
  </w:num>
  <w:num w:numId="6" w16cid:durableId="1926837707">
    <w:abstractNumId w:val="6"/>
  </w:num>
  <w:num w:numId="7" w16cid:durableId="812333059">
    <w:abstractNumId w:val="5"/>
  </w:num>
  <w:num w:numId="8" w16cid:durableId="1641686702">
    <w:abstractNumId w:val="5"/>
  </w:num>
  <w:num w:numId="9" w16cid:durableId="104473169">
    <w:abstractNumId w:val="4"/>
  </w:num>
  <w:num w:numId="10" w16cid:durableId="445658620">
    <w:abstractNumId w:val="4"/>
  </w:num>
  <w:num w:numId="11" w16cid:durableId="318074238">
    <w:abstractNumId w:val="8"/>
  </w:num>
  <w:num w:numId="12" w16cid:durableId="2067876600">
    <w:abstractNumId w:val="8"/>
  </w:num>
  <w:num w:numId="13" w16cid:durableId="661157958">
    <w:abstractNumId w:val="3"/>
  </w:num>
  <w:num w:numId="14" w16cid:durableId="1282766961">
    <w:abstractNumId w:val="3"/>
  </w:num>
  <w:num w:numId="15" w16cid:durableId="1591739768">
    <w:abstractNumId w:val="2"/>
  </w:num>
  <w:num w:numId="16" w16cid:durableId="1323004877">
    <w:abstractNumId w:val="2"/>
  </w:num>
  <w:num w:numId="17" w16cid:durableId="1187787514">
    <w:abstractNumId w:val="1"/>
  </w:num>
  <w:num w:numId="18" w16cid:durableId="697047922">
    <w:abstractNumId w:val="1"/>
  </w:num>
  <w:num w:numId="19" w16cid:durableId="376701498">
    <w:abstractNumId w:val="0"/>
  </w:num>
  <w:num w:numId="20" w16cid:durableId="9258200">
    <w:abstractNumId w:val="0"/>
  </w:num>
  <w:num w:numId="21" w16cid:durableId="1266302861">
    <w:abstractNumId w:val="9"/>
  </w:num>
  <w:num w:numId="22" w16cid:durableId="1736203400">
    <w:abstractNumId w:val="7"/>
  </w:num>
  <w:num w:numId="23" w16cid:durableId="2108965898">
    <w:abstractNumId w:val="6"/>
  </w:num>
  <w:num w:numId="24" w16cid:durableId="163977128">
    <w:abstractNumId w:val="5"/>
  </w:num>
  <w:num w:numId="25" w16cid:durableId="1689943899">
    <w:abstractNumId w:val="4"/>
  </w:num>
  <w:num w:numId="26" w16cid:durableId="475297099">
    <w:abstractNumId w:val="8"/>
  </w:num>
  <w:num w:numId="27" w16cid:durableId="1827436639">
    <w:abstractNumId w:val="3"/>
  </w:num>
  <w:num w:numId="28" w16cid:durableId="960502726">
    <w:abstractNumId w:val="2"/>
  </w:num>
  <w:num w:numId="29" w16cid:durableId="451680351">
    <w:abstractNumId w:val="1"/>
  </w:num>
  <w:num w:numId="30" w16cid:durableId="876117206">
    <w:abstractNumId w:val="0"/>
  </w:num>
  <w:num w:numId="31" w16cid:durableId="1286233114">
    <w:abstractNumId w:val="9"/>
  </w:num>
  <w:num w:numId="32" w16cid:durableId="556817280">
    <w:abstractNumId w:val="7"/>
  </w:num>
  <w:num w:numId="33" w16cid:durableId="476609027">
    <w:abstractNumId w:val="6"/>
  </w:num>
  <w:num w:numId="34" w16cid:durableId="1581987594">
    <w:abstractNumId w:val="5"/>
  </w:num>
  <w:num w:numId="35" w16cid:durableId="1980718799">
    <w:abstractNumId w:val="4"/>
  </w:num>
  <w:num w:numId="36" w16cid:durableId="168375966">
    <w:abstractNumId w:val="8"/>
  </w:num>
  <w:num w:numId="37" w16cid:durableId="1256935033">
    <w:abstractNumId w:val="3"/>
  </w:num>
  <w:num w:numId="38" w16cid:durableId="282422831">
    <w:abstractNumId w:val="2"/>
  </w:num>
  <w:num w:numId="39" w16cid:durableId="1884095337">
    <w:abstractNumId w:val="1"/>
  </w:num>
  <w:num w:numId="40" w16cid:durableId="1509295528">
    <w:abstractNumId w:val="0"/>
  </w:num>
  <w:num w:numId="41" w16cid:durableId="945233627">
    <w:abstractNumId w:val="10"/>
  </w:num>
  <w:num w:numId="42" w16cid:durableId="1518500399">
    <w:abstractNumId w:val="10"/>
  </w:num>
  <w:num w:numId="43" w16cid:durableId="1692802117">
    <w:abstractNumId w:val="10"/>
  </w:num>
  <w:num w:numId="44" w16cid:durableId="299505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, 0578, 0582, 0585 a 0587/2025"/>
    <w:docVar w:name="dvlangue" w:val="SK"/>
    <w:docVar w:name="dvnumam" w:val="0"/>
    <w:docVar w:name="dvpe" w:val="779.052"/>
    <w:docVar w:name="dvtitre" w:val="Uznesenie Európskeho parlamentu z 18. decembra 2025 o neustálych bieloruských hybridných útokoch proti Litve (2025/3025(RSP))"/>
  </w:docVars>
  <w:rsids>
    <w:rsidRoot w:val="008B68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FE2"/>
    <w:rsid w:val="00241AA7"/>
    <w:rsid w:val="002767FF"/>
    <w:rsid w:val="002B18FE"/>
    <w:rsid w:val="002B5493"/>
    <w:rsid w:val="00317EDA"/>
    <w:rsid w:val="00343214"/>
    <w:rsid w:val="00361C00"/>
    <w:rsid w:val="00363ED2"/>
    <w:rsid w:val="003911BF"/>
    <w:rsid w:val="00395FA1"/>
    <w:rsid w:val="003C0F64"/>
    <w:rsid w:val="003E15D4"/>
    <w:rsid w:val="00411CCE"/>
    <w:rsid w:val="0041666E"/>
    <w:rsid w:val="00421060"/>
    <w:rsid w:val="0044480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08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7F4"/>
    <w:rsid w:val="00881A7B"/>
    <w:rsid w:val="008840E5"/>
    <w:rsid w:val="00887B3E"/>
    <w:rsid w:val="008B68F6"/>
    <w:rsid w:val="008C2AC6"/>
    <w:rsid w:val="00930C23"/>
    <w:rsid w:val="0093193B"/>
    <w:rsid w:val="009509D8"/>
    <w:rsid w:val="00950B64"/>
    <w:rsid w:val="0096377E"/>
    <w:rsid w:val="00981893"/>
    <w:rsid w:val="00A1687D"/>
    <w:rsid w:val="00A43E52"/>
    <w:rsid w:val="00A4678D"/>
    <w:rsid w:val="00A778C7"/>
    <w:rsid w:val="00A9155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87C"/>
    <w:rsid w:val="00C941CB"/>
    <w:rsid w:val="00CC2357"/>
    <w:rsid w:val="00CF071A"/>
    <w:rsid w:val="00D058B8"/>
    <w:rsid w:val="00D56C11"/>
    <w:rsid w:val="00D834A0"/>
    <w:rsid w:val="00D84222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03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72040"/>
  <w15:chartTrackingRefBased/>
  <w15:docId w15:val="{395A4538-EEF1-4595-A397-A26512D3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667F4"/>
    <w:pPr>
      <w:spacing w:after="240"/>
      <w:ind w:left="567" w:hanging="567"/>
    </w:pPr>
  </w:style>
  <w:style w:type="paragraph" w:customStyle="1" w:styleId="EPComma">
    <w:name w:val="EPComma"/>
    <w:basedOn w:val="Normal"/>
    <w:rsid w:val="008667F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8667F4"/>
    <w:rPr>
      <w:sz w:val="24"/>
      <w:lang w:val="sk-SK"/>
    </w:rPr>
  </w:style>
  <w:style w:type="paragraph" w:styleId="Revision">
    <w:name w:val="Revision"/>
    <w:hidden/>
    <w:uiPriority w:val="99"/>
    <w:semiHidden/>
    <w:rsid w:val="00A9155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1698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2025-12-18T12:35:00Z</dcterms:created>
  <dcterms:modified xsi:type="dcterms:W3CDTF">2025-12-18T12:35:00Z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B10-0571, 0578, 0582, 0585 a 0587/2025</vt:lpwstr>
  </property>
  <property fmtid="{D5CDD505-2E9C-101B-9397-08002B2CF9AE}" pid="4" name="&lt;Type&gt;">
    <vt:lpwstr>RR</vt:lpwstr>
  </property>
</Properties>
</file>