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5D21" w14:paraId="41D9DC83" w14:textId="77777777" w:rsidTr="0010095E">
        <w:trPr>
          <w:trHeight w:hRule="exact" w:val="1418"/>
        </w:trPr>
        <w:tc>
          <w:tcPr>
            <w:tcW w:w="6804" w:type="dxa"/>
            <w:shd w:val="clear" w:color="auto" w:fill="auto"/>
            <w:vAlign w:val="center"/>
          </w:tcPr>
          <w:p w14:paraId="7DC3C5CC" w14:textId="77777777" w:rsidR="00751A4A" w:rsidRPr="00EB5D21" w:rsidRDefault="002E787F" w:rsidP="0010095E">
            <w:pPr>
              <w:pStyle w:val="EPName"/>
            </w:pPr>
            <w:r w:rsidRPr="00EB5D21">
              <w:t>Ευρωπαϊκό Κοινοβούλιο</w:t>
            </w:r>
          </w:p>
          <w:p w14:paraId="5A8820B0" w14:textId="77777777" w:rsidR="00751A4A" w:rsidRPr="00EB5D21" w:rsidRDefault="005F1B17" w:rsidP="005F1B17">
            <w:pPr>
              <w:pStyle w:val="EPTerm"/>
              <w:rPr>
                <w:rStyle w:val="HideTWBExt"/>
                <w:noProof w:val="0"/>
                <w:vanish w:val="0"/>
                <w:color w:val="auto"/>
              </w:rPr>
            </w:pPr>
            <w:r w:rsidRPr="00EB5D21">
              <w:t>2024</w:t>
            </w:r>
            <w:r w:rsidR="00817416" w:rsidRPr="00EB5D21">
              <w:t>-202</w:t>
            </w:r>
            <w:r w:rsidRPr="00EB5D21">
              <w:t>9</w:t>
            </w:r>
          </w:p>
        </w:tc>
        <w:tc>
          <w:tcPr>
            <w:tcW w:w="2268" w:type="dxa"/>
            <w:shd w:val="clear" w:color="auto" w:fill="auto"/>
          </w:tcPr>
          <w:p w14:paraId="335AEA43" w14:textId="77777777" w:rsidR="00751A4A" w:rsidRPr="00EB5D21" w:rsidRDefault="00187494" w:rsidP="0010095E">
            <w:pPr>
              <w:pStyle w:val="EPLogo"/>
            </w:pPr>
            <w:r w:rsidRPr="00EB5D21">
              <w:rPr>
                <w:noProof/>
                <w:lang w:eastAsia="ja-JP"/>
              </w:rPr>
              <w:drawing>
                <wp:inline distT="0" distB="0" distL="0" distR="0" wp14:anchorId="1DCE42BE" wp14:editId="0CE33D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ED7510" w14:textId="77777777" w:rsidR="00D058B8" w:rsidRPr="00EB5D21" w:rsidRDefault="00D058B8" w:rsidP="004C5D52">
      <w:pPr>
        <w:pStyle w:val="LineTop"/>
      </w:pPr>
    </w:p>
    <w:p w14:paraId="79B0E118" w14:textId="77777777" w:rsidR="00680577" w:rsidRPr="00EB5D21" w:rsidRDefault="002E787F" w:rsidP="00680577">
      <w:pPr>
        <w:pStyle w:val="EPBodyTA1"/>
      </w:pPr>
      <w:r w:rsidRPr="00EB5D21">
        <w:t>ΚΕΙΜΕΝΑ ΠΟΥ ΕΓΚΡΙΘΗΚΑΝ</w:t>
      </w:r>
    </w:p>
    <w:p w14:paraId="11B84058" w14:textId="77777777" w:rsidR="00D058B8" w:rsidRPr="00EB5D21" w:rsidRDefault="00D058B8" w:rsidP="00D058B8">
      <w:pPr>
        <w:pStyle w:val="LineBottom"/>
      </w:pPr>
    </w:p>
    <w:p w14:paraId="648935BA" w14:textId="5CB38CD5" w:rsidR="002E787F" w:rsidRPr="00EA7A32" w:rsidRDefault="002E787F" w:rsidP="002E787F">
      <w:pPr>
        <w:pStyle w:val="ATHeading1"/>
      </w:pPr>
      <w:bookmarkStart w:id="0" w:name="TANumber"/>
      <w:r w:rsidRPr="00EB5D21">
        <w:t>P10_TA(2026)000</w:t>
      </w:r>
      <w:r w:rsidR="00EA7A32" w:rsidRPr="00EA7A32">
        <w:t>2</w:t>
      </w:r>
      <w:bookmarkEnd w:id="0"/>
    </w:p>
    <w:p w14:paraId="7EDEFE87" w14:textId="77777777" w:rsidR="002E787F" w:rsidRPr="00EB5D21" w:rsidRDefault="002E787F" w:rsidP="002E787F">
      <w:pPr>
        <w:pStyle w:val="ATHeading2"/>
      </w:pPr>
      <w:bookmarkStart w:id="1" w:name="title"/>
      <w:r w:rsidRPr="00EB5D21">
        <w:t>Το 28ο καθεστώς: ένα νέο νομικό πλαίσιο για καινοτόμες επιχειρήσεις</w:t>
      </w:r>
      <w:bookmarkEnd w:id="1"/>
    </w:p>
    <w:p w14:paraId="4BD778B4" w14:textId="77777777" w:rsidR="002E787F" w:rsidRPr="00EB5D21" w:rsidRDefault="002E787F" w:rsidP="002E787F">
      <w:pPr>
        <w:rPr>
          <w:i/>
          <w:vanish/>
        </w:rPr>
      </w:pPr>
      <w:r w:rsidRPr="00EB5D21">
        <w:rPr>
          <w:i/>
        </w:rPr>
        <w:fldChar w:fldCharType="begin"/>
      </w:r>
      <w:r w:rsidRPr="00EB5D21">
        <w:rPr>
          <w:i/>
        </w:rPr>
        <w:instrText xml:space="preserve"> TC"(</w:instrText>
      </w:r>
      <w:bookmarkStart w:id="2" w:name="DocNumber"/>
      <w:r w:rsidRPr="00EB5D21">
        <w:rPr>
          <w:i/>
        </w:rPr>
        <w:instrText>A10-0269/2025</w:instrText>
      </w:r>
      <w:bookmarkEnd w:id="2"/>
      <w:r w:rsidRPr="00EB5D21">
        <w:rPr>
          <w:i/>
        </w:rPr>
        <w:instrText xml:space="preserve"> - Εισηγητής: René Repasi)"\l3 \n&gt; \* MERGEFORMAT </w:instrText>
      </w:r>
      <w:r w:rsidRPr="00EB5D21">
        <w:rPr>
          <w:i/>
        </w:rPr>
        <w:fldChar w:fldCharType="end"/>
      </w:r>
    </w:p>
    <w:p w14:paraId="243E6E61" w14:textId="77777777" w:rsidR="002E787F" w:rsidRPr="00EB5D21" w:rsidRDefault="002E787F" w:rsidP="002E787F">
      <w:pPr>
        <w:rPr>
          <w:vanish/>
        </w:rPr>
      </w:pPr>
      <w:bookmarkStart w:id="3" w:name="Commission"/>
      <w:r w:rsidRPr="00EB5D21">
        <w:rPr>
          <w:vanish/>
        </w:rPr>
        <w:t>Επιτροπή Νομικών Θεμάτων</w:t>
      </w:r>
      <w:bookmarkEnd w:id="3"/>
    </w:p>
    <w:p w14:paraId="0A1D42AD" w14:textId="77777777" w:rsidR="002E787F" w:rsidRPr="00EB5D21" w:rsidRDefault="002E787F" w:rsidP="002E787F">
      <w:pPr>
        <w:rPr>
          <w:vanish/>
        </w:rPr>
      </w:pPr>
      <w:bookmarkStart w:id="4" w:name="PE"/>
      <w:r w:rsidRPr="00EB5D21">
        <w:rPr>
          <w:vanish/>
        </w:rPr>
        <w:t>PE773.199</w:t>
      </w:r>
      <w:bookmarkEnd w:id="4"/>
    </w:p>
    <w:p w14:paraId="1F93AC9C" w14:textId="7EB00907" w:rsidR="002E787F" w:rsidRPr="00EB5D21" w:rsidRDefault="002E787F" w:rsidP="002E787F">
      <w:pPr>
        <w:pStyle w:val="ATHeading3"/>
      </w:pPr>
      <w:bookmarkStart w:id="5" w:name="Sujet"/>
      <w:r w:rsidRPr="00EB5D21">
        <w:t xml:space="preserve">Ψήφισμα του Ευρωπαϊκού Κοινοβουλίου της </w:t>
      </w:r>
      <w:r w:rsidR="00097354">
        <w:t>20ής Ιανουαρίου</w:t>
      </w:r>
      <w:r w:rsidR="00097354" w:rsidRPr="00EB5D21">
        <w:t xml:space="preserve"> </w:t>
      </w:r>
      <w:r w:rsidRPr="00EB5D21">
        <w:t>2026 που περιέχει συστάσεις προς την Επιτροπή σχετικά με το 28ο καθεστώς: ένα νέο νομικό πλαίσιο για καινοτόμες επιχειρήσεις</w:t>
      </w:r>
      <w:bookmarkEnd w:id="5"/>
      <w:r w:rsidRPr="00EB5D21">
        <w:t xml:space="preserve"> </w:t>
      </w:r>
      <w:bookmarkStart w:id="6" w:name="References"/>
      <w:r w:rsidRPr="00EB5D21">
        <w:t>(2025/2079(INL))</w:t>
      </w:r>
      <w:bookmarkEnd w:id="6"/>
    </w:p>
    <w:p w14:paraId="2D275F33" w14:textId="77777777" w:rsidR="00C374C4" w:rsidRPr="00EB5D21" w:rsidRDefault="00C374C4" w:rsidP="00C374C4">
      <w:pPr>
        <w:pStyle w:val="EPComma"/>
      </w:pPr>
      <w:r w:rsidRPr="00EB5D21">
        <w:rPr>
          <w:i/>
        </w:rPr>
        <w:t>Το Ευρωπαϊκό Κοινοβούλιο</w:t>
      </w:r>
      <w:r w:rsidRPr="00EB5D21">
        <w:t>,</w:t>
      </w:r>
    </w:p>
    <w:p w14:paraId="5A7BF8AC" w14:textId="77777777" w:rsidR="00C374C4" w:rsidRPr="00EB5D21" w:rsidRDefault="00C374C4" w:rsidP="00C374C4">
      <w:pPr>
        <w:pStyle w:val="NormalHanging12a"/>
      </w:pPr>
      <w:r w:rsidRPr="00EB5D21">
        <w:t>–</w:t>
      </w:r>
      <w:r w:rsidRPr="00EB5D21">
        <w:tab/>
        <w:t>έχοντας υπόψη το άρθρο 225 της Συνθήκης για τη λειτουργία της Ευρωπαϊκής Ένωσης,</w:t>
      </w:r>
    </w:p>
    <w:p w14:paraId="60FFD3D2" w14:textId="77777777" w:rsidR="00C374C4" w:rsidRPr="00EB5D21" w:rsidRDefault="00C374C4" w:rsidP="00C374C4">
      <w:pPr>
        <w:spacing w:after="240"/>
        <w:ind w:left="567" w:hanging="567"/>
      </w:pPr>
      <w:r w:rsidRPr="00EB5D21">
        <w:t>–</w:t>
      </w:r>
      <w:r w:rsidRPr="00EB5D21">
        <w:tab/>
        <w:t>έχοντας υπόψη το άρθρο 50 και το άρθρο 114 παράγραφος 1 της Συνθήκης για τη λειτουργία της Ευρωπαϊκής Ένωσης,</w:t>
      </w:r>
    </w:p>
    <w:p w14:paraId="516E0A5C" w14:textId="77777777" w:rsidR="00C374C4" w:rsidRPr="00EB5D21" w:rsidRDefault="00C374C4" w:rsidP="00C374C4">
      <w:pPr>
        <w:widowControl/>
        <w:shd w:val="clear" w:color="auto" w:fill="FFFFFF" w:themeFill="background1"/>
        <w:spacing w:after="240"/>
        <w:ind w:left="567" w:hanging="567"/>
        <w:rPr>
          <w:color w:val="1E1E1F"/>
        </w:rPr>
      </w:pPr>
      <w:r w:rsidRPr="00EB5D21">
        <w:t>–</w:t>
      </w:r>
      <w:r w:rsidRPr="00EB5D21">
        <w:tab/>
      </w:r>
      <w:r w:rsidRPr="00EB5D21">
        <w:rPr>
          <w:color w:val="1E1E1F"/>
        </w:rPr>
        <w:t>έχοντας υπόψη τον κανονισμό (ΕΚ) αριθ. 593/2008 του Ευρωπαϊκού Κοινοβουλίου και του Συμβουλίου, της 17ης Ιουνίου 2008, για το εφαρμοστέο δίκαιο στις συμβατικές ενοχές (Ρώμη Ι)</w:t>
      </w:r>
      <w:r w:rsidRPr="00EB5D21">
        <w:rPr>
          <w:color w:val="1E1E1F"/>
          <w:szCs w:val="24"/>
          <w:vertAlign w:val="superscript"/>
        </w:rPr>
        <w:footnoteReference w:id="1"/>
      </w:r>
      <w:r w:rsidRPr="00EB5D21">
        <w:rPr>
          <w:color w:val="1E1E1F"/>
        </w:rPr>
        <w:t>,</w:t>
      </w:r>
    </w:p>
    <w:p w14:paraId="05905AEB" w14:textId="77777777" w:rsidR="00C374C4" w:rsidRPr="00EB5D21" w:rsidRDefault="00C374C4" w:rsidP="00C374C4">
      <w:pPr>
        <w:widowControl/>
        <w:shd w:val="clear" w:color="auto" w:fill="FFFFFF" w:themeFill="background1"/>
        <w:spacing w:after="240"/>
        <w:ind w:left="567" w:hanging="567"/>
        <w:rPr>
          <w:color w:val="1E1E1F"/>
        </w:rPr>
      </w:pPr>
      <w:r w:rsidRPr="00EB5D21">
        <w:t>–</w:t>
      </w:r>
      <w:r w:rsidRPr="00EB5D21">
        <w:tab/>
      </w:r>
      <w:r w:rsidRPr="00EB5D21">
        <w:rPr>
          <w:color w:val="1E1E1F"/>
        </w:rPr>
        <w:t>έχοντας υπόψη τον κανονισμό (ΕΕ) αριθ. 1215/2012 του Ευρωπαϊκού Κοινοβουλίου και του Συμβουλίου, της 12ης Δεκεμβρίου 2012, για τη διεθνή δικαιοδοσία, την αναγνώριση και την εκτέλεση αποφάσεων σε αστικές και εμπορικές υποθέσεις</w:t>
      </w:r>
      <w:r w:rsidRPr="00EB5D21">
        <w:rPr>
          <w:color w:val="1E1E1F"/>
          <w:vertAlign w:val="superscript"/>
        </w:rPr>
        <w:footnoteReference w:id="2"/>
      </w:r>
      <w:r w:rsidRPr="00EB5D21">
        <w:rPr>
          <w:color w:val="1E1E1F"/>
        </w:rPr>
        <w:t>,</w:t>
      </w:r>
    </w:p>
    <w:p w14:paraId="0DFCA7A4" w14:textId="77777777" w:rsidR="00C374C4" w:rsidRPr="00EB5D21" w:rsidRDefault="00C374C4" w:rsidP="00C374C4">
      <w:pPr>
        <w:widowControl/>
        <w:shd w:val="clear" w:color="auto" w:fill="FFFFFF" w:themeFill="background1"/>
        <w:spacing w:after="240"/>
        <w:ind w:left="567" w:hanging="567"/>
        <w:rPr>
          <w:color w:val="1E1E1F"/>
        </w:rPr>
      </w:pPr>
      <w:r w:rsidRPr="00EB5D21">
        <w:t>–</w:t>
      </w:r>
      <w:r w:rsidRPr="00EB5D21">
        <w:tab/>
      </w:r>
      <w:r w:rsidRPr="00EB5D21">
        <w:rPr>
          <w:color w:val="1E1E1F"/>
        </w:rPr>
        <w:t>έχοντας υπόψη τον κανονισμό (ΕΕ) αριθ. 910/2014 του Ευρωπαϊκού Κοινοβουλίου και του Συμβουλίου, της 23ης Ιουλίου 2014, σχετικά με την ηλεκτρονική ταυτοποίηση και τις υπηρεσίες εμπιστοσύνης για τις ηλεκτρονικές συναλλαγές στην εσωτερική αγορά και την κατάργηση της οδηγίας 1999/93/ΕΚ</w:t>
      </w:r>
      <w:r w:rsidRPr="00EB5D21">
        <w:rPr>
          <w:color w:val="1E1E1F"/>
          <w:vertAlign w:val="superscript"/>
        </w:rPr>
        <w:footnoteReference w:id="3"/>
      </w:r>
      <w:r w:rsidRPr="00EB5D21">
        <w:rPr>
          <w:color w:val="1E1E1F"/>
        </w:rPr>
        <w:t>,</w:t>
      </w:r>
    </w:p>
    <w:p w14:paraId="1B7A7883" w14:textId="77777777" w:rsidR="00C374C4" w:rsidRPr="00EB5D21" w:rsidRDefault="00C374C4" w:rsidP="00C374C4">
      <w:pPr>
        <w:spacing w:after="240"/>
        <w:ind w:left="567" w:hanging="567"/>
      </w:pPr>
      <w:r w:rsidRPr="00EB5D21">
        <w:rPr>
          <w:b/>
          <w:i/>
          <w:color w:val="000000"/>
          <w:u w:color="000000"/>
        </w:rPr>
        <w:t>–</w:t>
      </w:r>
      <w:r w:rsidRPr="00EB5D21">
        <w:rPr>
          <w:b/>
          <w:i/>
          <w:color w:val="000000"/>
          <w:u w:color="000000"/>
        </w:rPr>
        <w:tab/>
      </w:r>
      <w:r w:rsidRPr="00EB5D21">
        <w:rPr>
          <w:color w:val="000000"/>
          <w:u w:color="000000"/>
        </w:rPr>
        <w:t>έχοντας υπόψη την οδηγία 2009/102/ΕΚ του Ευρωπαϊκού Κοινοβουλίου και του Συμβουλίου, της 16ης Σεπτεμβρίου 2009, στον τομέα του δικαίου των εταιρειών σχετικά με τις εταιρείες περιορισμένης ευθύνης με ένα και μόνο εταίρο</w:t>
      </w:r>
      <w:r w:rsidRPr="00EB5D21">
        <w:rPr>
          <w:rStyle w:val="FootnoteReference"/>
          <w:color w:val="000000"/>
          <w:szCs w:val="24"/>
          <w:u w:color="000000"/>
        </w:rPr>
        <w:footnoteReference w:id="4"/>
      </w:r>
      <w:r w:rsidRPr="00EB5D21">
        <w:rPr>
          <w:color w:val="000000"/>
          <w:u w:color="000000"/>
        </w:rPr>
        <w:t>,</w:t>
      </w:r>
    </w:p>
    <w:p w14:paraId="19173AF4" w14:textId="3EE6CE9C" w:rsidR="00097354" w:rsidRDefault="00097354" w:rsidP="00C374C4">
      <w:pPr>
        <w:spacing w:after="240"/>
        <w:ind w:left="567" w:hanging="567"/>
      </w:pPr>
      <w:r w:rsidRPr="00EB5D21">
        <w:t>–</w:t>
      </w:r>
      <w:r w:rsidRPr="00EB5D21">
        <w:tab/>
      </w:r>
      <w:r w:rsidRPr="00EB5D21">
        <w:rPr>
          <w:color w:val="1E1E1F"/>
        </w:rPr>
        <w:t xml:space="preserve">έχοντας υπόψη την οδηγία (ΕΕ) 2017/1132 του Ευρωπαϊκού Κοινοβουλίου και του Συμβουλίου, της 14ης Ιουνίου 2017, σχετικά με ορισμένες πτυχές του εταιρικού </w:t>
      </w:r>
      <w:r w:rsidRPr="00EB5D21">
        <w:rPr>
          <w:color w:val="1E1E1F"/>
        </w:rPr>
        <w:lastRenderedPageBreak/>
        <w:t>δικαίου</w:t>
      </w:r>
      <w:r w:rsidRPr="00EB5D21">
        <w:rPr>
          <w:color w:val="1E1E1F"/>
          <w:szCs w:val="24"/>
          <w:vertAlign w:val="superscript"/>
        </w:rPr>
        <w:footnoteReference w:id="5"/>
      </w:r>
      <w:r w:rsidRPr="00EB5D21">
        <w:rPr>
          <w:color w:val="1E1E1F"/>
        </w:rPr>
        <w:t>,</w:t>
      </w:r>
    </w:p>
    <w:p w14:paraId="446DF109" w14:textId="05C280A1" w:rsidR="00C374C4" w:rsidRPr="00EB5D21" w:rsidRDefault="00C374C4" w:rsidP="00C374C4">
      <w:pPr>
        <w:spacing w:after="240"/>
        <w:ind w:left="567" w:hanging="567"/>
      </w:pPr>
      <w:r w:rsidRPr="00EB5D21">
        <w:t>–</w:t>
      </w:r>
      <w:r w:rsidRPr="00EB5D21">
        <w:tab/>
        <w:t>έχοντας υπόψη την οδηγία (ΕΕ) 2019/2121 του Ευρωπαϊκού Κοινοβουλίου και του Συμβουλίου</w:t>
      </w:r>
      <w:r w:rsidR="00CA71EB">
        <w:t>,</w:t>
      </w:r>
      <w:r w:rsidRPr="00EB5D21">
        <w:t xml:space="preserve"> της 27ης Νοεμβρίου 2019</w:t>
      </w:r>
      <w:r w:rsidR="00CA71EB">
        <w:t>,</w:t>
      </w:r>
      <w:r w:rsidRPr="00EB5D21">
        <w:t xml:space="preserve"> για την τροποποίηση της οδηγίας (ΕΕ) 2017/1132 όσον αφορά τις διασυνοριακές μετατροπές, συγχωνεύσεις και διασπάσεις</w:t>
      </w:r>
      <w:r w:rsidRPr="00EB5D21">
        <w:rPr>
          <w:rStyle w:val="FootnoteReference"/>
        </w:rPr>
        <w:footnoteReference w:id="6"/>
      </w:r>
      <w:r w:rsidR="006E7F37">
        <w:t>,</w:t>
      </w:r>
    </w:p>
    <w:p w14:paraId="48C4CFFE" w14:textId="7DC0A0BC" w:rsidR="00C374C4" w:rsidRPr="00EB5D21" w:rsidRDefault="00C374C4" w:rsidP="00C374C4">
      <w:pPr>
        <w:spacing w:after="240"/>
        <w:ind w:left="567" w:hanging="567"/>
      </w:pPr>
      <w:r w:rsidRPr="00EB5D21">
        <w:t>–</w:t>
      </w:r>
      <w:r w:rsidRPr="00EB5D21">
        <w:tab/>
        <w:t>έχοντας υπόψη την οδηγία (ΕΕ) 2025/25 του Ευρωπαϊκού Κοινοβουλίου και του Συμβουλίου</w:t>
      </w:r>
      <w:r w:rsidR="00CA71EB">
        <w:t>, της 19ης Δεκεμβρίου 2024,</w:t>
      </w:r>
      <w:r w:rsidRPr="00EB5D21">
        <w:t xml:space="preserve"> για την τροποποίηση των οδηγιών 2009/102/ΕΚ και (ΕΕ) 2017/1132 όσον αφορά την περαιτέρω επέκταση και αναβάθμιση της χρήσης των ψηφιακών εργαλείων και διαδικασιών στο εταιρικό δίκαιο</w:t>
      </w:r>
      <w:r w:rsidRPr="00EB5D21">
        <w:rPr>
          <w:rStyle w:val="FootnoteReference"/>
        </w:rPr>
        <w:footnoteReference w:id="7"/>
      </w:r>
      <w:r w:rsidRPr="00EB5D21">
        <w:t>,</w:t>
      </w:r>
    </w:p>
    <w:p w14:paraId="416C286D" w14:textId="77777777" w:rsidR="00C374C4" w:rsidRPr="00EB5D21" w:rsidRDefault="00C374C4" w:rsidP="00C374C4">
      <w:pPr>
        <w:widowControl/>
        <w:shd w:val="clear" w:color="auto" w:fill="FFFFFF"/>
        <w:spacing w:after="240"/>
        <w:ind w:left="567" w:hanging="567"/>
      </w:pPr>
      <w:r w:rsidRPr="00EB5D21">
        <w:rPr>
          <w:color w:val="1E1E1F"/>
        </w:rPr>
        <w:t>–</w:t>
      </w:r>
      <w:r w:rsidRPr="00EB5D21">
        <w:rPr>
          <w:rFonts w:ascii="Helvetica" w:hAnsi="Helvetica"/>
          <w:color w:val="1E1E1F"/>
        </w:rPr>
        <w:tab/>
      </w:r>
      <w:r w:rsidRPr="00EB5D21">
        <w:t>έχοντας υπόψη την οδηγία 2001/86/ΕΚ του Συμβουλίου, της 8ης Οκτωβρίου 2001, για τη συμπλήρωση του καταστατικού της ευρωπαϊκής εταιρείας όσον αφορά το ρόλο των εργαζομένων</w:t>
      </w:r>
      <w:r w:rsidRPr="00EB5D21">
        <w:rPr>
          <w:rStyle w:val="FootnoteReference"/>
        </w:rPr>
        <w:footnoteReference w:id="8"/>
      </w:r>
      <w:r w:rsidRPr="00EB5D21">
        <w:t>,</w:t>
      </w:r>
    </w:p>
    <w:p w14:paraId="6D57BFAD" w14:textId="56D8AEE8" w:rsidR="00C374C4" w:rsidRPr="00EB5D21" w:rsidRDefault="00C374C4" w:rsidP="00C374C4">
      <w:pPr>
        <w:widowControl/>
        <w:shd w:val="clear" w:color="auto" w:fill="FFFFFF"/>
        <w:spacing w:after="240"/>
        <w:ind w:left="567" w:hanging="567"/>
        <w:rPr>
          <w:rFonts w:ascii="Helvetica" w:hAnsi="Helvetica"/>
          <w:color w:val="1E1E1F"/>
          <w:szCs w:val="24"/>
        </w:rPr>
      </w:pPr>
      <w:bookmarkStart w:id="7" w:name="_Hlk216705041"/>
      <w:r w:rsidRPr="00EB5D21">
        <w:rPr>
          <w:color w:val="1E1E1F"/>
        </w:rPr>
        <w:t>–</w:t>
      </w:r>
      <w:r w:rsidRPr="00EB5D21">
        <w:rPr>
          <w:rFonts w:ascii="Helvetica" w:hAnsi="Helvetica"/>
          <w:color w:val="1E1E1F"/>
        </w:rPr>
        <w:tab/>
      </w:r>
      <w:r w:rsidRPr="00EB5D21">
        <w:rPr>
          <w:color w:val="1E1E1F"/>
        </w:rPr>
        <w:t>έχοντας υπόψη την ανακοίνωση της Επιτροπής, της 28ης Μαΐου 2025, με τίτλο «Στρατηγική της ΕΕ</w:t>
      </w:r>
      <w:r w:rsidRPr="00EB5D21">
        <w:t xml:space="preserve"> για τις νεοφυείς και τις αναπτυσσόμενες νέες επιχειρήσεις»</w:t>
      </w:r>
      <w:r w:rsidRPr="00EB5D21">
        <w:rPr>
          <w:color w:val="1E1E1F"/>
        </w:rPr>
        <w:t>,</w:t>
      </w:r>
    </w:p>
    <w:p w14:paraId="5A614722" w14:textId="77777777" w:rsidR="00C374C4" w:rsidRPr="00EB5D21" w:rsidRDefault="00C374C4" w:rsidP="00C374C4">
      <w:pPr>
        <w:pStyle w:val="NormalHanging12a"/>
      </w:pPr>
      <w:r w:rsidRPr="00EB5D21">
        <w:t>–</w:t>
      </w:r>
      <w:r w:rsidRPr="00EB5D21">
        <w:tab/>
        <w:t xml:space="preserve">έχοντας υπόψη την έκθεση του </w:t>
      </w:r>
      <w:proofErr w:type="spellStart"/>
      <w:r w:rsidRPr="00EB5D21">
        <w:t>Enrico</w:t>
      </w:r>
      <w:proofErr w:type="spellEnd"/>
      <w:r w:rsidRPr="00EB5D21">
        <w:t xml:space="preserve"> </w:t>
      </w:r>
      <w:proofErr w:type="spellStart"/>
      <w:r w:rsidRPr="00EB5D21">
        <w:t>Letta</w:t>
      </w:r>
      <w:proofErr w:type="spellEnd"/>
      <w:r w:rsidRPr="00EB5D21">
        <w:t>, της 17ης Απριλίου 2024, με τίτλο «</w:t>
      </w:r>
      <w:proofErr w:type="spellStart"/>
      <w:r w:rsidRPr="00EB5D21">
        <w:t>Much</w:t>
      </w:r>
      <w:proofErr w:type="spellEnd"/>
      <w:r w:rsidRPr="00EB5D21">
        <w:t xml:space="preserve"> </w:t>
      </w:r>
      <w:proofErr w:type="spellStart"/>
      <w:r w:rsidRPr="00EB5D21">
        <w:t>more</w:t>
      </w:r>
      <w:proofErr w:type="spellEnd"/>
      <w:r w:rsidRPr="00EB5D21">
        <w:t xml:space="preserve"> </w:t>
      </w:r>
      <w:proofErr w:type="spellStart"/>
      <w:r w:rsidRPr="00EB5D21">
        <w:t>than</w:t>
      </w:r>
      <w:proofErr w:type="spellEnd"/>
      <w:r w:rsidRPr="00EB5D21">
        <w:t xml:space="preserve"> a </w:t>
      </w:r>
      <w:proofErr w:type="spellStart"/>
      <w:r w:rsidRPr="00EB5D21">
        <w:t>market</w:t>
      </w:r>
      <w:proofErr w:type="spellEnd"/>
      <w:r w:rsidRPr="00EB5D21">
        <w:t>» (Πολύ περισσότερο από μια απλή αγορά),</w:t>
      </w:r>
    </w:p>
    <w:p w14:paraId="60F2C3C8" w14:textId="77777777" w:rsidR="00C374C4" w:rsidRPr="00EB5D21" w:rsidRDefault="00C374C4" w:rsidP="00C374C4">
      <w:pPr>
        <w:pStyle w:val="NormalHanging12a"/>
      </w:pPr>
      <w:r w:rsidRPr="00EB5D21">
        <w:t>–</w:t>
      </w:r>
      <w:r w:rsidRPr="00EB5D21">
        <w:tab/>
        <w:t xml:space="preserve">έχοντας υπόψη την έκθεση του </w:t>
      </w:r>
      <w:proofErr w:type="spellStart"/>
      <w:r w:rsidRPr="00EB5D21">
        <w:t>Mario</w:t>
      </w:r>
      <w:proofErr w:type="spellEnd"/>
      <w:r w:rsidRPr="00EB5D21">
        <w:t xml:space="preserve"> </w:t>
      </w:r>
      <w:proofErr w:type="spellStart"/>
      <w:r w:rsidRPr="00EB5D21">
        <w:t>Draghi</w:t>
      </w:r>
      <w:proofErr w:type="spellEnd"/>
      <w:r w:rsidRPr="00EB5D21">
        <w:t xml:space="preserve">, της 9ης Σεπτεμβρίου 2024, με τίτλο «The </w:t>
      </w:r>
      <w:proofErr w:type="spellStart"/>
      <w:r w:rsidRPr="00EB5D21">
        <w:t>future</w:t>
      </w:r>
      <w:proofErr w:type="spellEnd"/>
      <w:r w:rsidRPr="00EB5D21">
        <w:t xml:space="preserve"> of European </w:t>
      </w:r>
      <w:proofErr w:type="spellStart"/>
      <w:r w:rsidRPr="00EB5D21">
        <w:t>competitiveness</w:t>
      </w:r>
      <w:proofErr w:type="spellEnd"/>
      <w:r w:rsidRPr="00EB5D21">
        <w:t>» (Το μέλλον της ευρωπαϊκής ανταγωνιστικότητας),</w:t>
      </w:r>
    </w:p>
    <w:p w14:paraId="5C4DC717" w14:textId="77777777" w:rsidR="00C374C4" w:rsidRPr="00EB5D21" w:rsidRDefault="00C374C4" w:rsidP="00C374C4">
      <w:pPr>
        <w:pStyle w:val="NormalHanging12a"/>
      </w:pPr>
      <w:r w:rsidRPr="00EB5D21">
        <w:t>–</w:t>
      </w:r>
      <w:r w:rsidRPr="00EB5D21">
        <w:tab/>
        <w:t>έχοντας υπόψη τη γνωμοδότηση της Επιτροπής Νομικών Θεμάτων επί της προτεινόμενης νομικής βάσης,</w:t>
      </w:r>
    </w:p>
    <w:p w14:paraId="2EDBABBA" w14:textId="77777777" w:rsidR="00C374C4" w:rsidRPr="00EB5D21" w:rsidRDefault="00C374C4" w:rsidP="00C374C4">
      <w:pPr>
        <w:pStyle w:val="NormalHanging12a"/>
      </w:pPr>
      <w:r w:rsidRPr="00EB5D21">
        <w:t>–</w:t>
      </w:r>
      <w:r w:rsidRPr="00EB5D21">
        <w:tab/>
        <w:t>έχοντας υπόψη τα άρθρα 47 και 55 του Κανονισμού του,</w:t>
      </w:r>
    </w:p>
    <w:p w14:paraId="3C57C767" w14:textId="77777777" w:rsidR="00C374C4" w:rsidRPr="00EB5D21" w:rsidRDefault="00C374C4" w:rsidP="00C374C4">
      <w:pPr>
        <w:pStyle w:val="NormalHanging12a"/>
      </w:pPr>
      <w:r w:rsidRPr="00EB5D21">
        <w:t>–</w:t>
      </w:r>
      <w:r w:rsidRPr="00EB5D21">
        <w:tab/>
        <w:t>έχοντας υπόψη την έκθεση της Επιτροπής Νομικών Θεμάτων (A10-0269/2025),</w:t>
      </w:r>
    </w:p>
    <w:bookmarkEnd w:id="7"/>
    <w:p w14:paraId="0E89832D" w14:textId="77777777" w:rsidR="00C374C4" w:rsidRPr="00EB5D21" w:rsidRDefault="00C374C4" w:rsidP="00C374C4">
      <w:pPr>
        <w:pStyle w:val="NormalHanging12a"/>
      </w:pPr>
      <w:r w:rsidRPr="00EB5D21">
        <w:t>Α.</w:t>
      </w:r>
      <w:r w:rsidRPr="00EB5D21">
        <w:tab/>
        <w:t xml:space="preserve">λαμβάνοντας υπόψη ότι οι επιχειρήσεις, ιδίως οι μικρές και μεσαίες επιχειρήσεις (ΜΜΕ), οι νεοφυείς και οι αναπτυσσόμενες νέες επιχειρήσεις, έρχονται αντιμέτωπες σε ολόκληρη την Ένωση με κανονιστικά πλαίσια που διαφέρουν σε μεγάλο βαθμό μεταξύ των κρατών μελών· λαμβάνοντας υπόψη ότι αυτή η κανονιστική ποικιλομορφία </w:t>
      </w:r>
      <w:r w:rsidRPr="00EB5D21">
        <w:rPr>
          <w:rStyle w:val="normaltextrun"/>
          <w:color w:val="000000"/>
          <w:bdr w:val="none" w:sz="0" w:space="0" w:color="auto" w:frame="1"/>
        </w:rPr>
        <w:t>και το κόστος που συνεπάγεται η δραστηριοποίηση σε άγνωστα περιβάλλοντα παρεμποδίζουν τη χρηματοδότηση και την επέκταση των επιχειρήσεων σε πανευρωπαϊκό επίπεδο</w:t>
      </w:r>
      <w:r w:rsidRPr="00EB5D21">
        <w:t>·</w:t>
      </w:r>
    </w:p>
    <w:p w14:paraId="4C7A1722" w14:textId="77777777" w:rsidR="00C374C4" w:rsidRPr="00EB5D21" w:rsidRDefault="00C374C4" w:rsidP="00C374C4">
      <w:pPr>
        <w:pStyle w:val="NormalHanging12a"/>
        <w:rPr>
          <w:bCs/>
          <w:iCs/>
        </w:rPr>
      </w:pPr>
      <w:r w:rsidRPr="00EB5D21">
        <w:t>Β.</w:t>
      </w:r>
      <w:r w:rsidRPr="00EB5D21">
        <w:tab/>
        <w:t xml:space="preserve">λαμβάνοντας υπόψη ότι η Επιτροπή, στην ανακοίνωσή της με τίτλο «Στρατηγική της ΕΕ για τις νεοφυείς και τις αναπτυσσόμενες νέες επιχειρήσεις», τόνισε ότι ο κατακερματισμός και οι χαμηλότερες προοπτικές ανάπτυξης ωθούν τις καινοτόμες εταιρείες να αναζητήσουν χρηματοδότηση εκτός Ευρώπης· </w:t>
      </w:r>
    </w:p>
    <w:p w14:paraId="02D65FA1" w14:textId="77777777" w:rsidR="00C374C4" w:rsidRPr="00EB5D21" w:rsidRDefault="00C374C4" w:rsidP="00C374C4">
      <w:pPr>
        <w:pStyle w:val="NormalHanging12a"/>
        <w:rPr>
          <w:bCs/>
          <w:iCs/>
        </w:rPr>
      </w:pPr>
      <w:r w:rsidRPr="00EB5D21">
        <w:t>Γ.</w:t>
      </w:r>
      <w:r w:rsidRPr="00EB5D21">
        <w:tab/>
        <w:t xml:space="preserve">λαμβάνοντας υπόψη ότι το παγκόσμιο επιχειρηματικό περιβάλλον απαιτεί ολοένα περισσότερο ευελιξία, ψηφιοποίηση και πρόσβαση σε ποικίλες αγορές και δεξαμενές ταλέντων, κάτι που πολλές επιχειρήσεις στην Ένωση δυσκολεύονται επί του παρόντος να επιτύχουν λόγω της κανονιστικής πολυπλοκότητας και της ανομοιομορφίας των </w:t>
      </w:r>
      <w:r w:rsidRPr="00EB5D21">
        <w:lastRenderedPageBreak/>
        <w:t>πλαισίων· </w:t>
      </w:r>
    </w:p>
    <w:p w14:paraId="751F42A8" w14:textId="77777777" w:rsidR="00C374C4" w:rsidRPr="00EB5D21" w:rsidRDefault="00C374C4" w:rsidP="00C374C4">
      <w:pPr>
        <w:pStyle w:val="NormalHanging12a"/>
        <w:rPr>
          <w:bCs/>
          <w:iCs/>
        </w:rPr>
      </w:pPr>
      <w:r w:rsidRPr="00EB5D21">
        <w:t>Δ.</w:t>
      </w:r>
      <w:r w:rsidRPr="00EB5D21">
        <w:tab/>
        <w:t xml:space="preserve">λαμβάνοντας υπόψη ότι η Ένωση, μεριμνώντας για τη διασφάλιση της δυνατότητας των επιχειρήσεων να ανταγωνίζονται επί </w:t>
      </w:r>
      <w:proofErr w:type="spellStart"/>
      <w:r w:rsidRPr="00EB5D21">
        <w:t>ίσοις</w:t>
      </w:r>
      <w:proofErr w:type="spellEnd"/>
      <w:r w:rsidRPr="00EB5D21">
        <w:t xml:space="preserve"> </w:t>
      </w:r>
      <w:proofErr w:type="spellStart"/>
      <w:r w:rsidRPr="00EB5D21">
        <w:t>όροις</w:t>
      </w:r>
      <w:proofErr w:type="spellEnd"/>
      <w:r w:rsidRPr="00EB5D21">
        <w:t>, πρέπει να εργαστεί, όπως προβλέπεται στο άρθρο 3 παράγραφος 3 της Συνθήκης για την Ευρωπαϊκή Ένωση (ΣΕΕ), για την αειφόρο ανάπτυξη της Ευρώπης με γνώμονα την ισόρροπη οικονομική ανάπτυξη και τη σταθερότητα των τιμών, την κοινωνική οικονομία της αγοράς με υψηλό βαθμό ανταγωνιστικότητας, με στόχο την πλήρη απασχόληση και την κοινωνική πρόοδο, και το υψηλό επίπεδο προστασίας και βελτίωσης της ποιότητας του περιβάλλοντος·</w:t>
      </w:r>
    </w:p>
    <w:p w14:paraId="4B4D1674" w14:textId="77777777" w:rsidR="00C374C4" w:rsidRPr="00EB5D21" w:rsidRDefault="00C374C4" w:rsidP="00C374C4">
      <w:pPr>
        <w:pStyle w:val="NormalHanging12a"/>
      </w:pPr>
      <w:r w:rsidRPr="00EB5D21">
        <w:t>Ε.</w:t>
      </w:r>
      <w:r w:rsidRPr="00EB5D21">
        <w:tab/>
        <w:t>λαμβάνοντας υπόψη ότι ένα ενιαίο ευρωπαϊκό σύστημα εταιρικού δικαίου θα μπορούσε να επιτευχθεί αποτελεσματικότερα όχι μόνο με μια αυτοτελή νομική πράξη της Ένωσης, αλλά και με τη θέσπιση ενός συνόλου κανόνων που θα λειτουργούν παράλληλα με το εθνικό νομικό σύστημα που ισχύει σε κάθε κράτος μέλος, χωρίς αυτοί οι κανόνες να δημιουργούν πρόσθετα διοικητικά, οικονομικά ή άλλου είδους εμπόδια στην ανάπτυξη των επιχειρήσεων, ιδίως των ΜΜΕ·</w:t>
      </w:r>
    </w:p>
    <w:p w14:paraId="67632E70" w14:textId="77777777" w:rsidR="00C374C4" w:rsidRPr="00EB5D21" w:rsidRDefault="00C374C4" w:rsidP="00C374C4">
      <w:pPr>
        <w:pStyle w:val="NormalHanging12a"/>
      </w:pPr>
      <w:r w:rsidRPr="00EB5D21">
        <w:t>ΣΤ.</w:t>
      </w:r>
      <w:r w:rsidRPr="00EB5D21">
        <w:tab/>
        <w:t>λαμβάνοντας υπόψη ότι η Ένωση έχει ήδη θεσπίσει νομικά πλαίσια για μια ευρωπαϊκή ανώνυμη εταιρεία, μια ευρωπαϊκή συνεταιριστική εταιρεία και έναν ευρωπαϊκό όμιλο οικονομικού ενδιαφέροντος· λαμβάνοντας, ωστόσο, υπόψη ότι οι εν λόγω εταιρικές μορφές δεν είναι κατάλληλες για να μπορέσουν οι νεοφυείς και οι αναπτυσσόμενες νέες επιχειρήσεις να λειτουργήσουν αποτελεσματικότερα στην εσωτερική αγορά·</w:t>
      </w:r>
    </w:p>
    <w:p w14:paraId="62F977C5" w14:textId="77777777" w:rsidR="00C374C4" w:rsidRPr="00EB5D21" w:rsidRDefault="00C374C4" w:rsidP="00C374C4">
      <w:pPr>
        <w:pStyle w:val="NormalHanging12a"/>
      </w:pPr>
      <w:r w:rsidRPr="00EB5D21">
        <w:t>Ζ.</w:t>
      </w:r>
      <w:r w:rsidRPr="00EB5D21">
        <w:tab/>
        <w:t>λαμβάνοντας υπόψη ότι η διευκόλυνση της πρόσβασης σε κεφάλαια και ταλέντα μέσω ενός απλουστευμένου και ενιαίου νομικού πλαισίου θα ενισχύσει την ικανότητα των ΜΜΕ, των νεοφυών και των αναπτυσσόμενων νέων επιχειρήσεων να είναι ανταγωνιστικές σε παγκόσμιο επίπεδο, να προσελκύουν επενδύσεις και να συμβάλλουν στη δημιουργία θέσεων εργασίας και στην κοινωνική συνοχή εντός της Ένωσης·</w:t>
      </w:r>
    </w:p>
    <w:p w14:paraId="1774AECA" w14:textId="77777777" w:rsidR="00C374C4" w:rsidRPr="00EB5D21" w:rsidRDefault="00C374C4" w:rsidP="00C374C4">
      <w:pPr>
        <w:pStyle w:val="NormalHanging12a"/>
      </w:pPr>
      <w:r w:rsidRPr="00EB5D21">
        <w:t>Η.</w:t>
      </w:r>
      <w:r w:rsidRPr="00EB5D21">
        <w:tab/>
        <w:t>λαμβάνοντας υπόψη ότι είναι αναγκαίο να διασφαλιστεί σαφήνεια και ασφάλεια δικαίου για τους Ευρωπαίους και ξένους επενδυτές με το να τους δοθεί η δυνατότητα να επενδύουν διασυνοριακά και παράλληλα να χρησιμοποιούν εναρμονισμένους κανόνες·</w:t>
      </w:r>
    </w:p>
    <w:p w14:paraId="72623646" w14:textId="77777777" w:rsidR="00C374C4" w:rsidRPr="00EA7A32" w:rsidRDefault="00C374C4" w:rsidP="00C374C4">
      <w:pPr>
        <w:pStyle w:val="NormalHanging12a"/>
        <w:rPr>
          <w:b/>
        </w:rPr>
      </w:pPr>
      <w:r w:rsidRPr="00EB5D21">
        <w:t>Θ.</w:t>
      </w:r>
      <w:r w:rsidRPr="00EB5D21">
        <w:tab/>
        <w:t xml:space="preserve">λαμβάνοντας υπόψη ότι οι ΜΜΕ, οι νεοφυείς και οι αναπτυσσόμενες νέες επιχειρήσεις χρειάζονται ενισχυμένη πρόσβαση σε διάφορες μορφές κεφαλαίου, διασυνοριακή κινητικότητα, δυνατότητες επέκτασης, εργαζομένους υψηλής ειδίκευσης, επιστημονικά και ερευνητικά αποτελέσματα, συμπεριλαμβανομένων των δεδομένων, δημόσιες συμβάσεις, προστασία από «φονικές εξαγορές» και μακροπρόθεσμες επενδυτικές </w:t>
      </w:r>
      <w:r w:rsidRPr="00EA7A32">
        <w:rPr>
          <w:rStyle w:val="Strong"/>
          <w:b w:val="0"/>
          <w:bCs w:val="0"/>
          <w:shd w:val="clear" w:color="auto" w:fill="FAFAFF"/>
        </w:rPr>
        <w:t>στρατηγικές για να προοδεύσουν εντός της εσωτερικής αγοράς</w:t>
      </w:r>
      <w:r w:rsidRPr="00EA7A32">
        <w:rPr>
          <w:b/>
        </w:rPr>
        <w:t>·</w:t>
      </w:r>
    </w:p>
    <w:p w14:paraId="3CC912CA" w14:textId="77777777" w:rsidR="00C374C4" w:rsidRPr="00EB5D21" w:rsidRDefault="00C374C4" w:rsidP="00C374C4">
      <w:pPr>
        <w:pStyle w:val="NormalHanging12a"/>
      </w:pPr>
      <w:r w:rsidRPr="00EB5D21">
        <w:t>Ι.</w:t>
      </w:r>
      <w:r w:rsidRPr="00EB5D21">
        <w:tab/>
        <w:t xml:space="preserve">λαμβάνοντας υπόψη ότι οι ΜΜΕ, οι νεοφυείς και οι αναπτυσσόμενες νέες επιχειρήσεις, πολλές από τις οποίες είναι κοινωνικές επιχειρήσεις και εταιρείες που ιδρύονται από νέους επιχειρηματίες ή επιχειρηματίες που δραστηριοποιούνται για πρώτη φορά, διαδραματίζουν καίριο ρόλο στην προώθηση της καινοτομίας, στη δημιουργία κοινωνικής συνοχής και στη βιώσιμη οικονομική ανάπτυξη, αλλά συχνά αντιμετωπίζουν μεγαλύτερες προκλήσεις όσον αφορά την πρόσβαση σε χρηματοδότηση, δίκτυα και εξειδικευμένη στήριξη· λαμβάνοντας υπόψη ότι η συνεργασία με πανεπιστήμια, ερευνητικά ιδρύματα και γραφεία μεταφοράς τεχνολογίας μπορεί να επιταχύνει τη διαδικασία από το εργαστήριο στην αγορά, να διευκολύνει την πρόσβαση σε εμπειρογνωμοσύνη και υποδομές και να τονώσει την εμπορική </w:t>
      </w:r>
      <w:r w:rsidRPr="00EB5D21">
        <w:lastRenderedPageBreak/>
        <w:t>αξιοποίηση των αποτελεσμάτων της έρευνας·</w:t>
      </w:r>
    </w:p>
    <w:p w14:paraId="08E2B6DD" w14:textId="77777777" w:rsidR="00C374C4" w:rsidRPr="00EB5D21" w:rsidRDefault="00C374C4" w:rsidP="00C374C4">
      <w:pPr>
        <w:pStyle w:val="NormalHanging12a"/>
        <w:rPr>
          <w:bCs/>
          <w:iCs/>
        </w:rPr>
      </w:pPr>
      <w:r w:rsidRPr="00EB5D21">
        <w:t>ΙΑ.</w:t>
      </w:r>
      <w:r w:rsidRPr="00EB5D21">
        <w:tab/>
        <w:t>λαμβάνοντας υπόψη ότι πολλές νεοφυείς και αναπτυσσόμενες νέες επιχειρήσεις στην Ένωση αναπτύσσουν πρωτοποριακές τεχνολογίες· λαμβάνοντας υπόψη ότι αυτές οι νεοφυείς και οι αναπτυσσόμενες νέες επιχειρήσεις συχνά εξαγοράζονται από αλλοδαπές επιχειρήσεις πριν ωριμάσουν· λαμβάνοντας υπόψη ότι οι εν λόγω εξαγορές συχνά βρίσκονται κάτω από τα όρια ελέγχου των συγκεντρώσεων της Ένωσης·</w:t>
      </w:r>
    </w:p>
    <w:p w14:paraId="7C8DE9D7" w14:textId="77777777" w:rsidR="00C374C4" w:rsidRPr="00EB5D21" w:rsidRDefault="00C374C4" w:rsidP="00C374C4">
      <w:pPr>
        <w:pStyle w:val="NormalHanging12a"/>
        <w:rPr>
          <w:bCs/>
          <w:iCs/>
        </w:rPr>
      </w:pPr>
      <w:r w:rsidRPr="00EB5D21">
        <w:t>ΙΒ.</w:t>
      </w:r>
      <w:r w:rsidRPr="00EB5D21">
        <w:tab/>
        <w:t>λαμβάνοντας υπόψη ότι οι ΜΜΕ, οι οποίες είναι καίριας σημασίας για την ανταγωνιστικότητα της Ένωσης, ιδίως οι οικογενειακές επιχειρήσεις, αντιμετωπίζουν προκλήσεις διαδοχής· λαμβάνοντας υπόψη ότι τα μοντέλα οικονομικής συμμετοχής των εργαζομένων μπορούν να δώσουν ώθηση στις οικονομικές προοπτικές για τις ΜΜΕ, τις νεοφυείς και τις αναπτυσσόμενες νέες επιχειρήσεις, να κινητοποιήσουν ταλέντα και να καλύψουν το κενό διαδοχής όταν η οικογενειακή διαδοχή δεν είναι βιώσιμη, στηρίζοντας, ως εκ τούτου, τη μακροπρόθεσμη σταθερότητα και ανάπτυξη·</w:t>
      </w:r>
    </w:p>
    <w:p w14:paraId="6B50C7BA" w14:textId="77777777" w:rsidR="00C374C4" w:rsidRPr="00EB5D21" w:rsidRDefault="00C374C4" w:rsidP="00C374C4">
      <w:pPr>
        <w:pStyle w:val="NormalHanging12a"/>
        <w:rPr>
          <w:bCs/>
          <w:iCs/>
        </w:rPr>
      </w:pPr>
      <w:r w:rsidRPr="00EB5D21">
        <w:t>ΙΓ.</w:t>
      </w:r>
      <w:r w:rsidRPr="00EB5D21">
        <w:tab/>
        <w:t>λαμβάνοντας υπόψη ότι η ενίσχυση της ασφάλειας δικαίου και της προβλεψιμότητας για τις εταιρείες που δραστηριοποιούνται σε περισσότερα από ένα κράτη μέλη είναι απαραίτητη για να ενισχυθεί η θέση της Ένωσης ως εστίας επιχειρηματικότητας, καινοτομίας και βιώσιμης επιχειρηματικής ανάπτυξης κορυφαίας κλάσης·</w:t>
      </w:r>
    </w:p>
    <w:p w14:paraId="150B16B2" w14:textId="28C3D827" w:rsidR="00C374C4" w:rsidRPr="00EB5D21" w:rsidRDefault="00C374C4" w:rsidP="00C374C4">
      <w:pPr>
        <w:pStyle w:val="NormalHanging12a"/>
      </w:pPr>
      <w:r w:rsidRPr="00EB5D21">
        <w:rPr>
          <w:b/>
          <w:i/>
        </w:rPr>
        <w:t>Γενικές αρχές</w:t>
      </w:r>
    </w:p>
    <w:p w14:paraId="65726255" w14:textId="378E83E1" w:rsidR="00C374C4" w:rsidRPr="00EB5D21" w:rsidRDefault="00EA7A32" w:rsidP="00EA7A32">
      <w:pPr>
        <w:pStyle w:val="NormalHanging12a"/>
        <w:ind w:hanging="570"/>
      </w:pPr>
      <w:r w:rsidRPr="00EB5D21">
        <w:t>1.</w:t>
      </w:r>
      <w:r w:rsidRPr="00EB5D21">
        <w:tab/>
      </w:r>
      <w:r w:rsidR="00C374C4" w:rsidRPr="00EB5D21">
        <w:t>εκφράζει την ικανοποίησ</w:t>
      </w:r>
      <w:r w:rsidR="00AB5BA7">
        <w:t xml:space="preserve">ή </w:t>
      </w:r>
      <w:r w:rsidR="00C374C4" w:rsidRPr="00EB5D21">
        <w:t xml:space="preserve"> το</w:t>
      </w:r>
      <w:r w:rsidR="00AB5BA7">
        <w:t>υ</w:t>
      </w:r>
      <w:r w:rsidR="00C374C4" w:rsidRPr="00EB5D21">
        <w:t xml:space="preserve"> για τη δέσμευση της Επιτροπής να υποβάλει νομοθετική πρόταση σχετικά με το 28ο νομικό καθεστώς για τις εταιρείες· </w:t>
      </w:r>
    </w:p>
    <w:p w14:paraId="70335581" w14:textId="348398ED" w:rsidR="00C374C4" w:rsidRPr="00EA7A32" w:rsidRDefault="00EA7A32" w:rsidP="00EA7A32">
      <w:pPr>
        <w:spacing w:after="240"/>
        <w:ind w:left="567" w:hanging="570"/>
        <w:rPr>
          <w:bCs/>
          <w:iCs/>
        </w:rPr>
      </w:pPr>
      <w:r w:rsidRPr="00097354">
        <w:rPr>
          <w:bCs/>
          <w:iCs/>
        </w:rPr>
        <w:t>2.</w:t>
      </w:r>
      <w:r w:rsidRPr="00097354">
        <w:rPr>
          <w:bCs/>
          <w:iCs/>
        </w:rPr>
        <w:tab/>
      </w:r>
      <w:r w:rsidR="00C374C4" w:rsidRPr="00EB5D21">
        <w:t>τονίζει ότι το 28ο καθεστώς θα πρέπει να είναι φιλόδοξο ως προς τη μορφή και την ουσία του· υπογραμμίζει ότι οι κανόνες που αφορούν το 28ο καθεστώς πρέπει να είναι οι ίδιοι σε ολόκληρη την Ένωση και ότι δεν θα πρέπει να επιτρέπεται στα κράτη μέλη να διατηρούν ή να εισάγουν στο εθνικό τους δίκαιο διατάξεις που αποκλίνουν από εκείνες που ορίζονται στη νομ</w:t>
      </w:r>
      <w:r w:rsidR="00097354">
        <w:t>οθετ</w:t>
      </w:r>
      <w:r w:rsidR="00C374C4" w:rsidRPr="00EB5D21">
        <w:t>ική πράξη για το 28ο καθεστώς· θεωρεί ότι το πιο πρόσφορο μέσο για τη θέσπιση του 28ου καθεστώτος είναι η θέσπιση κανονισμού· αναγνωρίζει ότι μια οδηγία με στόχο τη μέγιστη εναρμόνιση θα μπορούσε να εξυπηρετήσει τον ίδιο σκοπό· αντιτίθεται στη χρήση του άρθρου 352 παράγραφος 1 της Συνθήκης για τη λειτουργία της Ευρωπαϊκής Ένωσης (ΣΛΕΕ) ως νομικής βάσης, διότι απαιτεί ομοφωνία στο Συμβούλιο, κάτι το οποίο θα μπορούσε να καθυστερήσει σημαντικά την έγκριση της νομ</w:t>
      </w:r>
      <w:r w:rsidR="00097354">
        <w:t>οθετ</w:t>
      </w:r>
      <w:r w:rsidR="00C374C4" w:rsidRPr="00EB5D21">
        <w:t>ικής πράξης για το 28ο καθεστώς και να θέσει σε κίνδυνο τη φιλοδοξία και τη συνοχή της εταιρικής μορφής που εγκρίθηκε στο πλαίσιο του 28ου καθεστώτος· επιμένει στη χρήση νομικής βάσης που θα καταστήσει δυνατή την έγκριση της νομ</w:t>
      </w:r>
      <w:r w:rsidR="00097354">
        <w:t>οθετ</w:t>
      </w:r>
      <w:r w:rsidR="00C374C4" w:rsidRPr="00EB5D21">
        <w:t>ικής πράξης για το 28ο καθεστώς στο Συμβούλιο με ειδική πλειοψηφία· θεωρεί, ως εκ τούτου, ότι το 28ο καθεστώς θα πρέπει ενδεχομένως να αποτελείται από δέσμη χωριστών νομοθετικών προτάσεων· αναγνωρίζει ότι η κατάλληλη νομική βάση για ζητήματα εταιρικού δικαίου είναι τ</w:t>
      </w:r>
      <w:r w:rsidR="00CA71EB">
        <w:t>ο</w:t>
      </w:r>
      <w:r w:rsidR="00C374C4" w:rsidRPr="00EB5D21">
        <w:t xml:space="preserve"> </w:t>
      </w:r>
      <w:r w:rsidR="00CA71EB" w:rsidRPr="00EB5D21">
        <w:t>άρθρο</w:t>
      </w:r>
      <w:r w:rsidR="00C374C4" w:rsidRPr="00EB5D21">
        <w:t xml:space="preserve"> 50 και το άρθρο 114 παράγραφος 1 ΣΛΕΕ· είναι της γνώμης ότι μια οδηγία για το 28ο καθεστώς θα πρέπει να αποσκοπεί στη μέγιστη εναρμόνιση προκειμένου να επιτύχει τους στόχους του 28ου καθεστώτος·</w:t>
      </w:r>
    </w:p>
    <w:p w14:paraId="7C643503" w14:textId="5013BC77" w:rsidR="00C374C4" w:rsidRPr="00EB5D21" w:rsidRDefault="00EA7A32" w:rsidP="00EA7A32">
      <w:pPr>
        <w:pStyle w:val="NormalHanging12a"/>
        <w:ind w:hanging="570"/>
      </w:pPr>
      <w:r w:rsidRPr="00EB5D21">
        <w:t>3.</w:t>
      </w:r>
      <w:r w:rsidRPr="00EB5D21">
        <w:tab/>
      </w:r>
      <w:r w:rsidR="00C374C4" w:rsidRPr="00EB5D21">
        <w:t>εκφράζει τις επιφυλάξεις του ως προς τη χρήση της ενισχυμένης συνεργασίας, όπως αναφέρεται στο άρθρο 20 ΣΕΕ και στο άρθρο 329 ΣΛΕΕ με σκοπό τη θέσπιση του 28ου καθεστώτος· υπογραμμίζει ότι μια τέτοια προσέγγιση ενέχει τον κίνδυνο κατακερματισμού της εσωτερικής αγοράς και είναι αντίθετη με τη διαδικασία ολοκλήρωσης της Ένωσης·</w:t>
      </w:r>
    </w:p>
    <w:p w14:paraId="2B52BDBC" w14:textId="5D6A3F85" w:rsidR="00C374C4" w:rsidRPr="00EB5D21" w:rsidRDefault="00EA7A32" w:rsidP="00EA7A32">
      <w:pPr>
        <w:pStyle w:val="NormalHanging12a"/>
        <w:ind w:hanging="570"/>
      </w:pPr>
      <w:r w:rsidRPr="00EB5D21">
        <w:lastRenderedPageBreak/>
        <w:t>4.</w:t>
      </w:r>
      <w:r w:rsidRPr="00EB5D21">
        <w:tab/>
      </w:r>
      <w:r w:rsidR="00C374C4" w:rsidRPr="00EB5D21">
        <w:t>αναγνωρίζει το γεγονός ότι τα μέτρα εναρμόνισης στο εταιρικό δίκαιο, βάσει του άρθρου 50 και του άρθρου 114 παράγραφος 1 ΣΛΕΕ, θα πρέπει να εφαρμοστούν στο εθνικό δίκαιο των κρατών μελών· θεωρεί ότι, στην περίπτωση αυτή, είναι αναγκαία μια οδηγία με στόχο τη μέγιστη εναρμόνιση, η οποία θα περιλαμβάνει ένα σαφώς καθορισμένο σύνολο βασικών θεμάτων και δεν θιγεί το εργατικό και το κοινωνικό δίκαιο, προκειμένου να διασφαλιστεί ότι υπάρχουν ενιαίοι κανόνες σε όλα τα κράτη μέλη, χωρίς να δημιουργούνται πρόσθετα διοικητικά ή οικονομικά εμπόδια για τις επιχειρήσεις·</w:t>
      </w:r>
    </w:p>
    <w:p w14:paraId="2045A2B3" w14:textId="1FCB82EB" w:rsidR="00C374C4" w:rsidRPr="00EB5D21" w:rsidRDefault="00EA7A32" w:rsidP="00EA7A32">
      <w:pPr>
        <w:pStyle w:val="NormalHanging12a"/>
        <w:ind w:hanging="570"/>
      </w:pPr>
      <w:r w:rsidRPr="00EB5D21">
        <w:t>5.</w:t>
      </w:r>
      <w:r w:rsidRPr="00EB5D21">
        <w:tab/>
      </w:r>
      <w:r w:rsidR="00C374C4" w:rsidRPr="00EB5D21">
        <w:t>θεωρεί ότι η ανάγκη για ομοιομορφία, αποτελεσματικότητα, συνοχή και ασφάλεια δικαίου, την οποία επικαλούνται οι οικονομικοί φορείς, όπως καινοτόμες ΜΜΕ που δραστηριοποιούνται σε παγκόσμιο επίπεδο, νεοφυείς και αναπτυσσόμενες νέες επιχειρήσεις, καθώς και οι επενδυτές στον τομέα, καθιστά απαραίτητη την έκδοση οδηγίας με στόχο τη μέγιστη εναρμόνιση·</w:t>
      </w:r>
    </w:p>
    <w:p w14:paraId="2A7F78DB" w14:textId="444ED844" w:rsidR="00C374C4" w:rsidRPr="00EB5D21" w:rsidRDefault="00EA7A32" w:rsidP="00EA7A32">
      <w:pPr>
        <w:pStyle w:val="NormalHanging12a"/>
        <w:ind w:hanging="570"/>
        <w:rPr>
          <w:bCs/>
          <w:iCs/>
        </w:rPr>
      </w:pPr>
      <w:r w:rsidRPr="00EB5D21">
        <w:rPr>
          <w:bCs/>
          <w:iCs/>
        </w:rPr>
        <w:t>6.</w:t>
      </w:r>
      <w:r w:rsidRPr="00EB5D21">
        <w:rPr>
          <w:bCs/>
          <w:iCs/>
        </w:rPr>
        <w:tab/>
      </w:r>
      <w:r w:rsidR="00C374C4" w:rsidRPr="00EB5D21">
        <w:t>καλεί την Επιτροπή να αξιολογήσει τα οφέλη ενός συνεκτικού πλαισίου, μεταξύ άλλων σε φορολογικά ζητήματα, με προστιθέμενη αξία για τις νεοφυείς και τις αναπτυσσόμενες νέες επιχειρήσεις, στο πλαίσιο της δέσμης μέτρων του 28ου καθεστώτος, προκειμένου να προσελκύσει διεθνείς επενδύσεις και να στηρίξει την καινοτομία και την ανάπτυξη στην Ένωση· τονίζει ότι η Επιτροπή θα πρέπει να διευκολύνει τον συντονισμό και να ενθαρρύνει βέλτιστες πρακτικές για τη μείωση των φραγμών που εμποδίζουν τις διασυνοριακές δραστηριότητες, τις επενδύσεις και την προσέλκυση ταλέντων·</w:t>
      </w:r>
    </w:p>
    <w:p w14:paraId="774C3C80" w14:textId="1246E1BD" w:rsidR="00C374C4" w:rsidRPr="00EB5D21" w:rsidRDefault="00EA7A32" w:rsidP="00EA7A32">
      <w:pPr>
        <w:pStyle w:val="NormalHanging12a"/>
        <w:ind w:hanging="570"/>
      </w:pPr>
      <w:r w:rsidRPr="00EB5D21">
        <w:t>7.</w:t>
      </w:r>
      <w:r w:rsidRPr="00EB5D21">
        <w:tab/>
      </w:r>
      <w:r w:rsidR="00C374C4" w:rsidRPr="00EB5D21">
        <w:t>θεωρεί ότι το 28ο καθεστώς αποτελεί στρατηγικό βήμα προς την περαιτέρω εμβάθυνση της εσωτερικής αγοράς, το οποίο προωθεί την ευρωπαϊκή ολοκλήρωση και την ανταγωνιστική δυναμική·</w:t>
      </w:r>
    </w:p>
    <w:p w14:paraId="42B9FDA0" w14:textId="17AE3C2A" w:rsidR="00C374C4" w:rsidRPr="00EB5D21" w:rsidRDefault="00EA7A32" w:rsidP="00EA7A32">
      <w:pPr>
        <w:pStyle w:val="NormalHanging12a"/>
        <w:ind w:hanging="570"/>
      </w:pPr>
      <w:r w:rsidRPr="00EB5D21">
        <w:t>8.</w:t>
      </w:r>
      <w:r w:rsidRPr="00EB5D21">
        <w:tab/>
      </w:r>
      <w:r w:rsidR="00C374C4" w:rsidRPr="00EB5D21">
        <w:t>επαναλαμβάνει ότι οι εταιρείες που επιλέγουν οικειοθελώς να συμμετάσχουν στο 28ο καθεστώς θα πρέπει να δεσμεύονται από τους κανόνες του·</w:t>
      </w:r>
    </w:p>
    <w:p w14:paraId="7443B82A" w14:textId="3C8D66D1" w:rsidR="00C374C4" w:rsidRPr="00EB5D21" w:rsidRDefault="00EA7A32" w:rsidP="00EA7A32">
      <w:pPr>
        <w:pStyle w:val="NormalHanging12a"/>
        <w:ind w:hanging="570"/>
      </w:pPr>
      <w:r w:rsidRPr="00EB5D21">
        <w:t>9.</w:t>
      </w:r>
      <w:r w:rsidRPr="00EB5D21">
        <w:tab/>
      </w:r>
      <w:r w:rsidR="00C374C4" w:rsidRPr="00EB5D21">
        <w:t>τονίζει ότι η επιλογή μιας εταιρείας να συμμετάσχει στο 28ο καθεστώς πρέπει να αναγνωρίζεται αυτόματα στις εθνικές έννομες τάξεις και των 27 κρατών μελών·</w:t>
      </w:r>
    </w:p>
    <w:p w14:paraId="64FD29AD" w14:textId="5D8E70E2" w:rsidR="00C374C4" w:rsidRPr="00EB5D21" w:rsidRDefault="00EA7A32" w:rsidP="00EA7A32">
      <w:pPr>
        <w:pStyle w:val="NormalHanging12a"/>
        <w:ind w:hanging="570"/>
      </w:pPr>
      <w:r w:rsidRPr="00EB5D21">
        <w:t>10.</w:t>
      </w:r>
      <w:r w:rsidRPr="00EB5D21">
        <w:tab/>
      </w:r>
      <w:r w:rsidR="00C374C4" w:rsidRPr="00EB5D21">
        <w:t>έχει επίγνωση του κινδύνου ότι το 28ο καθεστώς θα μπορούσε να καταστήσει δυνατή την καταστρατήγηση των υποχρεωτικών εθνικών μέτρων προστασίας για τους εργαζομένους, τους εκπροσώπους και τις συνδικαλιστικές οργανώσεις τους, καθώς και για άλλα ευάλωτα μέρη· υπογραμμίζει ότι το 28ο καθεστώς δεν πρέπει σε καμία περίπτωση να αποτελέσει μέσο για την υπονόμευση, τη μείωση, την αποδυνάμωση ή την καταστρατήγηση των υφιστάμενων επιπέδων προστασίας σε ενωσιακό ή εθνικό επίπεδο· επιμένει ότι πρέπει να θεσπιστούν αποτελεσματικές εγγυήσεις μέσω κανόνων ουσιαστικού δικαίου που προσφέρουν υψηλό επίπεδο προστασίας και μέσω κανόνων περί σύγκρουσης νόμων που διασφαλίζουν την εφαρμογή των εθνικών κανόνων αναγκαστικού δικαίου·</w:t>
      </w:r>
    </w:p>
    <w:p w14:paraId="5F34CCF4" w14:textId="407B8447" w:rsidR="00C374C4" w:rsidRPr="00EB5D21" w:rsidRDefault="00EA7A32" w:rsidP="00EA7A32">
      <w:pPr>
        <w:pStyle w:val="NormalHanging12a"/>
        <w:ind w:hanging="570"/>
      </w:pPr>
      <w:r w:rsidRPr="00EB5D21">
        <w:t>11.</w:t>
      </w:r>
      <w:r w:rsidRPr="00EB5D21">
        <w:tab/>
      </w:r>
      <w:r w:rsidR="00C374C4" w:rsidRPr="00EB5D21">
        <w:t>θεωρεί τη θέσπιση ενός 28ου καθεστώτος θεμελιώδους σημασίας για την καινοτομία, την ανταγωνιστικότητα και την ανάπτυξη και πιστεύει ότι η πρόταση, μαζί με τα σχετικά κανονιστικά και εκτελεστικά μέτρα, θα πρέπει να εγκριθεί και να εφαρμοστεί το συντομότερο δυνατόν·</w:t>
      </w:r>
    </w:p>
    <w:p w14:paraId="07A79731" w14:textId="77777777" w:rsidR="00C374C4" w:rsidRPr="00EB5D21" w:rsidRDefault="00C374C4" w:rsidP="00C374C4">
      <w:pPr>
        <w:pStyle w:val="NormalHanging12a"/>
        <w:ind w:left="0" w:firstLine="0"/>
      </w:pPr>
      <w:r w:rsidRPr="00EB5D21">
        <w:rPr>
          <w:b/>
          <w:i/>
        </w:rPr>
        <w:t>Το νομικό πλαίσιο του 28ου καθεστώτος</w:t>
      </w:r>
    </w:p>
    <w:p w14:paraId="435FF184" w14:textId="11B3F99C" w:rsidR="00C374C4" w:rsidRPr="00EB5D21" w:rsidRDefault="00EA7A32" w:rsidP="00EA7A32">
      <w:pPr>
        <w:pStyle w:val="NormalHanging12a"/>
        <w:ind w:hanging="570"/>
      </w:pPr>
      <w:r w:rsidRPr="00EB5D21">
        <w:lastRenderedPageBreak/>
        <w:t>12.</w:t>
      </w:r>
      <w:r w:rsidRPr="00EB5D21">
        <w:tab/>
      </w:r>
      <w:r w:rsidR="00C374C4" w:rsidRPr="00EB5D21">
        <w:t>είναι της άποψης ότι το 28ο καθεστώς θα πρέπει να αφορά κυρίως τους κανόνες εταιρικού δικαίου και ότι μόνο οι εταιρείες περιορισμένης ευθύνης που δεν είναι εισηγμένες στο χρηματιστήριο θα πρέπει να μπορούν να συμμετέχουν σε αυτό· θεωρεί ότι το 28ο καθεστώς θα πρέπει να είναι ένα σύνολο κανόνων που πρέπει να ενσωματωθούν σε υφιστάμενες ή νέες εθνικές εταιρικές μορφές·</w:t>
      </w:r>
    </w:p>
    <w:p w14:paraId="52C13011" w14:textId="56D703A7" w:rsidR="00C374C4" w:rsidRPr="00EB5D21" w:rsidRDefault="00EA7A32" w:rsidP="00EA7A32">
      <w:pPr>
        <w:pStyle w:val="NormalHanging12a"/>
        <w:ind w:hanging="570"/>
      </w:pPr>
      <w:r w:rsidRPr="00EB5D21">
        <w:t>13.</w:t>
      </w:r>
      <w:r w:rsidRPr="00EB5D21">
        <w:tab/>
      </w:r>
      <w:r w:rsidR="00C374C4" w:rsidRPr="00EB5D21">
        <w:t>προτείνει η εταιρική μορφή που καλύπτεται από το 28ο καθεστώς να ονομαστεί «</w:t>
      </w:r>
      <w:proofErr w:type="spellStart"/>
      <w:r w:rsidR="00C374C4" w:rsidRPr="00EB5D21">
        <w:t>Societas</w:t>
      </w:r>
      <w:proofErr w:type="spellEnd"/>
      <w:r w:rsidR="00C374C4" w:rsidRPr="00EB5D21">
        <w:t xml:space="preserve"> </w:t>
      </w:r>
      <w:proofErr w:type="spellStart"/>
      <w:r w:rsidR="00C374C4" w:rsidRPr="00EB5D21">
        <w:t>Europaea</w:t>
      </w:r>
      <w:proofErr w:type="spellEnd"/>
      <w:r w:rsidR="00C374C4" w:rsidRPr="00EB5D21">
        <w:t xml:space="preserve"> </w:t>
      </w:r>
      <w:proofErr w:type="spellStart"/>
      <w:r w:rsidR="00C374C4" w:rsidRPr="00EB5D21">
        <w:t>Unificata</w:t>
      </w:r>
      <w:proofErr w:type="spellEnd"/>
      <w:r w:rsidR="00C374C4" w:rsidRPr="00EB5D21">
        <w:t>» (S.EU – Ενιαία Ευρωπαϊκή Εταιρεία) και, συνεπώς, να προστεθεί η συντομογραφία «S.EU» στις υφιστάμενες εθνικές συντομογραφίες της εταιρικής μορφής·</w:t>
      </w:r>
    </w:p>
    <w:p w14:paraId="585DD138" w14:textId="7980A215" w:rsidR="00C374C4" w:rsidRPr="00EB5D21" w:rsidRDefault="00EA7A32" w:rsidP="00EA7A32">
      <w:pPr>
        <w:pStyle w:val="NormalHanging12a"/>
        <w:ind w:hanging="570"/>
      </w:pPr>
      <w:r w:rsidRPr="00EB5D21">
        <w:t>14.</w:t>
      </w:r>
      <w:r w:rsidRPr="00EB5D21">
        <w:tab/>
      </w:r>
      <w:r w:rsidR="00C374C4" w:rsidRPr="00EB5D21">
        <w:t xml:space="preserve">υπογραμμίζει ότι το 28ο καθεστώς δεν θίγει το ενωσιακό και το εθνικό δίκαιο στον τομέα του εργατικού και του κοινωνικού δικαίου, συμπεριλαμβανομένων των κανόνων για τη συμμετοχή των εργαζομένων, όπως ορίζεται στο άρθρο 2 στοιχείο </w:t>
      </w:r>
      <w:proofErr w:type="spellStart"/>
      <w:r w:rsidR="00C374C4" w:rsidRPr="00EB5D21">
        <w:t>ια</w:t>
      </w:r>
      <w:proofErr w:type="spellEnd"/>
      <w:r w:rsidR="00C374C4" w:rsidRPr="00EB5D21">
        <w:t>) της οδηγίας 2001/86/ΕΚ, και των κανόνων για τις συλλογικές συμβάσεις που εφαρμόζονται στον τόπο απασχόλησης· τονίζει ότι οι S.EU πρέπει να υπόκεινται στους ίδιους ενωσιακούς και εθνικούς κανόνες για την αφερεγγυότητα και δεν πρέπει να παρεκκλίνουν από κανέναν από τους κανόνες που παρέχουν στους εργαζομένους προτιμησιακή προστασία σε διαδικασίες αφερεγγυότητας·</w:t>
      </w:r>
    </w:p>
    <w:p w14:paraId="22303167" w14:textId="3F429CA8" w:rsidR="00C374C4" w:rsidRPr="00EB5D21" w:rsidRDefault="00EA7A32" w:rsidP="00EA7A32">
      <w:pPr>
        <w:pStyle w:val="NormalHanging12a"/>
        <w:ind w:hanging="570"/>
      </w:pPr>
      <w:r w:rsidRPr="00EB5D21">
        <w:t>15.</w:t>
      </w:r>
      <w:r w:rsidRPr="00EB5D21">
        <w:tab/>
      </w:r>
      <w:r w:rsidR="00C374C4" w:rsidRPr="00EB5D21">
        <w:t>τονίζει την ανάγκη να απλουστευθούν και να ψηφιοποιηθούν η σύσταση και η καταχώριση εταιρειών· ζητεί να μειωθεί η διαδικαστική πολυπλοκότητα και να ολοκληρώνεται ψηφιακά η διαδικασία καταχώρισης για τη δημιουργία μιας S.EU εντός 48 ωρών, ενώ παράλληλα θα κατοχυρώνεται ασφάλεια δικαίου· ζητεί την υποχρεωτική ενσωμάτωση ψηφιακών εργαλείων για την υποβολή εταιρικών εγγράφων και τη γνωστοποίηση πληροφοριών μέσω διαδικτύου καθ’ όλη τη διάρκεια του κύκλου ζωής της S.EU και την πλήρη εφαρμογή της αρχής «μόνον άπαξ» για την καταχώριση και τη διαχείριση μιας S.EU· ζητεί να επιτραπούν ψηφιακές διαδικασίες, όπως ψηφιακές γενικές συνελεύσεις και συνεδριάσεις των διοικητικών συμβουλίων·</w:t>
      </w:r>
    </w:p>
    <w:p w14:paraId="2DE41103" w14:textId="7B27C1CC" w:rsidR="00C374C4" w:rsidRPr="00EB5D21" w:rsidRDefault="00EA7A32" w:rsidP="00EA7A32">
      <w:pPr>
        <w:pStyle w:val="NormalHanging12a"/>
        <w:ind w:hanging="570"/>
      </w:pPr>
      <w:r w:rsidRPr="00EB5D21">
        <w:t>16.</w:t>
      </w:r>
      <w:r w:rsidRPr="00EB5D21">
        <w:tab/>
      </w:r>
      <w:r w:rsidR="00C374C4" w:rsidRPr="00EB5D21">
        <w:t>τονίζει ότι η δημιουργία της S.EU θα πρέπει να ενσωματωθεί πλήρως στην πρωτοβουλία για την ανάπτυξη ενός ευρωπαϊκού πορτοφολιού επιχειρήσεων, το οποίο θα μπορούσε επίσης να εξορθολογίσει και να απλουστεύσει την ψηφιακή ταυτοποίηση και επαλήθευση ταυτότητας, καθώς και τη διαχείριση βασικών εταιρικών εγγράφων, διασφαλίζοντας κατ’ αυτόν τον τρόπο την ομαλή ψηφιακή αλληλεπίδραση των S.EU σε όλα τα κράτη μέλη και διευκολύνοντας τις διασυνοριακές δραστηριότητες· ζητεί, επιπλέον, την πλήρη εφαρμογή και αξιολόγηση του υφιστάμενου δικαίου της Ένωσης όσον αφορά τη χρήση ψηφιακών εργαλείων στο εταιρικό δίκαιο, ειδικότερα των οδηγιών (ΕΕ) 2017/1132 και 2009/102/ΕΚ, καθώς και την περαιτέρω ψηφιοποίηση και αυτοματοποίηση των εκθέσεων προς τις αρχές, η οποία θα πρέπει να αποτελεί βασική προτεραιότητα των εργασιών για την απλούστευση των κανονιστικών ρυθμίσεων στην Ένωση·</w:t>
      </w:r>
    </w:p>
    <w:p w14:paraId="216D7CB4" w14:textId="1A4599BE" w:rsidR="00C374C4" w:rsidRPr="00EB5D21" w:rsidRDefault="00EA7A32" w:rsidP="00EA7A32">
      <w:pPr>
        <w:pStyle w:val="NormalHanging12a"/>
        <w:ind w:hanging="570"/>
        <w:rPr>
          <w:bCs/>
          <w:iCs/>
        </w:rPr>
      </w:pPr>
      <w:r w:rsidRPr="00EB5D21">
        <w:rPr>
          <w:bCs/>
          <w:iCs/>
        </w:rPr>
        <w:t>17.</w:t>
      </w:r>
      <w:r w:rsidRPr="00EB5D21">
        <w:rPr>
          <w:bCs/>
          <w:iCs/>
        </w:rPr>
        <w:tab/>
      </w:r>
      <w:r w:rsidR="00C374C4" w:rsidRPr="00EB5D21">
        <w:t xml:space="preserve">ζητεί τη δημιουργία ή την ενσωμάτωση στις υφιστάμενες δομές μιας ενιαίας ψηφιακής πύλης σε επίπεδο Ένωσης που θα χρησιμεύει ως σημείο απευθείας εισόδου των S.EU, συμπληρώνοντας και επεκτείνοντας το υφιστάμενο σύστημα διασύνδεσης των μητρώων επιχειρήσεων (BRIS) με την παροχή εναρμονισμένης διεπαφής ενιαίας πρόσβασης για διασυνοριακή χρήση, χωρίς τη δημιουργία νέου χωριστού ή παράλληλου μητρώου· τονίζει ότι η ψηφιακή πύλη δεν θα πρέπει να αντικαταστήσει τους υφιστάμενους εθνικούς κανόνες περί σύστασης εταιρειών, αλλά θα πρέπει να χρησιμεύσει ως κοινή πύλη στην οποία θα συγκεντρώνονται όλες οι απαραίτητες πληροφορίες για τους επενδυτές· τονίζει ότι η ψηφιακή πύλη πρέπει να είναι εύκολα </w:t>
      </w:r>
      <w:r w:rsidR="00C374C4" w:rsidRPr="00EB5D21">
        <w:lastRenderedPageBreak/>
        <w:t>προσβάσιμη και να επιτρέπει την απρόσκοπτη πρόσβαση στα εθνικά μητρώα επιχειρήσεων και ότι θα πρέπει να αξιοποιήσει ή, κατά περίπτωση, να αναδιαμορφώσει την υφιστάμενη διαδικτυακή πύλη της ευρωπαϊκής ηλεκτρονικής δικαιοσύνης· ζητεί η ψηφιακή πύλη να χρησιμεύσει ως πλατφόρμα που διευκολύνει τις ασφαλείς ψηφιακές διαδικασίες, με ικανότητα αποθήκευσης εγγράφων καθώς και εθνικών πιστοποιήσεων, οι οποίες θα μπορούσαν μεταγενέστερα να αναγνωριστούν σε όλα τα κράτη μέλη, προκειμένου να καταστεί δυνατή η φορητότητα των πιστοποιήσεων, υποστηρίζοντας την αρχή «απόδειξη άπαξ»· τονίζει ότι η ψηφιακή πύλη θα πρέπει να επιτρέπει επαληθεύσιμα διαπιστευτήρια, την ηλεκτρονική υπογραφή εγγράφων, την πώληση και τη διανομή μεριδίων, τη δημιουργία και την έγκριση αποφάσεων του διοικητικού συμβουλίου και την παροχή υπηρεσιών ηλεκτρονικής τιμολόγησης· υπογραμμίζει ότι η ψηφιακή πύλη πρέπει να είναι πολυγλωσσική και να υποστηρίζει τη διασυνοριακή λειτουργικότητα· επισημαίνει ότι τα εν λόγω ψηφιακά εργαλεία θα ενισχύσουν την ασφάλεια δικαίου, θα μειώσουν τον διοικητικό φόρτο και θα προωθήσουν την ομοιογενή λειτουργία των εταιρειών εντός της εσωτερικής αγοράς·</w:t>
      </w:r>
    </w:p>
    <w:p w14:paraId="0055CC5A" w14:textId="7FA28E9A" w:rsidR="00C374C4" w:rsidRPr="00EB5D21" w:rsidRDefault="00EA7A32" w:rsidP="00EA7A32">
      <w:pPr>
        <w:pStyle w:val="NormalHanging12a"/>
        <w:ind w:hanging="570"/>
      </w:pPr>
      <w:r w:rsidRPr="00EB5D21">
        <w:t>18.</w:t>
      </w:r>
      <w:r w:rsidRPr="00EB5D21">
        <w:tab/>
      </w:r>
      <w:r w:rsidR="00C374C4" w:rsidRPr="00EB5D21">
        <w:t>ζητεί την περαιτέρω ανάπτυξη και προσαρμογή ενός ενιαίου ενωσιακού αναγνωριστικού εταιρικού κωδικού για τον εξορθολογισμό της καταχώρισης, την ενίσχυση της διαφάνειας και της εμπιστοσύνης, τη διευκόλυνση της επαλήθευσης της ταυτότητας των εταιρειών και την καταπολέμηση της απάτης, της νομιμοποίησης εσόδων από παράνομες δραστηριότητες και της φοροδιαφυγής· τονίζει ότι κάτι τέτοιο θα δώσει στις εταιρείες τη δυνατότητα να αποθηκεύουν και να ανταλλάσσουν με ασφάλεια επαληθεύσιμα διαπιστευτήρια με τις αρχές σε ολόκληρη την Ένωση· παροτρύνει την Επιτροπή να καταβάλει προσπάθειες για τη διαλειτουργικότητα με παγκόσμιες πρωτοβουλίες για τους αναγνωριστικούς εταιρικούς κωδικούς·</w:t>
      </w:r>
    </w:p>
    <w:p w14:paraId="768D4CB1" w14:textId="5091ACE4" w:rsidR="00C374C4" w:rsidRPr="00EB5D21" w:rsidRDefault="00EA7A32" w:rsidP="00EA7A32">
      <w:pPr>
        <w:pStyle w:val="NormalHanging12a"/>
        <w:ind w:hanging="570"/>
      </w:pPr>
      <w:r w:rsidRPr="00EB5D21">
        <w:t>19.</w:t>
      </w:r>
      <w:r w:rsidRPr="00EB5D21">
        <w:tab/>
      </w:r>
      <w:r w:rsidR="00C374C4" w:rsidRPr="00EB5D21">
        <w:t>θεωρεί ότι η δυνατότητα καταχώρισης ως S.EU θα πρέπει να λαμβάνει υπόψη την ποικιλομορφία των επιχειρηματικών μοντέλων και δεν θα πρέπει να περιορίζεται σε μια νέα κατηγορία «καινοτόμων εταιρειών» ή να υπόκειται σε άλλους περιοριστικούς παράγοντες· προειδοποιεί ότι η δημιουργία μιας τέτοιας νέας κατηγορίας θα μπορούσε να προσθέσει περιττή γραφειοκρατία· διευκρινίζει ότι θα πρέπει μόνο τα φυσικά ή νομικά πρόσωπα που διαμένουν ή είναι εγκατεστημένα στην Ένωση να μπορούν να ιδρύσουν S.EU·</w:t>
      </w:r>
    </w:p>
    <w:p w14:paraId="25C424C1" w14:textId="1D11D7D4" w:rsidR="00C374C4" w:rsidRPr="00EB5D21" w:rsidRDefault="00EA7A32" w:rsidP="00EA7A32">
      <w:pPr>
        <w:pStyle w:val="NormalHanging12a"/>
        <w:ind w:hanging="570"/>
        <w:rPr>
          <w:szCs w:val="22"/>
        </w:rPr>
      </w:pPr>
      <w:r w:rsidRPr="00EB5D21">
        <w:rPr>
          <w:szCs w:val="22"/>
        </w:rPr>
        <w:t>20.</w:t>
      </w:r>
      <w:r w:rsidRPr="00EB5D21">
        <w:rPr>
          <w:szCs w:val="22"/>
        </w:rPr>
        <w:tab/>
      </w:r>
      <w:r w:rsidR="00C374C4" w:rsidRPr="00EB5D21">
        <w:t>θεωρεί ότι η S.EU θα πρέπει να χρησιμεύει ως εταιρική μορφή για μεμονωμένες οντότητες και για ενιαία διαχείριση ομίλου και ότι μια S.EU θα πρέπει να μπορεί να λειτουργεί ως μητρική εταιρεία ή ως θυγατρική μιας μητρικής εταιρείας S.EU·</w:t>
      </w:r>
    </w:p>
    <w:p w14:paraId="70C2CB1D" w14:textId="35EB4063" w:rsidR="00C374C4" w:rsidRPr="00EB5D21" w:rsidRDefault="00EA7A32" w:rsidP="00EA7A32">
      <w:pPr>
        <w:pStyle w:val="NormalHanging12a"/>
        <w:ind w:hanging="570"/>
      </w:pPr>
      <w:r w:rsidRPr="00EB5D21">
        <w:t>21.</w:t>
      </w:r>
      <w:r w:rsidRPr="00EB5D21">
        <w:tab/>
      </w:r>
      <w:r w:rsidR="00C374C4" w:rsidRPr="00EB5D21">
        <w:t>τονίζει ότι η καταστατική έδρα μιας εταιρείας πρέπει να βρίσκεται σε ένα από τα 27 κράτη μέλη προκειμένου να μπορεί να καταχωριστεί ως S.EU· υπογραμμίζει ότι η καταστατική έδρα και η πραγματική έδρα είναι δυνατόν να βρίσκονται σε διαφορετικά κράτη μέλη·</w:t>
      </w:r>
    </w:p>
    <w:p w14:paraId="7BF710EA" w14:textId="77777777" w:rsidR="00C374C4" w:rsidRPr="00EB5D21" w:rsidRDefault="00C374C4" w:rsidP="00097354">
      <w:pPr>
        <w:pStyle w:val="NormalHanging12a"/>
        <w:ind w:left="0" w:firstLine="0"/>
        <w:rPr>
          <w:b/>
          <w:bCs/>
          <w:i/>
          <w:iCs/>
        </w:rPr>
      </w:pPr>
      <w:r w:rsidRPr="00EB5D21">
        <w:rPr>
          <w:b/>
          <w:i/>
        </w:rPr>
        <w:t>Διασφαλίσεις, συμπεριλαμβανομένων μακροπρόθεσμων στρατηγικών και προαιρετικών μορφών</w:t>
      </w:r>
    </w:p>
    <w:p w14:paraId="5050EB1A" w14:textId="3ED96B04" w:rsidR="00C374C4" w:rsidRPr="00EB5D21" w:rsidRDefault="00EA7A32" w:rsidP="00EA7A32">
      <w:pPr>
        <w:pStyle w:val="NormalHanging12a"/>
        <w:ind w:left="426" w:hanging="570"/>
      </w:pPr>
      <w:r w:rsidRPr="00EB5D21">
        <w:t>22.</w:t>
      </w:r>
      <w:r w:rsidRPr="00EB5D21">
        <w:tab/>
      </w:r>
      <w:r w:rsidR="00C374C4" w:rsidRPr="00EB5D21">
        <w:t xml:space="preserve">ζητεί να συμπεριληφθούν στη νομοθετική πρόταση </w:t>
      </w:r>
      <w:r w:rsidR="00097354">
        <w:t>σχετικά με</w:t>
      </w:r>
      <w:r w:rsidR="00097354" w:rsidRPr="00EB5D21">
        <w:t xml:space="preserve"> το 28ο καθεστώς</w:t>
      </w:r>
      <w:r w:rsidR="00097354">
        <w:t xml:space="preserve"> </w:t>
      </w:r>
      <w:r w:rsidR="00C374C4" w:rsidRPr="00EB5D21">
        <w:t>προαιρετικές μορφές υπεύθυνου ιδιοκτησιακού καθεστώτος (</w:t>
      </w:r>
      <w:proofErr w:type="spellStart"/>
      <w:r w:rsidR="00C374C4" w:rsidRPr="00EB5D21">
        <w:t>steward</w:t>
      </w:r>
      <w:proofErr w:type="spellEnd"/>
      <w:r w:rsidR="00C374C4" w:rsidRPr="00EB5D21">
        <w:t xml:space="preserve"> </w:t>
      </w:r>
      <w:proofErr w:type="spellStart"/>
      <w:r w:rsidR="00C374C4" w:rsidRPr="00EB5D21">
        <w:t>ownership</w:t>
      </w:r>
      <w:proofErr w:type="spellEnd"/>
      <w:r w:rsidR="00C374C4" w:rsidRPr="00EB5D21">
        <w:t xml:space="preserve">), κλειδώματα περιουσιακών στοιχείων και διάφορες κατηγορίες μετοχών, ιδίως μετοχές πίστης και μετοχές διπλής κατηγορίας, συμπεριλαμβανομένων των μετοχών βέτο· υπογραμμίζει ότι οι ευρωπαϊκές καινοτόμες εταιρείες, ιδίως οι ΜΜΕ, οι νεοφυείς και οι αναπτυσσόμενες νέες επιχειρήσεις, χρειάζονται εναλλακτικές οδούς πρόσβασης σε </w:t>
      </w:r>
      <w:r w:rsidR="00C374C4" w:rsidRPr="00EB5D21">
        <w:lastRenderedPageBreak/>
        <w:t>κεφάλαια· τονίζει την ανάγκη για εναλλακτικά μοντέλα χρηματοδότησης στα πρώτα στάδια του κύκλου ζωής μιας S.EU· θεωρεί ότι οι επιχειρηματίες ενδέχεται να επιθυμούν να προστατευτούν από τις «φονικές εξαγορές» ώστε να αποτραπεί η μετεγκατάσταση της καινοτομίας, η οποία συχνά υποστηρίζεται από ευρωπαϊκά δημόσια κονδύλια για την έρευνα, εκτός της Ένωσης· θεωρεί ότι ο έλεγχος των συγκεντρώσεων δεν επαρκεί για την αντιμετώπιση του εν λόγω ζητήματος·</w:t>
      </w:r>
    </w:p>
    <w:p w14:paraId="4B58154B" w14:textId="305B6FB6" w:rsidR="00C374C4" w:rsidRPr="00EB5D21" w:rsidRDefault="00EA7A32" w:rsidP="00EA7A32">
      <w:pPr>
        <w:pStyle w:val="NormalHanging12a"/>
        <w:ind w:left="426" w:hanging="570"/>
      </w:pPr>
      <w:r w:rsidRPr="00EB5D21">
        <w:t>23.</w:t>
      </w:r>
      <w:r w:rsidRPr="00EB5D21">
        <w:tab/>
      </w:r>
      <w:r w:rsidR="00C374C4" w:rsidRPr="00EB5D21">
        <w:t>τονίζει την ανάγκη να μην υπονομευθούν τα υφιστάμενα πρότυπα σε ενωσιακό ή εθνικό επίπεδο, κάτι το οποίο θα ενισχύσει την ασφάλεια δικαίου και θα προασπίσει τα δημόσια συμφέροντα, όπως η πρόληψη της νομιμοποίησης εσόδων από παράνομες δραστηριότητες, ο σεβασμός των καθεστώτων κυρώσεων της Ένωσης και η προστασία των εργαζομένων, των εκπροσώπων τους και των συνδικαλιστικών οργανώσεων, καθώς και άλλων ευάλωτων μερών στις εθνικές έννομες τάξεις των κρατών μελών· επαναλαμβάνει ότι κάθε S.EU πρέπει να συμμορφώνεται με τις απαιτήσεις που ορίζονται από το ενωσιακό και το εθνικό εργατικό δίκαιο·</w:t>
      </w:r>
    </w:p>
    <w:p w14:paraId="0D35B7B7" w14:textId="2B13C438" w:rsidR="00C374C4" w:rsidRPr="00EB5D21" w:rsidRDefault="00EA7A32" w:rsidP="00EA7A32">
      <w:pPr>
        <w:pStyle w:val="NormalHanging12a"/>
        <w:ind w:left="426" w:hanging="570"/>
      </w:pPr>
      <w:r w:rsidRPr="00EB5D21">
        <w:t>24.</w:t>
      </w:r>
      <w:r w:rsidRPr="00EB5D21">
        <w:tab/>
      </w:r>
      <w:r w:rsidR="00C374C4" w:rsidRPr="00EB5D21">
        <w:t xml:space="preserve">θεωρεί αναγκαίο να συμπεριληφθούν διασφαλίσεις για τη συμμετοχή των εργαζομένων, των εκπροσώπων των εργαζομένων, ή και των δύο, στις υποθέσεις μιας εταιρείας· αντιλαμβάνεται τη συμμετοχή όπως αυτή ορίζεται στο άρθρο 2 στοιχείο </w:t>
      </w:r>
      <w:proofErr w:type="spellStart"/>
      <w:r w:rsidR="00C374C4" w:rsidRPr="00EB5D21">
        <w:t>ια</w:t>
      </w:r>
      <w:proofErr w:type="spellEnd"/>
      <w:r w:rsidR="00C374C4" w:rsidRPr="00EB5D21">
        <w:t xml:space="preserve">) της οδηγίας 2001/86/ΕΚ· επαναλαμβάνει ότι η S.EU θα πρέπει να αντιμετωπίζεται από το κράτος μέλος καταγωγής της με τον ίδιο τρόπο που αντιμετωπίζονται οι συγκρίσιμες εγχώριες εταιρείες και ως συγκρίσιμη εταιρεία αλλοδαπού δικαίου της Ένωσης από οποιοδήποτε κράτος μέλος υποδοχής, ενώ θα πρέπει παράλληλα να διασφαλίζεται ότι αποτρέπεται αποτελεσματικά η τεχνητή χρήση της S.EU με σκοπό να παρακαμφθούν τα υφιστάμενα επίπεδα προστασίας της συμμετοχής των εργαζομένων που προβλέπεται στο δίκαιο των κρατών μελών· υπογραμμίζει ότι η S.EU θα πρέπει να υπόκειται σε τυχόν κανόνες σχετικά με τη συμμετοχή των εργαζομένων που ισχύουν στο κράτος μέλος απασχόλησης· τονίζει, ως εκ τούτου, ότι στις S.EU πρέπει να προβλέπονται, σύμφωνα με την ισχύουσα εθνική νομοθεσία του τόπου απασχόλησης, δικαιώματα εκπροσώπησης των εργαζομένων σε επίπεδο διοικητικού συμβουλίου όταν ο αριθμός των εργαζομένων της </w:t>
      </w:r>
      <w:r w:rsidR="00097354" w:rsidRPr="00EB5D21">
        <w:t>S.EU</w:t>
      </w:r>
      <w:r w:rsidR="00C374C4" w:rsidRPr="00EB5D21">
        <w:t xml:space="preserve"> υπερβαίνει οποιοδήποτε όριο, σύμφωνα με την εθνική νομοθεσία του τόπου απασχόλησης, με σκοπό την ενεργοποίηση των δικαιωμάτων εκπροσώπησης των εργαζομένων σε επίπεδο διοικητικού συμβουλίου στο εν λόγω κράτος μέλος· θεωρεί ότι η διαδικασία διαπραγμάτευσης, όπως ορίζεται στα άρθρα 3 έως 7 της οδηγίας 2001/86/ΕΚ, αποτελεί εναλλακτική επιλογή, υπό την προϋπόθεση ότι δεν καταστρατηγούνται τα θεσμοθετημένα δικαιώματα συμμετοχής των εργαζομένων·</w:t>
      </w:r>
    </w:p>
    <w:p w14:paraId="60D5964F" w14:textId="31A892C8" w:rsidR="00C374C4" w:rsidRPr="00EB5D21" w:rsidRDefault="00EA7A32" w:rsidP="00EA7A32">
      <w:pPr>
        <w:pStyle w:val="NormalHanging12a"/>
        <w:ind w:left="426" w:hanging="570"/>
        <w:rPr>
          <w:bCs/>
          <w:iCs/>
        </w:rPr>
      </w:pPr>
      <w:r w:rsidRPr="00EB5D21">
        <w:rPr>
          <w:bCs/>
          <w:iCs/>
        </w:rPr>
        <w:t>25.</w:t>
      </w:r>
      <w:r w:rsidRPr="00EB5D21">
        <w:rPr>
          <w:bCs/>
          <w:iCs/>
        </w:rPr>
        <w:tab/>
      </w:r>
      <w:r w:rsidR="00C374C4" w:rsidRPr="00EB5D21">
        <w:t>τονίζει ότι το 28ο καθεστώς δεν θα πρέπει να οδηγήσει στη δημιουργία αδρανών εταιρειών ή στην αύξηση των εικονικών εταιρειών, καθώς οι πρακτικές αυτές υπονομεύουν την κανονιστική ακεραιότητα, στρεβλώνουν τον θεμιτό ανταγωνισμό και διαβρώνουν την πραγματική οικονομική δραστηριότητα εντός της Ένωσης·</w:t>
      </w:r>
      <w:r w:rsidR="006E7F37">
        <w:t xml:space="preserve"> </w:t>
      </w:r>
      <w:r w:rsidR="00C374C4" w:rsidRPr="00EB5D21">
        <w:t>υπογραμμίζει ότι το 28ο καθεστώς δεν θα πρέπει να θίγει το δικαίωμα των συνδικαλιστικών οργανώσεων και των οργανώσεων εργοδοτών να διαπραγματεύονται συλλογικές συμβάσεις·</w:t>
      </w:r>
    </w:p>
    <w:p w14:paraId="7CF442B1" w14:textId="71F3D112" w:rsidR="00C374C4" w:rsidRPr="00EB5D21" w:rsidRDefault="00EA7A32" w:rsidP="00EA7A32">
      <w:pPr>
        <w:pStyle w:val="NormalHanging12a"/>
        <w:ind w:left="426" w:hanging="570"/>
      </w:pPr>
      <w:r w:rsidRPr="00EB5D21">
        <w:t>26.</w:t>
      </w:r>
      <w:r w:rsidRPr="00EB5D21">
        <w:tab/>
      </w:r>
      <w:r w:rsidR="00C374C4" w:rsidRPr="00EB5D21">
        <w:t>θεωρεί ότι εταιρείες για τις οποίες έχει διαπιστωθεί επισήμως ότι παραβίασαν δεσμευτικούς κανόνες όσον αφορά την απάτη, τη φορολογία, την εισφοροδιαφυγή ή τη συμμετοχή των εργαζομένων δεν θα πρέπει να έχουν δυνατότητα συμμετοχής στο 28ο καθεστώς·</w:t>
      </w:r>
    </w:p>
    <w:p w14:paraId="41AF7304" w14:textId="58A06951" w:rsidR="00C374C4" w:rsidRPr="00EB5D21" w:rsidRDefault="00C374C4" w:rsidP="00C374C4">
      <w:pPr>
        <w:pStyle w:val="NormalHanging12a"/>
        <w:ind w:left="564" w:hanging="564"/>
        <w:rPr>
          <w:b/>
          <w:bCs/>
          <w:i/>
          <w:iCs/>
        </w:rPr>
      </w:pPr>
      <w:r w:rsidRPr="00EB5D21">
        <w:rPr>
          <w:b/>
          <w:i/>
        </w:rPr>
        <w:t>Προσέλκυση και στήριξη ταλέντων</w:t>
      </w:r>
    </w:p>
    <w:p w14:paraId="02DC3DE5" w14:textId="03B92CAE" w:rsidR="00C374C4" w:rsidRPr="00EB5D21" w:rsidRDefault="00EA7A32" w:rsidP="00EA7A32">
      <w:pPr>
        <w:pStyle w:val="NormalHanging12a"/>
        <w:ind w:hanging="570"/>
      </w:pPr>
      <w:r w:rsidRPr="00EB5D21">
        <w:lastRenderedPageBreak/>
        <w:t>27.</w:t>
      </w:r>
      <w:r w:rsidRPr="00EB5D21">
        <w:tab/>
      </w:r>
      <w:r w:rsidR="00C374C4" w:rsidRPr="00EB5D21">
        <w:t>τονίζει ότι το πλαίσιο S.EU θα πρέπει να προωθεί συμπράξεις με πανεπιστήμια, ερευνητικά ιδρύματα και γραφεία μεταφοράς τεχνολογίας με σκοπό την επιτάχυνση της μετάβασης από το εργαστήριο στην αγορά, τη διασφάλιση της πρόσβασης σε ερευνητικές υποδομές και εμπειρογνωσία και τη στήριξη της εμπορικής αξιοποίησης των αποτελεσμάτων της έρευνας, ενισχύοντας έτσι τα οικοσυστήματα που βασίζονται στην καινοτομία·</w:t>
      </w:r>
    </w:p>
    <w:p w14:paraId="563F1AB6" w14:textId="78D44DCA" w:rsidR="00C374C4" w:rsidRPr="00EB5D21" w:rsidRDefault="00EA7A32" w:rsidP="00EA7A32">
      <w:pPr>
        <w:pStyle w:val="NormalHanging12a"/>
        <w:ind w:hanging="570"/>
      </w:pPr>
      <w:r w:rsidRPr="00EB5D21">
        <w:t>28.</w:t>
      </w:r>
      <w:r w:rsidRPr="00EB5D21">
        <w:tab/>
      </w:r>
      <w:r w:rsidR="00C374C4" w:rsidRPr="00EB5D21">
        <w:t xml:space="preserve">επισημαίνει ότι το πλαίσιο S.EU θα πρέπει να διευκολύνει την ελεύθερη κυκλοφορία εντός της Ένωσης, χωρίς να απαιτούνται διαμεσολαβητές στις διοικητικές διαδικασίες, τηρώντας παράλληλα τους ισχύοντες ενωσιακούς και εθνικούς κανόνες για το εργατικό και κοινωνικό δίκαιο· </w:t>
      </w:r>
    </w:p>
    <w:p w14:paraId="4DF08B84" w14:textId="19234329" w:rsidR="00C374C4" w:rsidRPr="00EB5D21" w:rsidRDefault="00EA7A32" w:rsidP="00EA7A32">
      <w:pPr>
        <w:pStyle w:val="NormalHanging12a"/>
        <w:ind w:hanging="570"/>
        <w:rPr>
          <w:bCs/>
          <w:iCs/>
        </w:rPr>
      </w:pPr>
      <w:r w:rsidRPr="00EB5D21">
        <w:rPr>
          <w:bCs/>
          <w:iCs/>
        </w:rPr>
        <w:t>29.</w:t>
      </w:r>
      <w:r w:rsidRPr="00EB5D21">
        <w:rPr>
          <w:bCs/>
          <w:iCs/>
        </w:rPr>
        <w:tab/>
      </w:r>
      <w:r w:rsidR="00C374C4" w:rsidRPr="00EB5D21">
        <w:t>τονίζει ότι η προσέλκυση κορυφαίων ταλέντων είναι απαραίτητη για την ανάπτυξη και την καινοτομία στην Ένωση και ότι οι ΜΜΕ, οι νεοφυείς και οι αναπτυσσόμενες νέες επιχειρήσεις συχνά δυσκολεύονται να προσφέρουν τα κατάλληλα ανταγωνιστικά οικονομικά κίνητρα σε όλο το εύρος της ενιαίας αγοράς, όπως μετοχικό κεφάλαιο ή συμμετοχή στα κέρδη, προκειμένου να προσελκύσουν και να διατηρήσουν ειδικευμένους επαγγελματίες· υπογραμμίζει ότι η αύξηση της παραγωγικότητας, η καινοτομία και η κοινωνική ένταξη πρέπει να συμβαδίζουν· είναι της άποψης ότι θα πρέπει να εξεταστεί το ενδεχόμενο εναρμόνισης των κανόνων για την οικονομική συμμετοχή των εργαζομένων, ιδίως μέσω της δημιουργίας προγραμμάτων αγοράς μετοχών από εργαζομένους (ESOP) και μετοχικά δικαιώματα προαίρεσης που χορηγούνται σε εργαζομένους (ESO)·</w:t>
      </w:r>
    </w:p>
    <w:p w14:paraId="202517CE" w14:textId="71C47757" w:rsidR="00C374C4" w:rsidRPr="00EB5D21" w:rsidRDefault="00EA7A32" w:rsidP="00EA7A32">
      <w:pPr>
        <w:pStyle w:val="NormalHanging12a"/>
        <w:ind w:hanging="570"/>
        <w:rPr>
          <w:bCs/>
          <w:iCs/>
        </w:rPr>
      </w:pPr>
      <w:r w:rsidRPr="00EB5D21">
        <w:rPr>
          <w:bCs/>
          <w:iCs/>
        </w:rPr>
        <w:t>30.</w:t>
      </w:r>
      <w:r w:rsidRPr="00EB5D21">
        <w:rPr>
          <w:bCs/>
          <w:iCs/>
        </w:rPr>
        <w:tab/>
      </w:r>
      <w:r w:rsidR="00C374C4" w:rsidRPr="00EB5D21">
        <w:t xml:space="preserve">υπογραμμίζει ότι οι εναρμονισμένοι κανόνες για την οικονομική συμμετοχή των εργαζομένων συγκαταλέγονται στα βασικά αιτήματα των επιχειρηματιών που δυσκολεύονται να εξασφαλίσουν τις ίδιες παροχές για τους εργαζομένους τους σε ολόκληρη την εσωτερική αγορά· επισημαίνει ότι οι εναρμονισμένοι κανόνες δεν θα πρέπει να θίγουν τη δημοσιονομική πολιτική, αλλά, αντιθέτως, θα πρέπει να παρέχουν στους εργαζομένους τη δυνατότητα να έχουν προοδευτικά δικαιώματα προαίρεσης μετοχών· θεωρεί ότι η ύπαρξη τέτοιων εναρμονισμένων κανόνων θα δώσει στους εργαζομένους τη δυνατότητα να αποκτήσουν ιδιοκτησιακό ενδιαφέρον και να επωφεληθούν άμεσα από την επιτυχία της εταιρείας τους, προωθώντας τη μακροπρόθεσμη αφοσίωση, την καινοτομία και τη δικαιότερη κατανομή της ανάπτυξης· τονίζει ότι είναι σημαντικό η Επιτροπή να θεσπίσει κατευθυντήριες γραμμές σχετικά με την αποτίμηση των μετοχικών τίτλων και τις περιόδους κατοχύρωσης· σημειώνει, στο πλαίσιο αυτό, ότι τα φορολογικά ζητήματα, τα οποία καθιστούν τη χρηματοδοτική συμμετοχή των εργαζομένων φορολογικά ελκυστική, είναι ευαίσθητα και κρίσιμα για την επιτυχία της προσέλκυσης κορυφαίων ταλέντων και, ως εκ τούτου, καλεί την Επιτροπή να επεξεργαστεί τα ζητήματα αυτά στο πλαίσιο της δέσμης μέτρων του 28ου καθεστώτος, ώστε να διασφαλιστούν η νομική συνοχή και η διασυνοριακή εφαρμογή· </w:t>
      </w:r>
    </w:p>
    <w:p w14:paraId="4A0EECF0" w14:textId="3553FAAC" w:rsidR="00C374C4" w:rsidRPr="00EB5D21" w:rsidRDefault="00EA7A32" w:rsidP="00EA7A32">
      <w:pPr>
        <w:pStyle w:val="NormalHanging12a"/>
        <w:ind w:hanging="570"/>
        <w:rPr>
          <w:bCs/>
          <w:iCs/>
        </w:rPr>
      </w:pPr>
      <w:r w:rsidRPr="00EB5D21">
        <w:rPr>
          <w:bCs/>
          <w:iCs/>
        </w:rPr>
        <w:t>31.</w:t>
      </w:r>
      <w:r w:rsidRPr="00EB5D21">
        <w:rPr>
          <w:bCs/>
          <w:iCs/>
        </w:rPr>
        <w:tab/>
      </w:r>
      <w:r w:rsidR="00C374C4" w:rsidRPr="00EB5D21">
        <w:t xml:space="preserve">επιμένει ότι οι εναρμονισμένοι κανόνες για τα συστήματα οικονομικής συμμετοχής των εργαζομένων θα πρέπει να σχεδιάζονται κατά τρόπο ώστε να αξιοποιούνται για τη διαμόρφωση ενός ευνοϊκότερου εργασιακού περιβάλλοντος και να μην εισάγουν διακρίσεις· τονίζει ότι τα συστήματα αυτά δεν θα πρέπει να αντικαθιστούν ή να μειώνουν τις αποδοχές και πρέπει να έχουν χαμηλό κατώτατο όριο για την πρόσβαση των εργαζομένων σε αυτά· </w:t>
      </w:r>
    </w:p>
    <w:p w14:paraId="39A48862" w14:textId="77777777" w:rsidR="00C374C4" w:rsidRPr="00EB5D21" w:rsidRDefault="00C374C4" w:rsidP="00EA7A32">
      <w:pPr>
        <w:pStyle w:val="NormalHanging12a"/>
        <w:ind w:left="-3" w:firstLine="0"/>
        <w:rPr>
          <w:b/>
          <w:i/>
        </w:rPr>
      </w:pPr>
      <w:r w:rsidRPr="00EB5D21">
        <w:rPr>
          <w:b/>
          <w:i/>
        </w:rPr>
        <w:t>Πρόσβαση σε κεφάλαια</w:t>
      </w:r>
    </w:p>
    <w:p w14:paraId="7810DF3B" w14:textId="2474F126" w:rsidR="00C374C4" w:rsidRPr="00EB5D21" w:rsidRDefault="00EA7A32" w:rsidP="00EA7A32">
      <w:pPr>
        <w:pStyle w:val="NormalHanging12a"/>
        <w:ind w:hanging="570"/>
        <w:rPr>
          <w:bCs/>
          <w:iCs/>
        </w:rPr>
      </w:pPr>
      <w:r w:rsidRPr="00EB5D21">
        <w:rPr>
          <w:bCs/>
          <w:iCs/>
        </w:rPr>
        <w:lastRenderedPageBreak/>
        <w:t>32.</w:t>
      </w:r>
      <w:r w:rsidRPr="00EB5D21">
        <w:rPr>
          <w:bCs/>
          <w:iCs/>
        </w:rPr>
        <w:tab/>
      </w:r>
      <w:r w:rsidR="00C374C4" w:rsidRPr="00EB5D21">
        <w:t xml:space="preserve">επισημαίνει ότι η </w:t>
      </w:r>
      <w:r w:rsidR="00097354">
        <w:t xml:space="preserve">νομοθετική </w:t>
      </w:r>
      <w:r w:rsidR="00C374C4" w:rsidRPr="00EB5D21">
        <w:t xml:space="preserve">πρόταση σχετικά με το 28ο καθεστώς για τη θέσπιση S.EU θα πρέπει γενικά να εξασφαλίζει σαφήνεια για τους Ευρωπαίους και ξένους επενδυτές, παρέχοντάς τους τη δυνατότητα να επενδύουν διασυνοριακά χρησιμοποιώντας εναρμονισμένους κανόνες· </w:t>
      </w:r>
    </w:p>
    <w:p w14:paraId="3A50CD26" w14:textId="7D7FA1F3" w:rsidR="00C374C4" w:rsidRPr="00EB5D21" w:rsidRDefault="00EA7A32" w:rsidP="00EA7A32">
      <w:pPr>
        <w:pStyle w:val="NormalHanging12a"/>
        <w:ind w:hanging="570"/>
      </w:pPr>
      <w:r w:rsidRPr="00EB5D21">
        <w:t>33.</w:t>
      </w:r>
      <w:r w:rsidRPr="00EB5D21">
        <w:tab/>
      </w:r>
      <w:r w:rsidR="00C374C4" w:rsidRPr="00EB5D21">
        <w:t xml:space="preserve">ζητεί την εκπόνηση τυποποιημένων πολύγλωσσων υποδειγμάτων εγγράφων που θα χρησιμοποιούνται από τις S.EU σε ολόκληρη την Ένωση για συμφωνίες μετόχων και καταστατικά, καθώς και την παρακολούθηση της χρήσης των εν λόγω υποδειγμάτων εγγράφων και της συμμόρφωσης με αυτά και άλλα θεμελιώδη και επιχειρησιακά υποδείγματα ειδικά προσαρμοσμένα για τις S.EU </w:t>
      </w:r>
      <w:r w:rsidR="00C374C4" w:rsidRPr="00EB5D21">
        <w:rPr>
          <w:shd w:val="clear" w:color="auto" w:fill="FFFFFF"/>
        </w:rPr>
        <w:t>μέσω της ψηφιακής πύλης που αναφέρεται στο σημείο 17, προκειμένου να διασφαλιστούν η νομική σαφήνεια, η εύκολη διασυνοριακή χρήση και η εξοικείωση των επενδυτών· συνιστά τα εν λόγω υποδείγματα εγγράφων να χρησιμεύουν ως προαιρετικά προεπιλεγμένα υποδείγματα στο πλαίσιο της διαδικασίας καταχώρισης S.EU· συνιστά να είναι δυνατή η παρέκκλιση από τα υποδείγματα εγγράφων ώστε να λαμβάνονται υπόψη συγκεκριμένες επιχειρηματικές απαιτήσεις·</w:t>
      </w:r>
      <w:r w:rsidR="00C374C4" w:rsidRPr="00EB5D21">
        <w:t xml:space="preserve"> </w:t>
      </w:r>
    </w:p>
    <w:p w14:paraId="48DB083D" w14:textId="48158AEE" w:rsidR="00C374C4" w:rsidRPr="00EB5D21" w:rsidRDefault="00EA7A32" w:rsidP="00EA7A32">
      <w:pPr>
        <w:pStyle w:val="NormalHanging12a"/>
        <w:ind w:hanging="570"/>
      </w:pPr>
      <w:r w:rsidRPr="00EB5D21">
        <w:t>34.</w:t>
      </w:r>
      <w:r w:rsidRPr="00EB5D21">
        <w:tab/>
      </w:r>
      <w:r w:rsidR="00C374C4" w:rsidRPr="00EB5D21">
        <w:t xml:space="preserve">θεωρεί ότι η νομοθετική πρόταση </w:t>
      </w:r>
      <w:r w:rsidR="00097354" w:rsidRPr="00EB5D21">
        <w:t>σχετικά με το 28ο καθεστώς</w:t>
      </w:r>
      <w:r w:rsidR="00097354">
        <w:t xml:space="preserve"> </w:t>
      </w:r>
      <w:r w:rsidR="00C374C4" w:rsidRPr="00EB5D21">
        <w:t>θα πρέπει να περιέχει εναρμονισμένους κανόνες για τους μετοχικούς χρεωστικούς τίτλους, συμπεριλαμβανομένων κανόνων περί αφερεγγυότητας συνδεδεμένων με αυτούς τους τίτλους, ώστε οι επενδυτές να έχουν τη δυνατότητα να επενδύουν σε μια εταιρεία χωρίς να αποκτούν δικαιώματα ελέγχου επί της εν λόγω εταιρείας·</w:t>
      </w:r>
    </w:p>
    <w:p w14:paraId="15D7F969" w14:textId="35C4559F" w:rsidR="00C374C4" w:rsidRPr="00EB5D21" w:rsidRDefault="00EA7A32" w:rsidP="00EA7A32">
      <w:pPr>
        <w:pStyle w:val="NormalHanging12a"/>
        <w:ind w:hanging="570"/>
        <w:rPr>
          <w:shd w:val="clear" w:color="auto" w:fill="FFFFFF"/>
        </w:rPr>
      </w:pPr>
      <w:r w:rsidRPr="00EB5D21">
        <w:t>35.</w:t>
      </w:r>
      <w:r w:rsidRPr="00EB5D21">
        <w:tab/>
      </w:r>
      <w:r w:rsidR="00C374C4" w:rsidRPr="00EB5D21">
        <w:rPr>
          <w:shd w:val="clear" w:color="auto" w:fill="FFFFFF"/>
        </w:rPr>
        <w:t xml:space="preserve">επαναλαμβάνει ότι η πρόσβαση στη χρηματοδότηση δεν θα πρέπει να περιορίζεται στα επιχειρηματικά κεφάλαια, αλλά θα πρέπει επίσης να καλύπτει άλλα είδη επενδύσεων, συμπεριλαμβανομένων επενδύσεων μετοχικού κεφαλαίου και επενδύσεων με κοινωνικό αντίκτυπο, συνταξιοδοτικών προγραμμάτων και δημόσιων επενδυτικών ταμείων, προκειμένου να εξασφαλίζεται η αναγκαία πρόσβαση σε κεφάλαια· </w:t>
      </w:r>
    </w:p>
    <w:p w14:paraId="1987DE2E" w14:textId="5811966A" w:rsidR="00C374C4" w:rsidRPr="00EB5D21" w:rsidRDefault="00EA7A32" w:rsidP="00EA7A32">
      <w:pPr>
        <w:pStyle w:val="NormalHanging12a"/>
        <w:ind w:hanging="570"/>
        <w:rPr>
          <w:shd w:val="clear" w:color="auto" w:fill="FFFFFF"/>
        </w:rPr>
      </w:pPr>
      <w:r w:rsidRPr="00EB5D21">
        <w:t>36.</w:t>
      </w:r>
      <w:r w:rsidRPr="00EB5D21">
        <w:tab/>
      </w:r>
      <w:r w:rsidR="00C374C4" w:rsidRPr="00EB5D21">
        <w:rPr>
          <w:shd w:val="clear" w:color="auto" w:fill="FFFFFF"/>
        </w:rPr>
        <w:t xml:space="preserve">θεωρεί ότι θα πρέπει να ληφθεί μέριμνα ώστε να διευκολυνθεί η συνεργασία των ΜΜΕ, των νεοφυών επιχειρήσεων και των αναπτυσσόμενων νέων επιχειρήσεων με ερευνητικά ιδρύματα για τη στήριξη των </w:t>
      </w:r>
      <w:proofErr w:type="spellStart"/>
      <w:r w:rsidR="00C374C4" w:rsidRPr="00EB5D21">
        <w:rPr>
          <w:shd w:val="clear" w:color="auto" w:fill="FFFFFF"/>
        </w:rPr>
        <w:t>τεχνοβλαστών</w:t>
      </w:r>
      <w:proofErr w:type="spellEnd"/>
      <w:r w:rsidR="00C374C4" w:rsidRPr="00EB5D21">
        <w:rPr>
          <w:shd w:val="clear" w:color="auto" w:fill="FFFFFF"/>
        </w:rPr>
        <w:t xml:space="preserve"> και της μεταφοράς γνώσεων· υπογραμμίζει ότι, για τον σκοπό αυτόν, η δημιουργία των S.EU θα πρέπει να ενσωματωθεί πλήρως στις πρωτοβουλίες της Ένωσης για τη διευκόλυνση της βελτιωμένης πρόσβασης σε δεδομένα στο πλαίσιο της έρευνας· </w:t>
      </w:r>
    </w:p>
    <w:p w14:paraId="0C63448F" w14:textId="77777777" w:rsidR="00C374C4" w:rsidRPr="00EB5D21" w:rsidRDefault="00C374C4" w:rsidP="00C374C4">
      <w:pPr>
        <w:pStyle w:val="NormalHanging12a"/>
        <w:rPr>
          <w:b/>
          <w:i/>
        </w:rPr>
      </w:pPr>
      <w:r w:rsidRPr="00EB5D21">
        <w:rPr>
          <w:b/>
          <w:i/>
        </w:rPr>
        <w:t>Επίλυση διαφορών</w:t>
      </w:r>
    </w:p>
    <w:p w14:paraId="5749DE1E" w14:textId="5B04893C" w:rsidR="00C374C4" w:rsidRPr="00EB5D21" w:rsidRDefault="00EA7A32" w:rsidP="00EA7A32">
      <w:pPr>
        <w:pStyle w:val="NormalHanging12a"/>
        <w:ind w:hanging="570"/>
      </w:pPr>
      <w:r w:rsidRPr="00EB5D21">
        <w:t>37.</w:t>
      </w:r>
      <w:r w:rsidRPr="00EB5D21">
        <w:tab/>
      </w:r>
      <w:r w:rsidR="00C374C4" w:rsidRPr="00EB5D21">
        <w:t xml:space="preserve">θεωρεί ότι θα πρέπει να θεσπιστεί εναλλακτικός μηχανισμός επίλυσης διαφορών για τις διαφορές που αφορούν τις S.EU, ώστε να διασφαλίζεται η ταχεία και εξειδικευμένη επίλυση διαφορών· πιστεύει επίσης ότι τα κράτη μέλη θα πρέπει να εξετάσουν το ενδεχόμενο σύστασης ειδικού τμήματος στα εθνικά τους δικαστήρια, το οποίο θα είναι επιφορτισμένο με τις διαφορές μεταξύ εταιρειών που σχετίζονται με S.EU, και ότι θα πρέπει να είναι δυνατή η διενέργεια της επίλυσης διαφορών από τα εν λόγω ειδικά τμήματα στην αγγλική γλώσσα· </w:t>
      </w:r>
    </w:p>
    <w:p w14:paraId="47DAF944" w14:textId="77777777" w:rsidR="00C374C4" w:rsidRPr="00EB5D21" w:rsidRDefault="00C374C4" w:rsidP="00C374C4">
      <w:pPr>
        <w:pStyle w:val="NormalHanging12a"/>
        <w:rPr>
          <w:b/>
          <w:i/>
        </w:rPr>
      </w:pPr>
      <w:r w:rsidRPr="00EB5D21">
        <w:rPr>
          <w:b/>
          <w:i/>
        </w:rPr>
        <w:t>Εκτίμηση επιπτώσεων, επανεξέταση και αξιολόγηση</w:t>
      </w:r>
    </w:p>
    <w:p w14:paraId="369993C6" w14:textId="037C84EF" w:rsidR="00C374C4" w:rsidRPr="00EB5D21" w:rsidRDefault="00EA7A32" w:rsidP="00EA7A32">
      <w:pPr>
        <w:pStyle w:val="NormalHanging12a"/>
        <w:ind w:hanging="570"/>
      </w:pPr>
      <w:r w:rsidRPr="00EB5D21">
        <w:t>38.</w:t>
      </w:r>
      <w:r w:rsidRPr="00EB5D21">
        <w:tab/>
      </w:r>
      <w:r w:rsidR="00C374C4" w:rsidRPr="00EB5D21">
        <w:t xml:space="preserve">παροτρύνει την Επιτροπή να διενεργήσει και να δημοσιεύσει ολοκληρωμένη και διαφανή εκτίμηση επιπτώσεων κάθε νέας νομοθετικής πρότασης που σχετίζεται με το 28ο καθεστώς, εστιάζοντας στις επιπτώσεις των μέτρων εναρμόνισης για τις εταιρείες και στις κοινωνικές, φορολογικές και νομικές συνέπειες, καθώς και στον κίνδυνο </w:t>
      </w:r>
      <w:r w:rsidR="00C374C4" w:rsidRPr="00EB5D21">
        <w:lastRenderedPageBreak/>
        <w:t xml:space="preserve">αποδυνάμωσης των εθνικών προτύπων προστασίας· </w:t>
      </w:r>
    </w:p>
    <w:p w14:paraId="3CC6E640" w14:textId="31AAE0BD" w:rsidR="00C374C4" w:rsidRPr="00EB5D21" w:rsidRDefault="00EA7A32" w:rsidP="00EA7A32">
      <w:pPr>
        <w:pStyle w:val="NormalHanging12a"/>
        <w:ind w:hanging="570"/>
      </w:pPr>
      <w:r w:rsidRPr="00EB5D21">
        <w:t>39.</w:t>
      </w:r>
      <w:r w:rsidRPr="00EB5D21">
        <w:tab/>
      </w:r>
      <w:r w:rsidR="00C374C4" w:rsidRPr="00EB5D21">
        <w:t xml:space="preserve">καλεί την Επιτροπή να διασφαλίσει ολοκληρωμένη επανεξέταση και, όπου απαιτείται, αναθεώρηση του 28ου καθεστώτος ανά τακτά χρονικά διαστήματα, συμπεριλαμβανομένης αξιολόγησης των ποσοστών υιοθέτησής του από τις εταιρείες, ιδίως τις ΜΜΕ, τις νεοφυείς και τις αναπτυσσόμενες νέες επιχειρήσεις, της ευθυγράμμισής του με τις εξελισσόμενες επιχειρηματικές και κοινωνικές ανάγκες, της συνολικής </w:t>
      </w:r>
      <w:proofErr w:type="spellStart"/>
      <w:r w:rsidR="00C374C4" w:rsidRPr="00EB5D21">
        <w:t>καταλληλότητάς</w:t>
      </w:r>
      <w:proofErr w:type="spellEnd"/>
      <w:r w:rsidR="00C374C4" w:rsidRPr="00EB5D21">
        <w:t xml:space="preserve"> του για τον επιδιωκόμενο σκοπό και των επιπτώσεών του στην ανταγωνιστικότητα της Ένωσης· καλεί την Επιτροπή να αξιολογήσει και να υποβάλει έκθεση στο Ευρωπαϊκό Κοινοβούλιο, στο Συμβούλιο και στην Ευρωπαϊκή Οικονομική και Κοινωνική Επιτροπή σχετικά με τις δυνητικές επιπτώσεις της νέας νομοθετικής πράξης στην ανάπτυξη και στην οικονομική μεγέθυνση των ΜΜΕ· θεωρεί ότι ο κύκλος επανεξέτασης θα πρέπει να διεξάγεται κάθε 4 έτη, ώστε να διασφαλίζεται η προσαρμοστικότητα στις νέες προκλήσεις·</w:t>
      </w:r>
    </w:p>
    <w:p w14:paraId="357BFE7E" w14:textId="77777777" w:rsidR="00C374C4" w:rsidRPr="00EB5D21" w:rsidRDefault="00C374C4" w:rsidP="00C374C4">
      <w:pPr>
        <w:pStyle w:val="NormalHanging12a"/>
        <w:rPr>
          <w:b/>
          <w:i/>
        </w:rPr>
      </w:pPr>
      <w:r w:rsidRPr="00EB5D21">
        <w:rPr>
          <w:b/>
          <w:i/>
        </w:rPr>
        <w:t>Τελικές διατάξεις</w:t>
      </w:r>
    </w:p>
    <w:p w14:paraId="70DEE80F" w14:textId="4CA6AF96" w:rsidR="00C374C4" w:rsidRPr="00EB5D21" w:rsidRDefault="00EA7A32" w:rsidP="00EA7A32">
      <w:pPr>
        <w:pStyle w:val="NormalHanging12a"/>
        <w:ind w:hanging="570"/>
      </w:pPr>
      <w:r w:rsidRPr="00EB5D21">
        <w:t>40.</w:t>
      </w:r>
      <w:r w:rsidRPr="00EB5D21">
        <w:tab/>
      </w:r>
      <w:r w:rsidR="00C374C4" w:rsidRPr="00EB5D21">
        <w:t>ζητεί να υποβάλει η Επιτροπή, μέχρι το πρώτο τρίμηνο του 2026, βάσει του άρθρου 50 και του άρθρου 114 ΣΛΕΕ, πρόταση για έκδοση οδηγίας, ακολουθώντας τις συστάσεις που παρατίθενται στο παράρτημα·</w:t>
      </w:r>
    </w:p>
    <w:p w14:paraId="327981CF" w14:textId="720F3665" w:rsidR="00C374C4" w:rsidRPr="00EB5D21" w:rsidRDefault="00EA7A32" w:rsidP="00EA7A32">
      <w:pPr>
        <w:pStyle w:val="NormalHanging12a"/>
        <w:ind w:hanging="570"/>
      </w:pPr>
      <w:r w:rsidRPr="00EB5D21">
        <w:t>41.</w:t>
      </w:r>
      <w:r w:rsidRPr="00EB5D21">
        <w:tab/>
      </w:r>
      <w:r w:rsidR="00C374C4" w:rsidRPr="00EB5D21">
        <w:t>θεωρεί ότι οι δημοσιονομικές επιπτώσεις της ζητούμενης πρότασης θα πρέπει να καλυφθούν με ευμεγέθη κονδύλια του προϋπολογισμού·</w:t>
      </w:r>
    </w:p>
    <w:p w14:paraId="7A75AD80" w14:textId="43DC35F8" w:rsidR="00C374C4" w:rsidRPr="00EB5D21" w:rsidRDefault="00EA7A32" w:rsidP="00EA7A32">
      <w:pPr>
        <w:pStyle w:val="NormalHanging12a"/>
        <w:ind w:hanging="570"/>
      </w:pPr>
      <w:r w:rsidRPr="00EB5D21">
        <w:t>42.</w:t>
      </w:r>
      <w:r w:rsidRPr="00EB5D21">
        <w:tab/>
      </w:r>
      <w:r w:rsidR="00C374C4" w:rsidRPr="00EB5D21">
        <w:t>αναθέτει στην Πρόεδρό του να διαβιβάσει το παρόν ψήφισμα καθώς και τις συνημμένες συστάσεις στην Επιτροπή και στο Συμβούλιο.</w:t>
      </w:r>
    </w:p>
    <w:p w14:paraId="0F8DF666" w14:textId="77777777" w:rsidR="00C374C4" w:rsidRPr="00EB5D21" w:rsidRDefault="00C374C4" w:rsidP="00C374C4"/>
    <w:p w14:paraId="543253F0" w14:textId="77777777" w:rsidR="00C374C4" w:rsidRPr="00EB5D21" w:rsidRDefault="00C374C4" w:rsidP="00C374C4">
      <w:pPr>
        <w:widowControl/>
        <w:sectPr w:rsidR="00C374C4" w:rsidRPr="00EB5D21" w:rsidSect="00EB5D21">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010804F0" w14:textId="4B23987E" w:rsidR="00CA71EB" w:rsidRPr="00CA71EB" w:rsidRDefault="00C374C4" w:rsidP="00CA71EB">
      <w:pPr>
        <w:pStyle w:val="PageHeading"/>
        <w:rPr>
          <w:rFonts w:ascii="Times New Roman" w:hAnsi="Times New Roman" w:cs="Times New Roman"/>
        </w:rPr>
      </w:pPr>
      <w:bookmarkStart w:id="8" w:name="_Toc219301188"/>
      <w:r w:rsidRPr="00CA71EB">
        <w:rPr>
          <w:rFonts w:ascii="Times New Roman" w:hAnsi="Times New Roman" w:cs="Times New Roman"/>
        </w:rPr>
        <w:lastRenderedPageBreak/>
        <w:t xml:space="preserve">ΠΑΡΑΡΤΗΜΑ </w:t>
      </w:r>
      <w:r w:rsidR="00311EFE" w:rsidRPr="00CA71EB">
        <w:rPr>
          <w:rFonts w:ascii="Times New Roman" w:hAnsi="Times New Roman" w:cs="Times New Roman"/>
        </w:rPr>
        <w:t xml:space="preserve">ΣΤΟ </w:t>
      </w:r>
      <w:r w:rsidRPr="00CA71EB">
        <w:rPr>
          <w:rFonts w:ascii="Times New Roman" w:hAnsi="Times New Roman" w:cs="Times New Roman"/>
        </w:rPr>
        <w:t>ΨΗΦΙΣΜΑ</w:t>
      </w:r>
    </w:p>
    <w:p w14:paraId="29CAF076" w14:textId="14F807C2" w:rsidR="00C374C4" w:rsidRPr="00CA71EB" w:rsidRDefault="00C374C4" w:rsidP="00CA71EB">
      <w:pPr>
        <w:pStyle w:val="PageHeading"/>
        <w:rPr>
          <w:rFonts w:ascii="Times New Roman" w:hAnsi="Times New Roman" w:cs="Times New Roman"/>
        </w:rPr>
      </w:pPr>
      <w:r w:rsidRPr="00CA71EB">
        <w:rPr>
          <w:rFonts w:ascii="Times New Roman" w:hAnsi="Times New Roman" w:cs="Times New Roman"/>
        </w:rPr>
        <w:t>ΣΥΣΤΑΣΕΙΣ ΟΣΟΝ ΑΦΟΡΑ ΤΟ ΠΕΡΙΕΧΟΜΕΝΟ ΤΗΣ ΖΗΤΟΥΜΕΝΗΣ ΠΡΟΤΑΣΗΣ</w:t>
      </w:r>
      <w:bookmarkEnd w:id="8"/>
    </w:p>
    <w:p w14:paraId="2DBFAE6A" w14:textId="77777777" w:rsidR="00C374C4" w:rsidRPr="00EB5D21" w:rsidRDefault="00C374C4" w:rsidP="00C374C4">
      <w:pPr>
        <w:pStyle w:val="NormalHanging12a"/>
        <w:rPr>
          <w:b/>
          <w:bCs/>
        </w:rPr>
      </w:pPr>
      <w:r w:rsidRPr="00EB5D21">
        <w:rPr>
          <w:b/>
        </w:rPr>
        <w:t>1.</w:t>
      </w:r>
      <w:r w:rsidRPr="00EB5D21">
        <w:rPr>
          <w:b/>
        </w:rPr>
        <w:tab/>
        <w:t>Γενικές αρχές και νομική βάση</w:t>
      </w:r>
    </w:p>
    <w:p w14:paraId="2D92E742" w14:textId="2ED10AD2" w:rsidR="00C374C4" w:rsidRPr="00EB5D21" w:rsidRDefault="00C374C4" w:rsidP="006E7F37">
      <w:pPr>
        <w:pStyle w:val="NormalHanging12a"/>
        <w:ind w:left="0" w:firstLine="0"/>
      </w:pPr>
      <w:r w:rsidRPr="00EB5D21">
        <w:t>Το Κοινοβούλιο προτείνει να χαρακτηριστεί η εταιρική μορφή που καλύπτεται από το 28ο καθεστώς «</w:t>
      </w:r>
      <w:proofErr w:type="spellStart"/>
      <w:r w:rsidRPr="00EB5D21">
        <w:t>Societas</w:t>
      </w:r>
      <w:proofErr w:type="spellEnd"/>
      <w:r w:rsidRPr="00EB5D21">
        <w:t xml:space="preserve"> </w:t>
      </w:r>
      <w:proofErr w:type="spellStart"/>
      <w:r w:rsidRPr="00EB5D21">
        <w:t>Europaea</w:t>
      </w:r>
      <w:proofErr w:type="spellEnd"/>
      <w:r w:rsidRPr="00EB5D21">
        <w:t xml:space="preserve"> </w:t>
      </w:r>
      <w:proofErr w:type="spellStart"/>
      <w:r w:rsidRPr="00EB5D21">
        <w:t>Unificata</w:t>
      </w:r>
      <w:proofErr w:type="spellEnd"/>
      <w:r w:rsidRPr="00EB5D21">
        <w:t>» (S.EU) (Ενιαία Ευρωπαϊκή Εταιρεία) . Οι κανόνες για τη S.EU πρέπει να είναι οι ίδιοι σε όλα τα κράτη μέλη και, προκειμένου να αντιμετωπιστεί ο κατακερματισμός της εσωτερικής αγοράς, τα κράτη μέλη δεν μπορούν να διατηρούν ή να θεσπίζουν στο εθνικό τους δίκαιο διατάξεις που παρεκκλίνουν από τους εν λόγω κανόνες. Με την προοπτική να εξασφαλιστεί ένα ισχυρό, φιλόδοξο και ολοκληρωμένο κανονιστικό πλαίσιο, το Κοινοβούλιο επιμένει στην έγκριση της S.EU με νομική βάση που προβλέπει τη συνήθη νομοθετική διαδικασία με ειδική πλειοψηφία στο Συμβούλιο. Ως εκ τούτου, το Κοινοβούλιο αντιτίθεται στη χρήση του άρθρου 352 παράγραφος 1 ΣΛΕΕ ως νομικής βάσης. Το Κοινοβούλιο είναι επιφυλακτικό ως προς τη χρήση της ενισχυμένης συνεργασίας, διότι υπάρχει το ενδεχόμενο το 28ο καθεστώς να εφαρμοστεί σε μερίδα, μόνο, των κρατών μελών, κάτι το οποίο θα προκαλούσε περαιτέρω κατακερματισμό της εσωτερικής αγοράς, αντί να τον υπερκεράσει, και θα υπονόμευε την ελκυστικότητα των S.EU, οι οποίες, σε μια τέτοια περίπτωση, δεν θα αναγνωρίζονταν σε ολόκληρη την Ένωση. Το 28ο καθεστώς για τη θέσπιση S.EU θα πρέπει, ενδεχομένως, να εγκριθεί με περισσότερες από μία νομ</w:t>
      </w:r>
      <w:r w:rsidR="006E7F37">
        <w:t>οθετ</w:t>
      </w:r>
      <w:r w:rsidRPr="00EB5D21">
        <w:t>ικές πράξεις και όχι με μία και μοναδική περιεκτική νομ</w:t>
      </w:r>
      <w:r w:rsidR="006E7F37">
        <w:t>οθετ</w:t>
      </w:r>
      <w:r w:rsidRPr="00EB5D21">
        <w:t>ική πράξη. Στην περίπτωση αυτή, κάθε επιμέρους νομοθετική πρόταση θα πρέπει να παρέχει τις ίδιες εγγυήσεις όσον αφορά την προστασία των δημόσιων συμφερόντων, όπως του εργατικού δικαίου και των δικαιωμάτων των εργαζομένων και των συνδικαλιστικών οργανώσεων. Οι συνιστώσες εταιρικού δικαίου του καθεστώτος θα πρέπει να εγκριθούν βάσει του άρθρου 50 και του άρθρου 114 παράγραφος 1 ΣΛΕΕ, τα οποία είναι οι μοναδικές διαθέσιμες νομικές βάσεις για νομικές πράξεις στον τομέα του εταιρικού δικαίου που προβλέπουν τη συνήθη νομοθετική διαδικασία με ειδική πλειοψηφία στο Συμβούλιο. Ωστόσο, το άρθρο 50 ΣΛΕΕ προβλέπει μόνο την έκδοση οδηγιών. Στο πλαίσιο αυτό, η S.EU δεν θα είναι αυτόνομη εταιρική μορφή, αλλά εθνική εταιρική μορφή σε όλα τα κράτη μέλη, η οποία πρέπει να αποτελείται από ένα σύνολο ουσιωδών στοιχείων τα οποία εναρμονίζει το δίκαιο της Ένωσης, προκειμένου να αποφευχθούν ο κανονιστικός υπερθεματισμός και οι αποκλίνουσες εθνικές S.EU, κάτι το οποίο θα ήταν αντίθετο προς τον σκοπό του 28ου καθεστώτος. Η συντομογραφία S.EU θα πρέπει να προστεθεί στις υφιστάμενες συντομογραφίες της εθνικής εταιρικής μορφής.</w:t>
      </w:r>
    </w:p>
    <w:p w14:paraId="77BEA524" w14:textId="77777777" w:rsidR="00C374C4" w:rsidRPr="00EB5D21" w:rsidRDefault="00C374C4" w:rsidP="006E7F37">
      <w:pPr>
        <w:pStyle w:val="NormalHanging12a"/>
        <w:ind w:left="0" w:firstLine="0"/>
      </w:pPr>
      <w:r w:rsidRPr="00EB5D21">
        <w:t>Η S.EU θα πρέπει να βασίζεται σε εταιρικές μορφές που θεσπίζονται βάσει του εθνικού δικαίου. Τα κράτη μέλη θα πρέπει να είναι ελεύθερα να επιλέξουν αν θα επιτρέψουν στις υφιστάμενες εθνικές εταιρικές μορφές να μετατραπούν σε S.EU ή αν θα δημιουργήσουν μια νέα εθνική εταιρική μορφή. Οι ιδρυτές ή οι ιδιοκτήτες εθνικής εταιρικής μορφής θα πρέπει να μπορούν να επιλέξουν οικειοθελώς να συμμετάσχουν στο νέο καθεστώς, το οποίο θα επιτρέπει τη χρήση του εταιρικού σήματος «S.EU».</w:t>
      </w:r>
    </w:p>
    <w:p w14:paraId="67D251EF" w14:textId="77777777" w:rsidR="00C374C4" w:rsidRPr="00EB5D21" w:rsidRDefault="00C374C4" w:rsidP="006E7F37">
      <w:pPr>
        <w:pStyle w:val="NormalHanging12a"/>
        <w:ind w:left="0" w:firstLine="0"/>
      </w:pPr>
      <w:r w:rsidRPr="00EB5D21">
        <w:t xml:space="preserve">Μια S.EU θα πρέπει να αναγνωρίζεται αυτομάτως στις εθνικές έννομες τάξεις όλων των κρατών μελών ως εταιρεία περιορισμένης ευθύνης. </w:t>
      </w:r>
    </w:p>
    <w:p w14:paraId="0A9E2168" w14:textId="77777777" w:rsidR="00C374C4" w:rsidRPr="00EB5D21" w:rsidRDefault="00C374C4" w:rsidP="006E7F37">
      <w:pPr>
        <w:pStyle w:val="NormalHanging12a"/>
        <w:ind w:left="0" w:firstLine="0"/>
      </w:pPr>
      <w:r w:rsidRPr="00EB5D21">
        <w:t xml:space="preserve">Το εφαρμοστέο δίκαιο για τη δημιουργία μιας S.EU θα πρέπει να είναι το δίκαιο του κράτους </w:t>
      </w:r>
      <w:r w:rsidRPr="00EB5D21">
        <w:lastRenderedPageBreak/>
        <w:t>μέλους στο οποίο είναι καταχωρισμένη η εν λόγω εταιρεία. Κατά παρέκκλιση από την εν λόγω αρχή και με σκοπό την προστασία προκαθορισμένων δημόσιων συμφερόντων, θα πρέπει να είναι δυνατός ο προσδιορισμός του εφαρμοστέου δικαίου μέσω υπερισχύοντος συνδετικού στοιχείου αντί για τον τόπο σύστασης.</w:t>
      </w:r>
    </w:p>
    <w:p w14:paraId="6F74559D" w14:textId="77777777" w:rsidR="00C374C4" w:rsidRPr="00EB5D21" w:rsidRDefault="00C374C4" w:rsidP="006E7F37">
      <w:pPr>
        <w:pStyle w:val="NormalHanging12a"/>
        <w:ind w:left="0" w:firstLine="0"/>
      </w:pPr>
      <w:r w:rsidRPr="00EB5D21">
        <w:t>Προκειμένου να επιτευχθεί ασφάλεια δικαίου όσον αφορά τα συστατικά στοιχεία της S.EU, η οδηγία που εκδίδεται δυνάμει του άρθρου 50 και του άρθρου 114 παράγραφος 1 ΣΛΕΕ πρέπει να αποτελεί οδηγία με στόχο τη μέγιστη εναρμόνιση.</w:t>
      </w:r>
    </w:p>
    <w:p w14:paraId="5D056923" w14:textId="77777777" w:rsidR="00C374C4" w:rsidRPr="00EB5D21" w:rsidRDefault="00C374C4" w:rsidP="006E7F37">
      <w:pPr>
        <w:pStyle w:val="NormalHanging12a"/>
        <w:ind w:left="0" w:firstLine="0"/>
      </w:pPr>
      <w:r w:rsidRPr="00EB5D21">
        <w:t>Το Κοινοβούλιο έχει επίγνωση του κινδύνου ότι αυτόματη αναγνώριση των S.EU θα μπορούσε να οδηγήσει στην καταστρατήγηση υποχρεωτικών εγχώριων κανόνων που προστατεύουν τους εργαζομένους, τους εκπροσώπους και τις συνδικαλιστικές οργανώσεις τους και άλλα ευάλωτα μέρη, καθώς και άλλα δημόσια συμφέροντα. Ως εκ τούτου, οι εταιρικοί κανόνες για τη S.EU δεν θα πρέπει να θίγουν το ενωσιακό και το εθνικό δίκαιο στον τομέα του ατομικού και του συλλογικού εργατικού δικαίου, συμπεριλαμβανομένων των κανόνων για τη συμμετοχή των εργαζομένων στις υποθέσεις της εταιρείας, και θα πρέπει να περιλαμβάνουν διασφαλίσεις που θα αποτρέπουν αποτελεσματικά την καταχρηστική χρήση της S.EU.</w:t>
      </w:r>
    </w:p>
    <w:p w14:paraId="7EDB4453" w14:textId="77777777" w:rsidR="00C374C4" w:rsidRPr="00EB5D21" w:rsidRDefault="00C374C4" w:rsidP="006E7F37">
      <w:pPr>
        <w:pStyle w:val="NormalHanging12a"/>
        <w:rPr>
          <w:b/>
        </w:rPr>
      </w:pPr>
      <w:r w:rsidRPr="00EB5D21">
        <w:rPr>
          <w:b/>
        </w:rPr>
        <w:t>2.</w:t>
      </w:r>
      <w:r w:rsidRPr="00EB5D21">
        <w:rPr>
          <w:b/>
        </w:rPr>
        <w:tab/>
        <w:t>Πεδίο εφαρμογής</w:t>
      </w:r>
    </w:p>
    <w:p w14:paraId="3CD9191E" w14:textId="4E51ECDB" w:rsidR="00C374C4" w:rsidRPr="00EB5D21" w:rsidRDefault="00C374C4" w:rsidP="006E7F37">
      <w:pPr>
        <w:pStyle w:val="NormalHanging12a"/>
        <w:ind w:left="0" w:firstLine="0"/>
        <w:rPr>
          <w:b/>
          <w:bCs/>
        </w:rPr>
      </w:pPr>
      <w:r w:rsidRPr="00EB5D21">
        <w:t>Τα κράτη μέλη θα πρέπει να προβλέπουν στην εθνική έννομη τάξη τους ένα σύνολο κανόνων οι οποίοι, εφόσον τηρούνται, επιτρέπουν σε μια εθνική εταιρική μορφή να περιλαμβάνει την συντομογραφία S.EU στην εταιρική επωνυμία της. Για να είναι επιλέξιμη για καταχώριση ως S.EU, η εθνική εταιρική μορφή θα πρέπει να συμμορφώνεται με τα ακόλουθα:</w:t>
      </w:r>
    </w:p>
    <w:p w14:paraId="6FA55C34" w14:textId="77777777" w:rsidR="00C374C4" w:rsidRPr="00EB5D21" w:rsidRDefault="00C374C4" w:rsidP="00CA71EB">
      <w:pPr>
        <w:pStyle w:val="NormalHanging12a"/>
        <w:tabs>
          <w:tab w:val="left" w:pos="851"/>
        </w:tabs>
        <w:ind w:left="851" w:hanging="851"/>
      </w:pPr>
      <w:r w:rsidRPr="00EB5D21">
        <w:rPr>
          <w:rFonts w:ascii="Museo Sans Cond 100" w:hAnsi="Museo Sans Cond 100"/>
        </w:rPr>
        <w:t>–</w:t>
      </w:r>
      <w:r w:rsidRPr="00EB5D21">
        <w:rPr>
          <w:rFonts w:ascii="Museo Sans Cond 100" w:hAnsi="Museo Sans Cond 100"/>
        </w:rPr>
        <w:tab/>
      </w:r>
      <w:r w:rsidRPr="00EB5D21">
        <w:t>πρέπει να είναι νομικό πρόσωπο με δικαιοπρακτική ικανότητα που αναγνωρίζεται αυτομάτως σε όλα τα κράτη μέλη κατά την ημερομηνία καταχώρισής της·</w:t>
      </w:r>
    </w:p>
    <w:p w14:paraId="35CF1B98" w14:textId="77777777" w:rsidR="00C374C4" w:rsidRPr="00EB5D21" w:rsidRDefault="00C374C4" w:rsidP="00CA71EB">
      <w:pPr>
        <w:pStyle w:val="NormalHanging12a"/>
        <w:tabs>
          <w:tab w:val="left" w:pos="851"/>
        </w:tabs>
        <w:ind w:left="851" w:hanging="851"/>
      </w:pPr>
      <w:r w:rsidRPr="00EB5D21">
        <w:rPr>
          <w:rFonts w:ascii="Museo Sans Cond 100" w:hAnsi="Museo Sans Cond 100"/>
        </w:rPr>
        <w:t>–</w:t>
      </w:r>
      <w:r w:rsidRPr="00EB5D21">
        <w:rPr>
          <w:rFonts w:ascii="Museo Sans Cond 100" w:hAnsi="Museo Sans Cond 100"/>
        </w:rPr>
        <w:tab/>
      </w:r>
      <w:r w:rsidRPr="00EB5D21">
        <w:t xml:space="preserve">πρέπει να είναι εταιρεία περιορισμένης ευθύνης στην οποία η ευθύνη των ιδιοκτητών για τα χρέη της εταιρείας περιορίζεται στο ποσό των εισφορών τους· </w:t>
      </w:r>
    </w:p>
    <w:p w14:paraId="656274DA" w14:textId="37F86AFF" w:rsidR="00C374C4" w:rsidRPr="00EB5D21" w:rsidRDefault="00C374C4" w:rsidP="00CA71EB">
      <w:pPr>
        <w:pStyle w:val="NormalHanging12a"/>
        <w:tabs>
          <w:tab w:val="left" w:pos="851"/>
        </w:tabs>
        <w:ind w:left="851" w:hanging="851"/>
      </w:pPr>
      <w:r w:rsidRPr="00EB5D21">
        <w:rPr>
          <w:rFonts w:ascii="Museo Sans Cond 100" w:hAnsi="Museo Sans Cond 100"/>
        </w:rPr>
        <w:t>–</w:t>
      </w:r>
      <w:r w:rsidRPr="00EB5D21">
        <w:rPr>
          <w:rFonts w:ascii="Museo Sans Cond 100" w:hAnsi="Museo Sans Cond 100"/>
        </w:rPr>
        <w:tab/>
        <w:t>δεν πρέπει να είναι</w:t>
      </w:r>
      <w:r w:rsidRPr="00EB5D21">
        <w:t xml:space="preserve"> εισηγμένη εταιρεία·</w:t>
      </w:r>
    </w:p>
    <w:p w14:paraId="0D29B8D9" w14:textId="502D7F85" w:rsidR="00C374C4" w:rsidRPr="00EB5D21" w:rsidRDefault="00C374C4" w:rsidP="00CA71EB">
      <w:pPr>
        <w:pStyle w:val="NormalHanging12a"/>
        <w:tabs>
          <w:tab w:val="left" w:pos="851"/>
        </w:tabs>
        <w:ind w:left="851" w:hanging="851"/>
      </w:pPr>
      <w:r w:rsidRPr="00EB5D21">
        <w:rPr>
          <w:rFonts w:ascii="Museo Sans Cond 100" w:hAnsi="Museo Sans Cond 100"/>
        </w:rPr>
        <w:t>–</w:t>
      </w:r>
      <w:r w:rsidRPr="00EB5D21">
        <w:rPr>
          <w:rFonts w:ascii="Museo Sans Cond 100" w:hAnsi="Museo Sans Cond 100"/>
        </w:rPr>
        <w:tab/>
        <w:t>πρέπει να έχει συσταθεί από</w:t>
      </w:r>
      <w:r w:rsidRPr="00EB5D21">
        <w:t xml:space="preserve"> ένα ή περισσότερα φυσικά ή νομικά πρόσωπα που κατοικούν ή είναι εγκατεστημένα σε κράτος μέλος·</w:t>
      </w:r>
    </w:p>
    <w:p w14:paraId="14A514A8" w14:textId="77777777" w:rsidR="00C374C4" w:rsidRPr="00EB5D21" w:rsidRDefault="00C374C4" w:rsidP="00CA71EB">
      <w:pPr>
        <w:pStyle w:val="NormalHanging12a"/>
        <w:tabs>
          <w:tab w:val="left" w:pos="851"/>
        </w:tabs>
        <w:ind w:left="851" w:hanging="851"/>
      </w:pPr>
      <w:r w:rsidRPr="00EB5D21">
        <w:rPr>
          <w:rFonts w:ascii="Museo Sans Cond 100" w:hAnsi="Museo Sans Cond 100"/>
        </w:rPr>
        <w:t>–</w:t>
      </w:r>
      <w:r w:rsidRPr="00EB5D21">
        <w:rPr>
          <w:rFonts w:ascii="Museo Sans Cond 100" w:hAnsi="Museo Sans Cond 100"/>
        </w:rPr>
        <w:tab/>
        <w:t>πρέπει να μπορεί</w:t>
      </w:r>
      <w:r w:rsidRPr="00EB5D21">
        <w:t xml:space="preserve"> να λειτουργεί ως αυτόνομη και ενιαία εταιρία ή ως θυγατρική μιας μητρικής εταιρίας S.EU·</w:t>
      </w:r>
    </w:p>
    <w:p w14:paraId="1C1630DF" w14:textId="77777777" w:rsidR="00C374C4" w:rsidRPr="00EB5D21" w:rsidRDefault="00C374C4" w:rsidP="00CA71EB">
      <w:pPr>
        <w:pStyle w:val="NormalHanging12a"/>
        <w:tabs>
          <w:tab w:val="left" w:pos="851"/>
        </w:tabs>
        <w:ind w:left="851" w:hanging="851"/>
      </w:pPr>
      <w:r w:rsidRPr="00EB5D21">
        <w:rPr>
          <w:rFonts w:ascii="Museo Sans Cond 100" w:hAnsi="Museo Sans Cond 100"/>
        </w:rPr>
        <w:t>–</w:t>
      </w:r>
      <w:r w:rsidRPr="00EB5D21">
        <w:rPr>
          <w:rFonts w:ascii="Museo Sans Cond 100" w:hAnsi="Museo Sans Cond 100"/>
        </w:rPr>
        <w:tab/>
      </w:r>
      <w:r w:rsidRPr="00EB5D21">
        <w:t>η καταστατική της έδρα πρέπει να βρίσκεται σε ένα από τα κράτη μέλη·</w:t>
      </w:r>
    </w:p>
    <w:p w14:paraId="1A5DAB90" w14:textId="77777777" w:rsidR="00C374C4" w:rsidRPr="00EB5D21" w:rsidRDefault="00C374C4" w:rsidP="00CA71EB">
      <w:pPr>
        <w:pStyle w:val="NormalHanging12a"/>
        <w:tabs>
          <w:tab w:val="left" w:pos="851"/>
        </w:tabs>
        <w:ind w:left="851" w:hanging="851"/>
        <w:rPr>
          <w:rFonts w:ascii="Museo Sans Cond 100" w:hAnsi="Museo Sans Cond 100"/>
        </w:rPr>
      </w:pPr>
      <w:r w:rsidRPr="00EB5D21">
        <w:rPr>
          <w:rFonts w:ascii="Museo Sans Cond 100" w:hAnsi="Museo Sans Cond 100"/>
        </w:rPr>
        <w:t>–</w:t>
      </w:r>
      <w:r w:rsidRPr="00EB5D21">
        <w:rPr>
          <w:rFonts w:ascii="Museo Sans Cond 100" w:hAnsi="Museo Sans Cond 100"/>
        </w:rPr>
        <w:tab/>
        <w:t>πρέπει να έχει το δικαίωμα να μεταφέρει την καταστατική της έδρα σε άλλο κράτος μέλος χωρίς να απαιτείται λύση ή ανασύσταση, σύμφωνα με εναρμονισμένες διαδικασίες που διασφαλίζουν τη συνέχεια της νομικής προσωπικότητας·</w:t>
      </w:r>
    </w:p>
    <w:p w14:paraId="168B70E8" w14:textId="77777777" w:rsidR="00C374C4" w:rsidRPr="00EB5D21" w:rsidRDefault="00C374C4" w:rsidP="006E7F37">
      <w:pPr>
        <w:pStyle w:val="NormalHanging12a"/>
        <w:ind w:left="0" w:firstLine="0"/>
      </w:pPr>
      <w:r w:rsidRPr="00EB5D21">
        <w:t>Για τη σύσταση εταιρείας επιλέξιμης να καταχωριστεί ως S.EU, η απαίτηση για το ελάχιστο αμέσως καταβεβλημένο κεφάλαιο πρέπει, για τους σκοπούς της καταχώρισης της εν λόγω εταιρείας, να οριστεί σε 1 EUR, ανεξάρτητα από το ελάχιστο κεφάλαιο που προβλέπει άλλως η σχετική εθνική νομοθεσία.</w:t>
      </w:r>
    </w:p>
    <w:p w14:paraId="7E773398" w14:textId="77777777" w:rsidR="00C374C4" w:rsidRPr="00EB5D21" w:rsidRDefault="00C374C4" w:rsidP="006E7F37">
      <w:pPr>
        <w:pStyle w:val="NormalHanging12a"/>
        <w:ind w:left="0" w:firstLine="0"/>
      </w:pPr>
      <w:r w:rsidRPr="00EB5D21">
        <w:t xml:space="preserve">Προκειμένου να διασφαλιστεί η προστασία των πιστωτών, η Επιτροπή θα πρέπει να προτείνει </w:t>
      </w:r>
      <w:r w:rsidRPr="00EB5D21">
        <w:lastRenderedPageBreak/>
        <w:t>ένα ολοκληρωμένο νομικό πλαίσιο που θα ενσωματώνει εναλλακτικούς μηχανισμούς, όπως τα τεστ φερεγγυότητας. Οι εν λόγω εναλλακτικοί μηχανισμοί θα πρέπει να είναι αναλογικοί και διαφανείς, με σαφή κριτήρια για την αξιολόγηση της οικονομικής ευρωστίας των εταιρειών και τον μετριασμό των κινδύνων για τους πιστωτές.</w:t>
      </w:r>
    </w:p>
    <w:p w14:paraId="3E033AB7" w14:textId="77777777" w:rsidR="00C374C4" w:rsidRPr="00EB5D21" w:rsidRDefault="00C374C4" w:rsidP="00EA7A32">
      <w:pPr>
        <w:pStyle w:val="paragraph"/>
        <w:spacing w:before="0" w:beforeAutospacing="0" w:after="240" w:afterAutospacing="0"/>
        <w:textAlignment w:val="baseline"/>
      </w:pPr>
      <w:r w:rsidRPr="00EB5D21">
        <w:rPr>
          <w:rStyle w:val="normaltextrun"/>
        </w:rPr>
        <w:t>Για λόγους απλούστευσης,</w:t>
      </w:r>
      <w:r w:rsidRPr="00EB5D21">
        <w:t xml:space="preserve"> η δυνατότητα καταχώρισης ως S.EU δεν θα πρέπει να περιορίζεται σε μια νέα κατηγορία «καινοτόμων εταιρειών» ή να υπόκειται σε άλλους περιοριστικούς παράγοντες, καθώς τούτο θα συνεπαγόταν πρόσθετη γραφειοκρατία και περιττό γραφειοκρατικό φόρτο. </w:t>
      </w:r>
    </w:p>
    <w:p w14:paraId="4B90126D" w14:textId="77777777" w:rsidR="00C374C4" w:rsidRPr="00EB5D21" w:rsidRDefault="00C374C4" w:rsidP="006E7F37">
      <w:pPr>
        <w:pStyle w:val="NormalHanging12a"/>
        <w:ind w:left="0" w:firstLine="0"/>
      </w:pPr>
      <w:r w:rsidRPr="00EB5D21">
        <w:t>Εάν μια S.EU προτίθεται να εισαχθεί στο χρηματιστήριο, θα πρέπει να υποχρεούται να μετατραπεί σε ανώνυμη εταιρεία βάσει του ενωσιακού ή του εθνικού δικαίου σύμφωνα με τους ενωσιακούς και τους εθνικούς κανόνες μετατροπής.</w:t>
      </w:r>
    </w:p>
    <w:p w14:paraId="69D786D2" w14:textId="77777777" w:rsidR="00C374C4" w:rsidRPr="00EB5D21" w:rsidRDefault="00C374C4" w:rsidP="00EA7A32">
      <w:pPr>
        <w:pStyle w:val="paragraph"/>
        <w:spacing w:before="0" w:beforeAutospacing="0" w:after="240" w:afterAutospacing="0"/>
        <w:textAlignment w:val="baseline"/>
        <w:rPr>
          <w:b/>
          <w:bCs/>
        </w:rPr>
      </w:pPr>
      <w:r w:rsidRPr="00EB5D21">
        <w:rPr>
          <w:b/>
        </w:rPr>
        <w:t>3.</w:t>
      </w:r>
      <w:r w:rsidRPr="00EB5D21">
        <w:rPr>
          <w:b/>
        </w:rPr>
        <w:tab/>
        <w:t>Δημιουργία της εταιρικής μορφής</w:t>
      </w:r>
    </w:p>
    <w:p w14:paraId="0C5C2299" w14:textId="77777777" w:rsidR="00C374C4" w:rsidRPr="00EB5D21" w:rsidRDefault="00C374C4" w:rsidP="006E7F37">
      <w:pPr>
        <w:pStyle w:val="NormalHanging12a"/>
        <w:ind w:left="0" w:firstLine="0"/>
      </w:pPr>
      <w:r w:rsidRPr="00EB5D21">
        <w:t>Η δημιουργία και η καταχώριση μιας S.EU θα πρέπει να είναι πλήρως ψηφιακή και να συμμορφώνεται με την αρχή «μόνον άπαξ», σύμφωνα με την οποία οι εταιρείες που υποβάλλουν έγγραφο σε ένα κράτος μέλος δεν θα πρέπει να υποχρεούνται να το υποβάλουν εκ νέου σε άλλο κράτος μέλος. Η σύσταση μιας S.EU πρέπει να ολοκληρώνεται εντός 48 ωρών.</w:t>
      </w:r>
    </w:p>
    <w:p w14:paraId="45A8082C" w14:textId="77777777" w:rsidR="00C374C4" w:rsidRPr="00EB5D21" w:rsidRDefault="00C374C4" w:rsidP="006E7F37">
      <w:pPr>
        <w:pStyle w:val="NormalHanging12a"/>
        <w:ind w:left="0" w:firstLine="0"/>
      </w:pPr>
      <w:r w:rsidRPr="00EB5D21">
        <w:t>Μόλις δημιουργηθεί, μια S.EU θα πρέπει να λάβει ενοποιημένη ψηφιακή ταυτότητα και αναγνωριστικό εταιρικό κωδικό, με σκοπό τον εξορθολογισμό της καταχώρισης, την ενίσχυση της διαφάνειας και της εμπιστοσύνης, τη διευκόλυνση της επαλήθευσης της ταυτότητας των εταιρειών και την καταπολέμηση της απάτης, της νομιμοποίησης εσόδων από παράνομες δραστηριότητες και της φοροδιαφυγής, ενώ θα πρέπει παράλληλα να κατοχυρώνεται η ασφάλεια δικαίου.</w:t>
      </w:r>
    </w:p>
    <w:p w14:paraId="5A4E497D" w14:textId="77777777" w:rsidR="00C374C4" w:rsidRPr="00EB5D21" w:rsidRDefault="00C374C4" w:rsidP="006E7F37">
      <w:pPr>
        <w:pStyle w:val="NormalHanging12a"/>
        <w:ind w:left="0" w:firstLine="0"/>
      </w:pPr>
      <w:r w:rsidRPr="00EB5D21">
        <w:t xml:space="preserve">Για να διευκολυνθεί η επίτευξη των εν λόγω στόχων, η Επιτροπή θα πρέπει να δημιουργήσει ή να ενσωματώσει στις υφιστάμενες δομές και να διαχειρίζεται ενιαία ψηφιακή πύλη σε επίπεδο Ένωσης η οποία θα χρησιμεύει ως σημείο απευθείας εισόδου των S.EU. Η εν λόγω πύλη θα πρέπει να συμπληρώνει και να επεκτείνει το υφιστάμενο σύστημα διασύνδεσης των μητρώων επιχειρήσεων (BRIS) παρέχοντας εναρμονισμένη διεπαφή ενιαίας πρόσβασης για διασυνοριακή χρήση, χωρίς τη δημιουργία νέου χωριστού ή παράλληλου μητρώου. Η ψηφιακή πύλη δεν θα πρέπει να αντικαταστήσει τους υφιστάμενους εθνικούς κανόνες περί σύστασης εταιριών, αλλά θα πρέπει να χρησιμεύσει ως κοινή πύλη στην οποία θα συγκεντρώνονται όλες οι απαραίτητες πληροφορίες για τους επενδυτές· Ως εκ τούτου, τα κράτη μέλη θα πρέπει να διαβιβάζουν αυτόματα τα έγγραφα στην πύλη, διασφαλίζοντας την αναγνώριση και την απρόσκοπτη πρόσβαση των ενδιαφερόμενων μερών. Η πλατφόρμα θα πρέπει επίσης να παρέχει πληροφορίες σχετικά με τις εθνικές διαδικασίες και τους πόρους και να παρέχει πρόσβαση σε υποδείγματα εγγράφων επενδυτών για τις S.EU, να καθιστά δυνατή την επαλήθευση των διαπιστευτηρίων, την ηλεκτρονική υπογραφή των εγγράφων, την πώληση και τη διάθεση μεριδίων, τη δημιουργία και την έγκριση αποφάσεων του διοικητικού συμβουλίου και την παροχή υπηρεσιών ηλεκτρονικής τιμολόγησης. Κατά τη χρήση της ψηφιακής πύλης για την καταχώριση μιας S.EU, μια εταιρεία πρέπει να επιλέγει ένα κράτος μέλος ως τόπο σύστασης και, στο πλαίσιο αυτό, το εθνικό δίκαιο που εφαρμόζεται στη σύσταση. </w:t>
      </w:r>
    </w:p>
    <w:p w14:paraId="08662185" w14:textId="1E2FFA54" w:rsidR="00C374C4" w:rsidRPr="00EB5D21" w:rsidRDefault="00C374C4" w:rsidP="006E7F37">
      <w:pPr>
        <w:pStyle w:val="NormalHanging12a"/>
        <w:ind w:left="0" w:firstLine="0"/>
      </w:pPr>
      <w:r w:rsidRPr="00EB5D21">
        <w:t xml:space="preserve">Η ψηφιακή πύλη για τις εταιρείες σε επίπεδο Ένωσης θα πρέπει να καθιστά δυνατή την καταχώριση ως S.EU και την αναζήτηση εταιρείας καταχωρισμένης ως S.EU. Η καταχώριση, </w:t>
      </w:r>
      <w:r w:rsidRPr="00EB5D21">
        <w:lastRenderedPageBreak/>
        <w:t xml:space="preserve">η συμπλήρωση και οι επικαιροποιήσεις θα πρέπει να πραγματοποιούνται μέσω της ψηφιακής πύλης μόνο μία φορά και θα πρέπει να είναι προσβάσιμες σε όλα τα κράτη μέλη βάσει πολύγλωσσης διεπαφής και εναρμονισμένων προτύπων ταυτοποίησης δυνάμει του κανονισμού </w:t>
      </w:r>
      <w:r w:rsidR="006E7F37" w:rsidRPr="003D5100">
        <w:t>(E</w:t>
      </w:r>
      <w:r w:rsidR="006E7F37">
        <w:t>Ε</w:t>
      </w:r>
      <w:r w:rsidR="006E7F37" w:rsidRPr="003D5100">
        <w:t xml:space="preserve">) </w:t>
      </w:r>
      <w:r w:rsidR="006E7F37">
        <w:t>αριθ. </w:t>
      </w:r>
      <w:r w:rsidR="006E7F37" w:rsidRPr="003D5100">
        <w:t>910/2014</w:t>
      </w:r>
      <w:r w:rsidRPr="00EB5D21">
        <w:t xml:space="preserve">. Η ψηφιακή πύλη θα μπορούσε να κάνει χρήση ενός αδειοδοτημένου δικτύου κατανεμημένου καθολικού (DLT) που καταγράφει βασικά εταιρικά γεγονότα, όπως καταχωρίσεις ή μεταφορές μετοχών, με αμετάβλητες </w:t>
      </w:r>
      <w:proofErr w:type="spellStart"/>
      <w:r w:rsidRPr="00EB5D21">
        <w:t>χρονοσφραγίδες</w:t>
      </w:r>
      <w:proofErr w:type="spellEnd"/>
      <w:r w:rsidRPr="00EB5D21">
        <w:t>.</w:t>
      </w:r>
    </w:p>
    <w:p w14:paraId="5120AE60" w14:textId="77777777" w:rsidR="00C374C4" w:rsidRPr="00EB5D21" w:rsidRDefault="00C374C4" w:rsidP="006E7F37">
      <w:pPr>
        <w:pStyle w:val="NormalHanging12a"/>
        <w:ind w:left="0" w:firstLine="0"/>
      </w:pPr>
      <w:r w:rsidRPr="00EB5D21">
        <w:t>Τυχόν εισφορές σε μετρητά για τη σύσταση της εταιρείας θα πρέπει να είναι δυνατόν να καταβάλλονται σε δημόσιο οργανισμό καταπιστευματικής διαχείρισης για την περίοδο πριν από την ολοκλήρωση του ανοίγματος τραπεζικού λογαριασμού. Μετά το άνοιγμα του τραπεζικού λογαριασμού, ο οργανισμός καταπιστευματικής διαχείρισης θα πρέπει να μεταφέρει τις εισφορές σε μετρητά στον εν λόγω τραπεζικό λογαριασμό.</w:t>
      </w:r>
    </w:p>
    <w:p w14:paraId="27582285" w14:textId="77777777" w:rsidR="00C374C4" w:rsidRPr="00EB5D21" w:rsidRDefault="00C374C4" w:rsidP="006E7F37">
      <w:pPr>
        <w:pStyle w:val="NormalHanging12a"/>
        <w:ind w:left="0" w:firstLine="0"/>
        <w:rPr>
          <w:b/>
          <w:bCs/>
          <w:szCs w:val="22"/>
        </w:rPr>
      </w:pPr>
      <w:r w:rsidRPr="00EB5D21">
        <w:rPr>
          <w:b/>
        </w:rPr>
        <w:t>4.</w:t>
      </w:r>
      <w:r w:rsidRPr="00EB5D21">
        <w:rPr>
          <w:b/>
        </w:rPr>
        <w:tab/>
        <w:t>Διασφαλίσεις</w:t>
      </w:r>
    </w:p>
    <w:p w14:paraId="7B3117D0" w14:textId="77777777" w:rsidR="00C374C4" w:rsidRPr="00EB5D21" w:rsidRDefault="00C374C4" w:rsidP="006E7F37">
      <w:pPr>
        <w:pStyle w:val="NormalHanging12a"/>
        <w:ind w:left="0" w:firstLine="0"/>
      </w:pPr>
      <w:r w:rsidRPr="00EB5D21">
        <w:t xml:space="preserve">Οι κανόνες για τις S.EU δεν θα πρέπει να θίγουν το ενωσιακό και το εθνικό εργατικό δίκαιο, συμπεριλαμβανομένων των κανόνων για τη συμμετοχή των εργαζομένων, των εκπροσώπων των εργαζομένων ή και των δύο, στις υποθέσεις μιας εταιρείας, όπως ορίζεται στο άρθρο 2 στοιχείο </w:t>
      </w:r>
      <w:proofErr w:type="spellStart"/>
      <w:r w:rsidRPr="00EB5D21">
        <w:t>ια</w:t>
      </w:r>
      <w:proofErr w:type="spellEnd"/>
      <w:r w:rsidRPr="00EB5D21">
        <w:t>) της οδηγίας 2001/86/ΕΚ. Καταρχήν, η S.EU θα πρέπει να αντιμετωπίζεται από το κράτος μέλος καταγωγής της κατά τον ίδιο τρόπο που αντιμετωπίζεται η εγχώρια μορφή εταιρείας περιορισμένης ευθύνης στην οποία βασίζεται και από οποιοδήποτε κράτος μέλος υποδοχής κατά τον ίδιο τρόπο με συγκρίσιμες εταιρείες αλλοδαπού δικαίου της Ένωσης, ενώ θα πρέπει παράλληλα να διασφαλίζεται ότι αποτρέπεται αποτελεσματικά η τεχνητή χρήση της S.EU με σκοπό να παρακαμφθούν τα υφιστάμενα επίπεδα προστασίας της συμμετοχής των εργαζομένων που προβλέπεται στο δίκαιο των κρατών μελών.</w:t>
      </w:r>
    </w:p>
    <w:p w14:paraId="256B7C0D" w14:textId="5509BBC1" w:rsidR="00C374C4" w:rsidRPr="00EB5D21" w:rsidRDefault="00C374C4" w:rsidP="006E7F37">
      <w:pPr>
        <w:pStyle w:val="NormalHanging12a"/>
        <w:ind w:left="0" w:firstLine="0"/>
      </w:pPr>
      <w:r w:rsidRPr="00EB5D21">
        <w:t>Το εφαρμοστέο δίκαιο στις ατομικές συμβάσεις εργασίας εξακολουθεί να καθορίζεται αποκλειστικά βάσει του άρθρου 8 του κανονισμού (ΕΚ) αριθ. 593/2008 και η δικαιοδοσία για τις ατομικές συμβάσεις εργασίας εξακολουθεί να καθορίζεται βάσει του τμήματος 5 του κεφαλαίου II του κανονισμού (Ε</w:t>
      </w:r>
      <w:r w:rsidR="00BD7227">
        <w:t>Ε</w:t>
      </w:r>
      <w:r w:rsidRPr="00EB5D21">
        <w:t>) αριθ. 1215/2012, συμπεριλαμβανομένης της σχετικής νομολογίας του Δικαστηρίου της Ευρωπαϊκής Ένωσης. Ως εκ τούτου, η επιλογή των μερών δεν μπορεί να στερήσει από τους εργαζομένους την προστασία που τους εξασφαλίζουν οι διατάξεις αναγκαστικού δικαίου από τις οποίες δεν μπορεί να υπάρξει παρέκκλιση με συμφωνία.</w:t>
      </w:r>
    </w:p>
    <w:p w14:paraId="2782D15F" w14:textId="0AFA08A0" w:rsidR="00C374C4" w:rsidRPr="00EB5D21" w:rsidRDefault="00C374C4" w:rsidP="006E7F37">
      <w:pPr>
        <w:pStyle w:val="NormalHanging12a"/>
        <w:ind w:left="0" w:firstLine="0"/>
      </w:pPr>
      <w:r w:rsidRPr="00EB5D21">
        <w:t xml:space="preserve">Όσον αφορά τη συμμετοχή των εργαζομένων, η S.EU πρέπει να υπόκειται σε τυχόν κανόνες σχετικά με τη συμμετοχή των εργαζομένων που ισχύουν στο κράτος μέλος της καταστατικής έδρας. Ωστόσο, εάν μια S.EU ασκεί οικονομική δραστηριότητα που συνεπάγεται απασχόληση σε άλλο κράτος μέλος χωρίς να ιδρύσει υποκατάστημα, πρακτορείο ή θυγατρική, η S.EU πρέπει να υπόκειται σε τυχόν κανόνες σχετικά με τη συμμετοχή των εργαζομένων που ισχύουν στο κράτος μέλος του τόπου απασχόλησης, </w:t>
      </w:r>
      <w:r w:rsidR="006E7F37">
        <w:t>εκτός</w:t>
      </w:r>
      <w:r w:rsidRPr="00EB5D21">
        <w:t xml:space="preserve"> </w:t>
      </w:r>
      <w:r w:rsidR="006E7F37">
        <w:t xml:space="preserve">εάν </w:t>
      </w:r>
      <w:r w:rsidRPr="00EB5D21">
        <w:t>η έννομη τάξη της καταστατικής έδρας της S.EU προβλέπει τουλάχιστον το ίδιο επίπεδο δικαιωμάτων εκπροσώπησης των εργαζομένων σε επίπεδο διοικητικού συμβουλίου με εκείνο που απαιτείται από το δίκαιο του τόπου απασχόλησης. Εάν χρειαστεί, η S.EU θα πρέπει να προσαρμόσει αναλόγως το καταστατικό της.</w:t>
      </w:r>
    </w:p>
    <w:p w14:paraId="60A6EA66" w14:textId="1662F1DF" w:rsidR="00C374C4" w:rsidRPr="00EB5D21" w:rsidRDefault="00C374C4" w:rsidP="006E7F37">
      <w:pPr>
        <w:pStyle w:val="NormalHanging12a"/>
        <w:ind w:left="0" w:firstLine="0"/>
      </w:pPr>
      <w:r w:rsidRPr="00EB5D21">
        <w:t xml:space="preserve">Εάν το εφαρμοστέο δίκαιο δεν είναι δυνατόν να καθοριστεί σύμφωνα με τις αρχές που ορίζονται στην προηγούμενη παράγραφο, ως εναλλακτική επιλογή πρέπει να κινείται διαδικασία διαπραγμάτευσης ισοδύναμη με εκείνη που προβλέπεται στα άρθρα 3 έως 7 της οδηγίας 2001/86/ΕΚ όταν ο αριθμός των εργαζομένων φθάσει σε τουλάχιστον ένα κράτος </w:t>
      </w:r>
      <w:r w:rsidRPr="00EB5D21">
        <w:lastRenderedPageBreak/>
        <w:t xml:space="preserve">μέλος οποιοδήποτε όριο που ενεργοποιεί δικαιώματα εκπροσώπησης των εργαζομένων σε επίπεδο διοικητικού συμβουλίου στο εν λόγω κράτος μέλος, </w:t>
      </w:r>
      <w:r w:rsidR="006E7F37">
        <w:t>υπό την προϋπόθεση ότι</w:t>
      </w:r>
      <w:r w:rsidRPr="00EB5D21">
        <w:t xml:space="preserve"> μια S.EU δεν έχει ακόμη λάβει μέτρα για τη συμμετοχή των εργαζομένων ή </w:t>
      </w:r>
      <w:r w:rsidR="006E7F37">
        <w:t>υπό την προϋπόθεση ότι</w:t>
      </w:r>
      <w:r w:rsidR="006E7F37" w:rsidRPr="00EB5D21">
        <w:t xml:space="preserve"> </w:t>
      </w:r>
      <w:r w:rsidRPr="00EB5D21">
        <w:t xml:space="preserve">η επίτευξη του ορίου συνεπάγεται αλλαγές στην υφιστάμενη συμμετοχή των εργαζομένων. </w:t>
      </w:r>
    </w:p>
    <w:p w14:paraId="7E7B306E" w14:textId="34501C58" w:rsidR="00C374C4" w:rsidRPr="00EB5D21" w:rsidRDefault="00C374C4" w:rsidP="006E7F37">
      <w:pPr>
        <w:pStyle w:val="NormalHanging12a"/>
        <w:ind w:left="0" w:firstLine="0"/>
      </w:pPr>
      <w:r w:rsidRPr="00EB5D21">
        <w:t xml:space="preserve">Εάν υφιστάμενη εθνική εταιρεία μετατραπεί σε S.EU, τα άρθρα 86ιβ, 133 και 160ιβ της οδηγίας </w:t>
      </w:r>
      <w:r w:rsidR="006E7F37">
        <w:t xml:space="preserve">(ΕΕ) </w:t>
      </w:r>
      <w:r w:rsidRPr="00EB5D21">
        <w:t>2017/1132 πρέπει να εφαρμόζονται τηρουμένων των αναλογιών, υπό την προϋπόθεση ότι δεν παραβιάζονται ήδη θεσμοθετημένα δικαιώματα συμμετοχής των εργαζομένων.</w:t>
      </w:r>
    </w:p>
    <w:p w14:paraId="64F848D6" w14:textId="77777777" w:rsidR="00C374C4" w:rsidRPr="00EB5D21" w:rsidRDefault="00C374C4" w:rsidP="006E7F37">
      <w:pPr>
        <w:pStyle w:val="NormalHanging12a"/>
        <w:ind w:left="0" w:firstLine="0"/>
        <w:rPr>
          <w:b/>
          <w:bCs/>
        </w:rPr>
      </w:pPr>
      <w:r w:rsidRPr="00EB5D21">
        <w:rPr>
          <w:b/>
        </w:rPr>
        <w:t>5.</w:t>
      </w:r>
      <w:r w:rsidRPr="00EB5D21">
        <w:rPr>
          <w:b/>
        </w:rPr>
        <w:tab/>
        <w:t>Ενθάρρυνση μακροπρόθεσμων στρατηγικών και προαιρετικών μορφών</w:t>
      </w:r>
    </w:p>
    <w:p w14:paraId="240F1B4D" w14:textId="77777777" w:rsidR="00C374C4" w:rsidRPr="00EB5D21" w:rsidRDefault="00C374C4" w:rsidP="006E7F37">
      <w:pPr>
        <w:pStyle w:val="NormalHanging12a"/>
        <w:ind w:left="0" w:firstLine="0"/>
      </w:pPr>
      <w:r w:rsidRPr="00EB5D21">
        <w:t>Προκειμένου να δοθούν κίνητρα στις ευρωπαϊκές καινοτόμες εταιρείες, να προσελκυστούν επενδύσεις, να δημιουργηθούν εναλλακτικές δίοδοι πρόσβασης σε κεφάλαια και μοντέλα χρηματοδότησης και να αποτραπεί η μετεγκατάσταση της καινοτομίας, η δημιουργία της οποίας υποστηρίζεται συχνά από ευρωπαϊκά δημόσια ερευνητικά κονδύλια, εκτός της Ένωσης, τα κράτη μέλη θα πρέπει να θεσπίσουν κανόνες που θα επιτρέπουν στις εταιρείες να επιλέγουν οικειοθελώς και αμετάκλητα τη συμμετοχή σε πρόσθετα συστήματα νομικής προστασίας. Σκοπός αυτών των πρόσθετων συστημάτων νομικής προστασίας θα πρέπει να είναι να βοηθήσουν τις ευρωπαϊκές εταιρείες που επιθυμούν ενδεχομένως να προστατευτούν από τις «φονικές εξαγορές» και τη μετεγκατάσταση. Τα συστήματα αυτά μπορούν να περιλαμβάνουν:</w:t>
      </w:r>
    </w:p>
    <w:p w14:paraId="72971F7A"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τον διαχωρισμό των δικαιωμάτων ψήφου και των οικονομικών δικαιωμάτων μέσω διαφορετικών κατηγοριών μετοχών, συμπεριλαμβανομένων μετοχών διπλής κατηγορίας, μετοχών βέτο και προνομιούχων μετοχών·</w:t>
      </w:r>
    </w:p>
    <w:p w14:paraId="2A9F889A"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τον χαρακτηρισμό των δικαιωμάτων ψήφου ως μη μεταβιβάσιμων και μη κληρονομήσιμων·</w:t>
      </w:r>
    </w:p>
    <w:p w14:paraId="45484A65"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τη διανομή κερδών σε επενδυτές ή κατόχους οικονομικών δικαιωμάτων βάσει συμβατικής συμφωνίας που περιορίζεται είτε χρονικά είτε όσον αφορά το ποσό και η οποία μπορεί να καταγγελθεί ανά πάσα στιγμή από οποιοδήποτε μέρος·</w:t>
      </w:r>
    </w:p>
    <w:p w14:paraId="015AE55A"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τον περιορισμό της διασυνοριακής μετατροπής σε οντότητες που έχουν επιλέξει το πρόσθετο σύστημα νομικής προστασίας, ιδίως όσον αφορά τα κλειδώματα στοιχείων ενεργητικού.</w:t>
      </w:r>
    </w:p>
    <w:p w14:paraId="171D6D50" w14:textId="77777777" w:rsidR="00C374C4" w:rsidRPr="00EB5D21" w:rsidRDefault="00C374C4" w:rsidP="006E7F37">
      <w:pPr>
        <w:pStyle w:val="NormalHanging12a"/>
        <w:ind w:left="0" w:firstLine="0"/>
      </w:pPr>
      <w:r w:rsidRPr="00EB5D21">
        <w:t>Οι εταιρείες που έχουν επιλέξει τη συμμετοχή σε τέτοια πρόσθετα συστήματα νομικής προστασίας θα πρέπει να είναι σε θέση να περιλαμβάνουν στην εταιρική επωνυμία τους τη σήμανση περί «υπεύθυνου ιδιοκτησιακού καθεστώτος».</w:t>
      </w:r>
    </w:p>
    <w:p w14:paraId="5EF751B4" w14:textId="77777777" w:rsidR="00C374C4" w:rsidRPr="00EB5D21" w:rsidRDefault="00C374C4" w:rsidP="006E7F37">
      <w:pPr>
        <w:pStyle w:val="NormalHanging12a"/>
        <w:ind w:left="0" w:firstLine="0"/>
      </w:pPr>
      <w:r w:rsidRPr="00EB5D21">
        <w:t>Η οδηγία (ΕΕ) 2017/1132 θα πρέπει να τροποποιηθεί όσον αφορά τις διασυνοριακές μετατροπές, συγχωνεύσεις και διασπάσεις προκειμένου να επιτραπεί στα κράτη μέλη που έχουν επιλέξει να θεσπίσουν τη δική τους εθνική εταιρική μορφή υπεύθυνου ιδιοκτησιακού καθεστώτος να περιορίσουν τη διασυνοριακή μετατροπή μιας τέτοιας εθνικής εταιρικής μορφής σε εταιρικές μορφές άλλων κρατών μελών που προβλέπουν επίσης παρόμοιες μορφές υπεύθυνου ιδιοκτησιακού καθεστώτος.</w:t>
      </w:r>
    </w:p>
    <w:p w14:paraId="7CF27E7D" w14:textId="77777777" w:rsidR="00C374C4" w:rsidRPr="00EB5D21" w:rsidRDefault="00C374C4" w:rsidP="006E7F37">
      <w:pPr>
        <w:pStyle w:val="NormalHanging12a"/>
        <w:rPr>
          <w:b/>
        </w:rPr>
      </w:pPr>
      <w:r w:rsidRPr="00EB5D21">
        <w:rPr>
          <w:b/>
        </w:rPr>
        <w:t>6.</w:t>
      </w:r>
      <w:r w:rsidRPr="00EB5D21">
        <w:rPr>
          <w:b/>
        </w:rPr>
        <w:tab/>
        <w:t xml:space="preserve">Προσέλκυση και στήριξη ταλέντων </w:t>
      </w:r>
    </w:p>
    <w:p w14:paraId="7DEB8F8C" w14:textId="77777777" w:rsidR="00C374C4" w:rsidRPr="00EB5D21" w:rsidRDefault="00C374C4" w:rsidP="006E7F37">
      <w:pPr>
        <w:pStyle w:val="NormalHanging12a"/>
        <w:ind w:left="0" w:firstLine="0"/>
      </w:pPr>
      <w:r w:rsidRPr="00EB5D21">
        <w:lastRenderedPageBreak/>
        <w:t>Η προσέλκυση ειδικευμένων και καινοτόμων ταλέντων είναι ζωτικής σημασίας για την τόνωση της οικονομικής ανάπτυξης, την προώθηση της καινοτομίας και τη διατήρηση της ανταγωνιστικότητας σε μια ταχέως εξελισσόμενη παγκόσμια αγορά. Η αύξηση της παραγωγικότητας, η καινοτομία και η κοινωνική ένταξη πρέπει να συμβαδίζουν. Το πλαίσιο S.EU θα πρέπει να διευκολύνει την ελεύθερη κυκλοφορία εντός της Ένωσης, χωρίς την ανάγκη για διαμεσολαβητές στις διοικητικές διαδικασίες, τηρώντας παράλληλα τους ισχύοντες ενωσιακούς και εθνικούς κανόνες για το εργατικό και κοινωνικό δίκαιο· Η S.EU θα πρέπει να προβλέπει προαιρετικούς εναρμονισμένους κανόνες σε ολόκληρη την Ένωση σχετικά με τα συστήματα οικονομικής συμμετοχής των εργαζομένων, ιδίως όσον αφορά τη διάρθρωση των προγραμμάτων αγοράς μετοχών από εργαζομένους (ESOP), με τη βοήθεια χωριστού ενδιάμεσου φορέα, και τη δημιουργία προγραμμάτων μετοχικών δικαιωμάτων προαίρεσης που χορηγούνται σε εργαζομένους (ESO). Κάτι τέτοιο θα δώσει στις ΜΜΕ, στις νεοφυείς και στις αναπτυσσόμενες νέες επιχειρήσεις τη δυνατότητα όχι μόνο να προσελκύσουν ταλέντα, να παράσχουν κίνητρα για μακροπρόθεσμη δέσμευση και να ασκήσουν πιο εύκολα τις δραστηριότητές τους στις διάφορες εθνικές αγορές λόγω του σχεδιασμού των υφιστάμενων διακριτών πλαισίων, αλλά και να προωθήσουν την πλήρη και δίκαιη συμμετοχή των εργαζομένων στην αξία στην οποία συμβάλλουν με την εργασία και το διανοητικό κεφάλαιό τους. Οι εναρμονισμένοι κανόνες για τα προαιρετικά ESOP και τα ESO θα πρέπει να επικεντρώνονται στην εναρμόνιση των βασικών στοιχείων εταιρικού δικαίου, του πλαισίου και των διαρθρωτικών χαρακτηριστικών των σχεδίων για την οικονομική συμμετοχή των εργαζομένων, χωρίς να επηρεάζουν τους δημοσιονομικούς κανόνες. Κατά τον σχεδιασμό εναρμονισμένων κανόνων στο πλαίσιο των S.EU πρέπει να λαμβάνονται υπόψη οι ακόλουθες αρχές: </w:t>
      </w:r>
    </w:p>
    <w:p w14:paraId="50EEDDBA"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ως προϋπόθεση, τα συστήματα οικονομικής συμμετοχής των εργαζομένων δεν θα πρέπει σε καμία περίπτωση να αντικαθιστούν ή να μειώνουν τις κανονικές βασικές αποδοχές ή οποιαδήποτε άλλη μορφή εισφορών, όπως οι εισφορές κοινωνικής ασφάλισης, αλλά θα πρέπει να αποτελούν παροχή συμπληρωματική προς όλα τα κοινωνικά και συμβατικά δικαιώματα· </w:t>
      </w:r>
    </w:p>
    <w:p w14:paraId="76BD09C0"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η διαφάνεια και η δημοκρατική διακυβέρνηση πρέπει να αποτελούν βασικές αρχές καθ’ όλη τη διάρκεια του σχεδιασμού και της εφαρμογής των εν λόγω συστημάτων· </w:t>
      </w:r>
    </w:p>
    <w:p w14:paraId="4D2BFB24"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η συμμετοχή σε τέτοια συστήματα πρέπει να μην εισάγει διακρίσεις και να είναι ανοικτή και αποκλειστική για όλους τους εργαζομένους·</w:t>
      </w:r>
    </w:p>
    <w:p w14:paraId="2B4E7F9A"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 xml:space="preserve">η συμμετοχή σε τέτοια συστήματα πρέπει να παραμείνει προαιρετική για τους εργαζομένους και η δημιουργία τέτοιων συστημάτων πρέπει να παραμείνει προαιρετική για τις S.EU· </w:t>
      </w:r>
    </w:p>
    <w:p w14:paraId="7D820385"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τα συστήματα αυτά πρέπει να συνοδεύονται από μηχανισμούς για την προστασία των εργαζομένων από παράλογους οικονομικούς κινδύνους.</w:t>
      </w:r>
    </w:p>
    <w:p w14:paraId="7FCDF794" w14:textId="6CE5B84C" w:rsidR="00C374C4" w:rsidRPr="00EB5D21" w:rsidRDefault="00C374C4" w:rsidP="006E7F37">
      <w:pPr>
        <w:pStyle w:val="NormalHanging12a"/>
        <w:ind w:left="0" w:firstLine="0"/>
      </w:pPr>
      <w:r w:rsidRPr="00EB5D21">
        <w:t xml:space="preserve">Η Επιτροπή, σε διαβούλευση με τους κοινωνικούς εταίρους και τα σχετικά ενδιαφερόμενα μέρη και με βάση τις βέλτιστες πρακτικές, θα πρέπει να σχεδιάσει κατευθυντήριες γραμμές για τις S.EU με σκοπό τη διευκόλυνση της εφαρμογής, την περαιτέρω ενημέρωση σχετικά με την οικονομική συμμετοχή των εργαζομένων και τη διασφάλιση της σύγκλισης των συστημάτων οικονομικής συμμετοχής των εργαζομένων σε όλα τα κράτη μέλη. Οι κατευθυντήριες γραμμές θα πρέπει να περιλαμβάνουν πληροφορίες σχετικά με τους συναφείς χρηματοοικονομικούς κινδύνους για τους εργαζομένους, να προσδιορίζουν τις επιλογές εξαγοράς από τους εργαζομένους και τη δημοκρατική διακυβέρνηση και να εξετάζουν τον </w:t>
      </w:r>
      <w:r w:rsidRPr="00EB5D21">
        <w:lastRenderedPageBreak/>
        <w:t>αντίκτυπο στους εργαζομένους.</w:t>
      </w:r>
    </w:p>
    <w:p w14:paraId="1B9FE91F" w14:textId="77777777" w:rsidR="00C374C4" w:rsidRPr="00EB5D21" w:rsidRDefault="00C374C4" w:rsidP="006E7F37">
      <w:pPr>
        <w:pStyle w:val="NormalHanging12a"/>
        <w:ind w:left="0" w:firstLine="0"/>
      </w:pPr>
      <w:r w:rsidRPr="00EB5D21">
        <w:t>Επιπλέον, η Επιτροπή θα πρέπει να αντιμετωπίσει, στο πλαίσιο της δέσμης μέτρων του 28ου καθεστώτος, ζητήματα που σχετίζονται με τη φορολογική μεταχείριση της οικονομικής συμμετοχής των εργαζομένων, ώστε να διασφαλιστούν η νομική συνοχή και η διασυνοριακή εφαρμογή. Έως ότου επιτευχθεί εναρμόνιση σε επίπεδο Ένωσης, τα κράτη μέλη θα πρέπει να ενθαρρυνθούν σθεναρά να θεσπίσουν εκ των προτέρων υποστηρικτικά μέτρα για την οικονομική συμμετοχή των εργαζομένων, ευθυγραμμισμένα με τους στόχους των S.EU, προκειμένου να καταστήσουν τη συμμετοχή αυτή ελκυστική τόσο για τους εργοδότες όσο και για τους εργαζομένους, προωθώντας τη διασυνοριακή κινητικότητα και τη δικαιοσύνη.</w:t>
      </w:r>
    </w:p>
    <w:p w14:paraId="60BF0395" w14:textId="77777777" w:rsidR="00C374C4" w:rsidRPr="00EB5D21" w:rsidRDefault="00C374C4" w:rsidP="006E7F37">
      <w:pPr>
        <w:pStyle w:val="NormalHanging12a"/>
        <w:ind w:left="0" w:firstLine="0"/>
      </w:pPr>
      <w:r w:rsidRPr="00EB5D21">
        <w:t>Για να ενισχυθεί η ικανότητα καινοτομίας των S.EU και να επιταχυνθεί η εμπορική αξιοποίηση των αποτελεσμάτων της έρευνας, η νομοθετική πρόταση θα πρέπει να συνοδεύεται από μέτρα για την προώθηση και τη διευκόλυνση διαρθρωμένων συμπράξεων μεταξύ S.EU και πανεπιστημίων, ερευνητικών ιδρυμάτων και γραφείων μεταφοράς τεχνολογίας. Η Επιτροπή θα πρέπει να αναπτύξει κατευθυντήριες γραμμές και υποδείγματα συμφωνιών συνεργασίας για τις εν λόγω συμπράξεις, διασφαλίζοντας ότι είναι απλές, διαφανείς και δίκαιες για όλα τα συμμετέχοντα μέρη.</w:t>
      </w:r>
    </w:p>
    <w:p w14:paraId="679592BD" w14:textId="77777777" w:rsidR="00C374C4" w:rsidRPr="00EB5D21" w:rsidRDefault="00C374C4" w:rsidP="006E7F37">
      <w:pPr>
        <w:pStyle w:val="NormalHanging12a"/>
        <w:ind w:left="0" w:firstLine="0"/>
        <w:rPr>
          <w:b/>
        </w:rPr>
      </w:pPr>
      <w:r w:rsidRPr="00EB5D21">
        <w:rPr>
          <w:b/>
        </w:rPr>
        <w:t>7.</w:t>
      </w:r>
      <w:r w:rsidRPr="00EB5D21">
        <w:rPr>
          <w:b/>
        </w:rPr>
        <w:tab/>
        <w:t>Προσέλκυση κεφαλαίων</w:t>
      </w:r>
    </w:p>
    <w:p w14:paraId="702B481B" w14:textId="77777777" w:rsidR="00C374C4" w:rsidRPr="00EB5D21" w:rsidRDefault="00C374C4" w:rsidP="006E7F37">
      <w:pPr>
        <w:pStyle w:val="NormalHanging12a"/>
        <w:ind w:left="0" w:firstLine="0"/>
      </w:pPr>
      <w:r w:rsidRPr="00EB5D21">
        <w:t>Τα κράτη μέλη θα πρέπει να θεσπίσουν εναρμονισμένους μετοχικούς χρεωστικούς τίτλους που επιτρέπουν στους επενδυτές να επενδύουν σε εταιρείες χωρίς να αποκτούν δικαιώματα ελέγχου επί μιας εταιρείας, όπως δικαιώματα συμμετοχής στα κέρδη, αφανείς συμμετοχές ή δάνεια που συνδέονται με τα κέρδη. Οι εν λόγω μετοχικοί χρεωστικοί τίτλοι θα πρέπει:</w:t>
      </w:r>
    </w:p>
    <w:p w14:paraId="477A1FC8"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να δημιουργούνται με τη σύναψη συμβατικής συμφωνίας μεταξύ της εταιρείας και του επενδυτή για εισφορά κεφαλαίου· η εν λόγω συμφωνία πρέπει να προσδιορίζει το επενδυθέν αρχικό κεφάλαιο, να περιλαμβάνει καθορισμένη ημερομηνία αποπληρωμής και να προβλέπει αποζημίωση η οποία μπορεί να λάβει τη μορφή σταθερού ή μεταβλητού επιτοκίου ή συμμετοχής στα κέρδη·</w:t>
      </w:r>
    </w:p>
    <w:p w14:paraId="33220BC1"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να είναι μειωμένης εξασφάλισης έναντι των συνήθων απαιτήσεων·</w:t>
      </w:r>
    </w:p>
    <w:p w14:paraId="3C29CB9F" w14:textId="77777777" w:rsidR="00C374C4" w:rsidRPr="00EB5D21" w:rsidRDefault="00C374C4" w:rsidP="00CA71EB">
      <w:pPr>
        <w:pStyle w:val="NormalHanging12a"/>
        <w:tabs>
          <w:tab w:val="left" w:pos="851"/>
        </w:tabs>
        <w:ind w:left="851" w:hanging="851"/>
      </w:pPr>
      <w:r w:rsidRPr="00EB5D21">
        <w:rPr>
          <w:rFonts w:ascii="Symbol" w:hAnsi="Symbol"/>
        </w:rPr>
        <w:sym w:font="Symbol" w:char="F02D"/>
      </w:r>
      <w:r w:rsidRPr="00EB5D21">
        <w:rPr>
          <w:rFonts w:ascii="Symbol" w:hAnsi="Symbol"/>
        </w:rPr>
        <w:tab/>
      </w:r>
      <w:r w:rsidRPr="00EB5D21">
        <w:t>να αντιμετωπίζονται ως μετοχικό κεφάλαιο ή ως μετοχικό κεφάλαιο που αντικαθιστά κεφάλαια για κανονιστικούς και λογιστικούς σκοπούς.</w:t>
      </w:r>
    </w:p>
    <w:p w14:paraId="2A756ACE" w14:textId="77777777" w:rsidR="00C374C4" w:rsidRPr="00EB5D21" w:rsidRDefault="00C374C4" w:rsidP="006E7F37">
      <w:pPr>
        <w:pStyle w:val="NormalHanging12a"/>
        <w:ind w:left="0" w:firstLine="0"/>
      </w:pPr>
      <w:r w:rsidRPr="00EB5D21">
        <w:t xml:space="preserve">Προκειμένου να αυξηθεί η ασφάλεια δικαίου στις 27 εθνικές έννομες τάξεις της εσωτερικής αγοράς και να μειωθούν τα εμπόδια για επενδύσεις σε S.EU, η Επιτροπή θα πρέπει να διευκολύνει την ανάπτυξη τυποποιημένου πολύγλωσσου υποδείγματος καταστατικού, συμφωνιών μετόχων και όλων των άλλων σχετικών εγγράφων για τις S.EU και να δημιουργήσει μια πλατφόρμα στην οποία θα διατίθενται τα εν λόγω υποδείγματα εγγράφων και πρακτικές πληροφορίες σε όλες τις επίσημες γλώσσες της Ένωσης. </w:t>
      </w:r>
    </w:p>
    <w:p w14:paraId="758F24B8" w14:textId="77777777" w:rsidR="00C374C4" w:rsidRPr="00EB5D21" w:rsidRDefault="00C374C4" w:rsidP="006E7F37">
      <w:pPr>
        <w:pStyle w:val="NormalHanging12a"/>
        <w:ind w:left="0" w:firstLine="0"/>
      </w:pPr>
      <w:r w:rsidRPr="00EB5D21">
        <w:t>Η Επιτροπή θα πρέπει να ορίσει ομάδα εμπειρογνωμόνων επιφορτισμένη με την εκπόνηση τυποποιημένων υποδειγμάτων καταστατικών υψηλής ποιότητας που να ανταποκρίνονται στις εναρμονισμένες απαιτήσεις για τις S.EU. Η εν λόγω ομάδα εμπειρογνωμόνων θα πρέπει να απαρτίζεται, μεταξύ άλλων, από εκπροσώπους των ιδρυτών, των επενδυτών και των συνδικαλιστικών οργανώσεων.</w:t>
      </w:r>
    </w:p>
    <w:p w14:paraId="0F80966A" w14:textId="77777777" w:rsidR="00C374C4" w:rsidRPr="00EB5D21" w:rsidRDefault="00C374C4" w:rsidP="006E7F37">
      <w:pPr>
        <w:pStyle w:val="NormalHanging12a"/>
        <w:ind w:left="0" w:firstLine="0"/>
      </w:pPr>
      <w:r w:rsidRPr="00EB5D21">
        <w:t xml:space="preserve">Η Επιτροπή θα πρέπει να διορίσει μια επιπλέον ομάδα εμπειρογνωμόνων επιφορτισμένη με </w:t>
      </w:r>
      <w:r w:rsidRPr="00EB5D21">
        <w:lastRenderedPageBreak/>
        <w:t>την εκπόνηση τυποποιημένων, δίκαιων και υψηλής ποιότητας υποδειγμάτων συμφωνιών μετόχων. Τα εν λόγω υποδείγματα συμφωνιών μετόχων θα πρέπει να επιτυγχάνουν ισορροπία μεταξύ των συμφερόντων των ιδρυτών και των επενδυτών. Η εν λόγω ομάδα εμπειρογνωμόνων θα πρέπει να απαρτίζεται, μεταξύ άλλων, από εκπροσώπους των ιδρυτών και επενδυτές επιχειρηματικών κεφαλαίων.</w:t>
      </w:r>
    </w:p>
    <w:p w14:paraId="531725D1" w14:textId="77777777" w:rsidR="00C374C4" w:rsidRPr="00EB5D21" w:rsidRDefault="00C374C4" w:rsidP="006E7F37">
      <w:pPr>
        <w:pStyle w:val="NormalHanging12a"/>
        <w:ind w:left="0" w:firstLine="0"/>
      </w:pPr>
      <w:r w:rsidRPr="00EB5D21">
        <w:t>Η Επιτροπή θα πρέπει να στηρίζει και να αξιοποιεί υφιστάμενες πρωτοβουλίες έρευνας και πληροφορίες για το ευρωπαϊκό και συγκριτικό επιχειρηματικό δίκαιο, ώστε να συγκεντρώσει ανοικτής πρόσβασης και συγκρίσιμες πληροφορίες σχετικά με τη ρύθμιση των επιχειρήσεων στα κράτη μέλη σε όλες τις επίσημες γλώσσες της Ένωσης.</w:t>
      </w:r>
    </w:p>
    <w:p w14:paraId="772EBBB5" w14:textId="77777777" w:rsidR="00C374C4" w:rsidRPr="00EB5D21" w:rsidRDefault="00C374C4" w:rsidP="006E7F37">
      <w:pPr>
        <w:pStyle w:val="NormalHanging12a"/>
        <w:rPr>
          <w:b/>
        </w:rPr>
      </w:pPr>
      <w:r w:rsidRPr="00EB5D21">
        <w:rPr>
          <w:b/>
        </w:rPr>
        <w:t>8.</w:t>
      </w:r>
      <w:r w:rsidRPr="00EB5D21">
        <w:rPr>
          <w:b/>
        </w:rPr>
        <w:tab/>
        <w:t>Εξειδικευμένη επίλυση διαφορών</w:t>
      </w:r>
    </w:p>
    <w:p w14:paraId="56E40FC8" w14:textId="77777777" w:rsidR="00C374C4" w:rsidRPr="00EB5D21" w:rsidRDefault="00C374C4" w:rsidP="006E7F37">
      <w:pPr>
        <w:pStyle w:val="NormalHanging12a"/>
        <w:ind w:left="0" w:firstLine="0"/>
      </w:pPr>
      <w:r w:rsidRPr="00EB5D21">
        <w:t>Προκειμένου να επιταχυνθεί η επίλυση διαφορών που αφορούν τις S.EU, θα πρέπει να θεσπιστεί εναλλακτικός εξειδικευμένος μηχανισμός επίλυσης διαφορών. Η συμμετοχή στον εν λόγω μηχανισμό θα πρέπει να υπόκειται στη συγκατάθεση των εμπλεκόμενων μερών. Οι διαφορές που αφορούν το ατομικό και το συλλογικό εργατικό δίκαιο θα πρέπει να εξαιρούνται από τον εν λόγω μηχανισμό και η δικαιοδοσία στις περιπτώσεις αυτές θα πρέπει να καθορίζεται σύμφωνα με τα άρθρα 20 έως 23 του κανονισμού (ΕΕ) αριθ. 1215/2012.</w:t>
      </w:r>
    </w:p>
    <w:p w14:paraId="063E3D68" w14:textId="77777777" w:rsidR="00C374C4" w:rsidRPr="00EB5D21" w:rsidRDefault="00C374C4" w:rsidP="006E7F37">
      <w:pPr>
        <w:pStyle w:val="NormalHanging12a"/>
        <w:ind w:left="0" w:firstLine="0"/>
      </w:pPr>
      <w:r w:rsidRPr="00EB5D21">
        <w:t>Επιπλέον, τα κράτη μέλη θα πρέπει να εξετάσουν το ενδεχόμενο να συστήσουν ειδικό τμήμα στα εθνικά τους δικαστήρια —είτε τμήμα εντός συγκεκριμένου δικαστηρίου σε εθνικό επίπεδο είτε τμήμα εντός συγκεκριμένου δικαστηρίου σε κάθε ομοσπονδιακή οντότητα, ανάλογα με το εκάστοτε εθνικό δικαστικό σύστημα. Τα εν λόγω τμήματα θα πρέπει να είναι επιφορτισμένα με την επίλυση διαφορών αστικού δικαίου μεταξύ εταιρειών που σχετίζονται με την εταιρική μορφή της S.EU, διαφορών που προκύπτουν από την απόκτηση S.EU ή μετοχών S.EU ή σχετίζονται με αυτές και διαφορών μεταξύ μιας S.EU και των μελών του διοικητικού ή εποπτικού συμβουλίου της. Τα κράτη μέλη θα πρέπει να διασφαλίζουν ότι οι διαδικασίες ενώπιον των εν λόγω τμημάτων μπορούν να διεξάγονται στην αγγλική γλώσσα, υπό την προϋπόθεση ότι τα εμπλεκόμενα μέρη συναινούν.</w:t>
      </w:r>
    </w:p>
    <w:p w14:paraId="1CC678C7" w14:textId="77777777" w:rsidR="00C374C4" w:rsidRPr="00EA7A32" w:rsidRDefault="00C374C4" w:rsidP="00EA7A32">
      <w:pPr>
        <w:tabs>
          <w:tab w:val="left" w:pos="2618"/>
        </w:tabs>
        <w:spacing w:after="240"/>
        <w:rPr>
          <w:b/>
          <w:bCs/>
          <w:color w:val="0E101A"/>
        </w:rPr>
      </w:pPr>
      <w:r w:rsidRPr="00EA7A32">
        <w:rPr>
          <w:b/>
          <w:bCs/>
          <w:color w:val="0E101A"/>
        </w:rPr>
        <w:t xml:space="preserve">9. Εκτίμηση επιπτώσεων, επανεξέταση και αξιολόγηση </w:t>
      </w:r>
    </w:p>
    <w:p w14:paraId="05143467" w14:textId="77777777" w:rsidR="00C374C4" w:rsidRPr="00EB5D21" w:rsidRDefault="00C374C4" w:rsidP="00EA7A32">
      <w:pPr>
        <w:tabs>
          <w:tab w:val="left" w:pos="2618"/>
        </w:tabs>
        <w:spacing w:after="240"/>
        <w:rPr>
          <w:color w:val="0E101A"/>
        </w:rPr>
      </w:pPr>
      <w:r w:rsidRPr="00EB5D21">
        <w:rPr>
          <w:color w:val="0E101A"/>
        </w:rPr>
        <w:t xml:space="preserve">Η αποτελεσματικότητα του 28ου καθεστώτος όσον αφορά την προώθηση της καινοτομίας, την ενίσχυση της ανταγωνιστικότητας, την κατοχύρωση της ασφάλειας δικαίου και την πρόληψη της καταστρατήγησης των κανόνων των ενωσιακών και εθνικών κοινωνικών και εργασιακών προτύπων θα πρέπει να παρακολουθείται συνεχώς. </w:t>
      </w:r>
    </w:p>
    <w:p w14:paraId="52A64887" w14:textId="77777777" w:rsidR="00C374C4" w:rsidRPr="00EB5D21" w:rsidRDefault="00C374C4" w:rsidP="00EA7A32">
      <w:pPr>
        <w:tabs>
          <w:tab w:val="left" w:pos="2618"/>
        </w:tabs>
        <w:spacing w:after="240"/>
        <w:rPr>
          <w:color w:val="0E101A"/>
        </w:rPr>
      </w:pPr>
      <w:r w:rsidRPr="00EB5D21">
        <w:rPr>
          <w:color w:val="0E101A"/>
        </w:rPr>
        <w:t xml:space="preserve">Η Επιτροπή θα πρέπει να διενεργήσει και να δημοσιεύσει ολοκληρωμένη και διαφανή εκτίμηση επιπτώσεων κάθε φορά που υποβάλλεται νέα νομοθετική πρόταση η οποία σχετίζεται με το 28ο καθεστώς, εστιάζοντας στις κοινωνικές, φορολογικές και νομικές συνέπειες, καθώς και στον κίνδυνο αποδυνάμωσης της Ένωσης και των εθνικών προτύπων προστασίας. Για να διαφυλαχθούν η ασφάλεια δικαίου και η συνοχή, η Επιτροπή θα πρέπει επίσης να αξιολογήσει τα υφιστάμενα εθνικά μοντέλα και τις βέλτιστες πρακτικές, όπως τη λειτουργικότητα των εθνικών εταιρικών μητρώων, και τις αυτοματοποιημένες ψηφιακές διαδικασίες που διευκολύνουν τη σύσταση εταιρειών, διατηρώντας παράλληλα υψηλά πρότυπα διαφάνειας και λογοδοσίας. Η Επιτροπή θα πρέπει ειδικότερα να διερευνήσει τρόπους βελτιστοποίησης των διαδικασιών, ώστε να διασφαλίσει ότι ολόκληρη η διαδικασία καταχώρισης, συμπεριλαμβανομένων πρόσθετων επαληθεύσεων και ελέγχων συμμόρφωσης, μπορεί να ολοκληρώνεται εντός 48 ωρών, σύμφωνα με τις διαδικαστικές εγγυήσεις χωρίς να θίγεται η ασφάλεια δικαίου. </w:t>
      </w:r>
    </w:p>
    <w:p w14:paraId="429BD0D6" w14:textId="77777777" w:rsidR="00C374C4" w:rsidRPr="00EB5D21" w:rsidRDefault="00C374C4" w:rsidP="00EA7A32">
      <w:pPr>
        <w:tabs>
          <w:tab w:val="left" w:pos="2618"/>
        </w:tabs>
        <w:spacing w:after="240"/>
        <w:rPr>
          <w:color w:val="0E101A"/>
        </w:rPr>
      </w:pPr>
      <w:r w:rsidRPr="00EB5D21">
        <w:rPr>
          <w:color w:val="0E101A"/>
        </w:rPr>
        <w:lastRenderedPageBreak/>
        <w:t xml:space="preserve">Η Επιτροπή θα πρέπει επίσης να διασφαλίσει ολοκληρωμένη επανεξέταση και, όπου απαιτείται, αναθεώρηση του 28ου καθεστώτος ανά τακτά χρονικά διαστήματα, συμπεριλαμβανομένης αξιολόγησης των ποσοστών υιοθέτησής του από τις εταιρείες, ιδίως τις ΜΜΕ, τις νεοφυείς και τις αναπτυσσόμενες νέες επιχειρήσεις, της ευθυγράμμισής του με τις εξελισσόμενες επιχειρηματικές και κοινωνικές ανάγκες, της ανταγωνιστικότητας, της κοινωνικής προστασίας και της απασχόλησης στην Ένωση και της συνολικής </w:t>
      </w:r>
      <w:proofErr w:type="spellStart"/>
      <w:r w:rsidRPr="00EB5D21">
        <w:rPr>
          <w:color w:val="0E101A"/>
        </w:rPr>
        <w:t>καταλληλότητάς</w:t>
      </w:r>
      <w:proofErr w:type="spellEnd"/>
      <w:r w:rsidRPr="00EB5D21">
        <w:rPr>
          <w:color w:val="0E101A"/>
        </w:rPr>
        <w:t xml:space="preserve"> του για τον επιδιωκόμενο σκοπό.</w:t>
      </w:r>
    </w:p>
    <w:p w14:paraId="2C19FF56" w14:textId="7C7CB71E" w:rsidR="00EB5D21" w:rsidRPr="00EB5D21" w:rsidRDefault="00C374C4" w:rsidP="00EA7A32">
      <w:pPr>
        <w:tabs>
          <w:tab w:val="left" w:pos="2618"/>
        </w:tabs>
        <w:spacing w:after="240"/>
      </w:pPr>
      <w:r w:rsidRPr="00EB5D21">
        <w:rPr>
          <w:color w:val="0E101A"/>
        </w:rPr>
        <w:t xml:space="preserve">Η Επιτροπή θα πρέπει κάθε 4 έτη να αξιολογεί και να υποβάλλει έκθεση στο Ευρωπαϊκό Κοινοβούλιο, στο Συμβούλιο και στην Ευρωπαϊκή Οικονομική και Κοινωνική Επιτροπή σχετικά με τις δυνητικές επιπτώσεις της νομοθετικής πράξης στην ανάπτυξη και στην οικονομική μεγέθυνση των ΜΜΕ, καθώς και τη συμμόρφωση με το ενωσιακό και το εθνικό εργατικό δίκαιο και τα πρότυπα προστασίας των εργαζομένων, και τις επιπτώσεις σε αυτά, ώστε να διασφαλίζεται η προσαρμοστικότητα στις νέες προκλήσεις. Εφόσον κρίνεται σκόπιμο, η εν λόγω έκθεση θα πρέπει να συνοδεύεται από νομοθετικές προτάσεις για αναθεώρηση. </w:t>
      </w:r>
    </w:p>
    <w:p w14:paraId="7FC588C5" w14:textId="781C296D" w:rsidR="00E365E1" w:rsidRPr="00EB5D21" w:rsidRDefault="00E365E1" w:rsidP="00EA7A32">
      <w:pPr>
        <w:spacing w:after="240"/>
      </w:pPr>
    </w:p>
    <w:sectPr w:rsidR="00E365E1" w:rsidRPr="00EB5D21" w:rsidSect="00EB5D2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DF9DA" w14:textId="77777777" w:rsidR="002E787F" w:rsidRPr="00EB5D21" w:rsidRDefault="002E787F">
      <w:r w:rsidRPr="00EB5D21">
        <w:separator/>
      </w:r>
    </w:p>
  </w:endnote>
  <w:endnote w:type="continuationSeparator" w:id="0">
    <w:p w14:paraId="5EBFB13E" w14:textId="77777777" w:rsidR="002E787F" w:rsidRPr="00EB5D21" w:rsidRDefault="002E787F">
      <w:r w:rsidRPr="00EB5D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6E0BC" w14:textId="77777777" w:rsidR="00C374C4" w:rsidRPr="00EB5D21" w:rsidRDefault="00C374C4" w:rsidP="00497209">
    <w:pPr>
      <w:pStyle w:val="EPFooter"/>
    </w:pPr>
    <w:r w:rsidRPr="00EB5D21">
      <w:t>PE</w:t>
    </w:r>
    <w:r w:rsidRPr="00EB5D21">
      <w:rPr>
        <w:rStyle w:val="HideTWBExt"/>
      </w:rPr>
      <w:t>&lt;NoPE&gt;</w:t>
    </w:r>
    <w:r w:rsidRPr="00EB5D21">
      <w:t>773.199</w:t>
    </w:r>
    <w:r w:rsidRPr="00EB5D21">
      <w:rPr>
        <w:rStyle w:val="HideTWBExt"/>
      </w:rPr>
      <w:t>&lt;/NoPE&gt;&lt;Version&gt;</w:t>
    </w:r>
    <w:r w:rsidRPr="00EB5D21">
      <w:t>v02-00</w:t>
    </w:r>
    <w:r w:rsidRPr="00EB5D21">
      <w:rPr>
        <w:rStyle w:val="HideTWBExt"/>
      </w:rPr>
      <w:t>&lt;/Version&gt;</w:t>
    </w:r>
    <w:r w:rsidRPr="00EB5D21">
      <w:tab/>
    </w:r>
    <w:r w:rsidRPr="00EB5D21">
      <w:fldChar w:fldCharType="begin"/>
    </w:r>
    <w:r w:rsidRPr="00EB5D21">
      <w:instrText xml:space="preserve"> PAGE  \* MERGEFORMAT </w:instrText>
    </w:r>
    <w:r w:rsidRPr="00EB5D21">
      <w:fldChar w:fldCharType="separate"/>
    </w:r>
    <w:r w:rsidRPr="00EB5D21">
      <w:rPr>
        <w:noProof/>
      </w:rPr>
      <w:t>1</w:t>
    </w:r>
    <w:r w:rsidRPr="00EB5D21">
      <w:fldChar w:fldCharType="end"/>
    </w:r>
    <w:r w:rsidRPr="00EB5D21">
      <w:t>/</w:t>
    </w:r>
    <w:fldSimple w:instr=" NUMPAGES  \* MERGEFORMAT ">
      <w:r w:rsidRPr="00EB5D21">
        <w:rPr>
          <w:noProof/>
        </w:rPr>
        <w:t>1</w:t>
      </w:r>
    </w:fldSimple>
    <w:r w:rsidRPr="00EB5D21">
      <w:tab/>
    </w:r>
    <w:r w:rsidRPr="00EB5D21">
      <w:rPr>
        <w:rStyle w:val="HideTWBExt"/>
      </w:rPr>
      <w:t>&lt;PathFdR&gt;</w:t>
    </w:r>
    <w:r w:rsidRPr="00EB5D21">
      <w:t>RR\1334435EL.docx</w:t>
    </w:r>
    <w:r w:rsidRPr="00EB5D21">
      <w:rPr>
        <w:rStyle w:val="HideTWBExt"/>
      </w:rPr>
      <w:t>&lt;/PathFdR&gt;</w:t>
    </w:r>
  </w:p>
  <w:p w14:paraId="7A887D6F" w14:textId="77777777" w:rsidR="00C374C4" w:rsidRPr="00EB5D21" w:rsidRDefault="00C374C4" w:rsidP="00497209">
    <w:pPr>
      <w:pStyle w:val="EPFooter2"/>
    </w:pPr>
    <w:r w:rsidRPr="00EB5D21">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69B79" w14:textId="77777777" w:rsidR="00C374C4" w:rsidRPr="00EB5D21" w:rsidRDefault="00C374C4" w:rsidP="00497209">
    <w:pPr>
      <w:pStyle w:val="EPFooter"/>
    </w:pPr>
    <w:r w:rsidRPr="00EB5D21">
      <w:rPr>
        <w:rStyle w:val="HideTWBExt"/>
      </w:rPr>
      <w:t>&lt;PathFdR&gt;</w:t>
    </w:r>
    <w:r w:rsidRPr="00EB5D21">
      <w:t>RR\1334435EL.docx</w:t>
    </w:r>
    <w:r w:rsidRPr="00EB5D21">
      <w:rPr>
        <w:rStyle w:val="HideTWBExt"/>
      </w:rPr>
      <w:t>&lt;/PathFdR&gt;</w:t>
    </w:r>
    <w:r w:rsidRPr="00EB5D21">
      <w:tab/>
    </w:r>
    <w:r w:rsidRPr="00EB5D21">
      <w:tab/>
      <w:t>PE</w:t>
    </w:r>
    <w:r w:rsidRPr="00EB5D21">
      <w:rPr>
        <w:rStyle w:val="HideTWBExt"/>
      </w:rPr>
      <w:t>&lt;NoPE&gt;</w:t>
    </w:r>
    <w:r w:rsidRPr="00EB5D21">
      <w:t>773.199</w:t>
    </w:r>
    <w:r w:rsidRPr="00EB5D21">
      <w:rPr>
        <w:rStyle w:val="HideTWBExt"/>
      </w:rPr>
      <w:t>&lt;/NoPE&gt;&lt;Version&gt;</w:t>
    </w:r>
    <w:r w:rsidRPr="00EB5D21">
      <w:t>v02-00</w:t>
    </w:r>
    <w:r w:rsidRPr="00EB5D21">
      <w:rPr>
        <w:rStyle w:val="HideTWBExt"/>
      </w:rPr>
      <w:t>&lt;/Version&gt;</w:t>
    </w:r>
  </w:p>
  <w:p w14:paraId="00871DC5" w14:textId="77777777" w:rsidR="00C374C4" w:rsidRPr="00EB5D21" w:rsidRDefault="00C374C4" w:rsidP="00497209">
    <w:pPr>
      <w:pStyle w:val="EPFooter2"/>
    </w:pPr>
    <w:r w:rsidRPr="00EB5D21">
      <w:t>EL</w:t>
    </w:r>
    <w:r w:rsidRPr="00EB5D21">
      <w:tab/>
    </w:r>
    <w:r w:rsidRPr="00EB5D21">
      <w:rPr>
        <w:b w:val="0"/>
        <w:i/>
        <w:color w:val="C0C0C0"/>
        <w:sz w:val="22"/>
      </w:rPr>
      <w:t>Ενωμένη στην πολυμορφία</w:t>
    </w:r>
    <w:r w:rsidRPr="00EB5D21">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ABA6C" w14:textId="77777777" w:rsidR="00064002" w:rsidRPr="00EB5D2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9F56" w14:textId="77777777" w:rsidR="00064002" w:rsidRPr="00EB5D2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28EA" w14:textId="77777777" w:rsidR="00064002" w:rsidRPr="00EB5D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80622" w14:textId="77777777" w:rsidR="002E787F" w:rsidRPr="00EB5D21" w:rsidRDefault="002E787F">
      <w:r w:rsidRPr="00EB5D21">
        <w:separator/>
      </w:r>
    </w:p>
  </w:footnote>
  <w:footnote w:type="continuationSeparator" w:id="0">
    <w:p w14:paraId="7943FD5F" w14:textId="77777777" w:rsidR="002E787F" w:rsidRPr="00EB5D21" w:rsidRDefault="002E787F">
      <w:r w:rsidRPr="00EB5D21">
        <w:continuationSeparator/>
      </w:r>
    </w:p>
  </w:footnote>
  <w:footnote w:id="1">
    <w:p w14:paraId="13C5EC29" w14:textId="3605BA1C" w:rsidR="00C374C4" w:rsidRPr="00EB5D21" w:rsidRDefault="00C374C4" w:rsidP="00EB5D21">
      <w:pPr>
        <w:pStyle w:val="FootnoteText"/>
        <w:ind w:left="567" w:hanging="567"/>
        <w:rPr>
          <w:sz w:val="24"/>
          <w:szCs w:val="24"/>
          <w:lang w:val="el-GR"/>
        </w:rPr>
      </w:pPr>
      <w:r w:rsidRPr="00EB5D21">
        <w:rPr>
          <w:rStyle w:val="FootnoteReference"/>
          <w:sz w:val="24"/>
          <w:szCs w:val="24"/>
          <w:lang w:val="el-GR"/>
        </w:rPr>
        <w:footnoteRef/>
      </w:r>
      <w:r w:rsidR="00EB5D21" w:rsidRPr="00EB5D21">
        <w:rPr>
          <w:sz w:val="24"/>
          <w:lang w:val="el-GR"/>
        </w:rPr>
        <w:t xml:space="preserve"> </w:t>
      </w:r>
      <w:r w:rsidR="00EB5D21" w:rsidRPr="00EB5D21">
        <w:rPr>
          <w:sz w:val="24"/>
          <w:lang w:val="el-GR"/>
        </w:rPr>
        <w:tab/>
      </w:r>
      <w:r w:rsidRPr="00EB5D21">
        <w:rPr>
          <w:sz w:val="24"/>
          <w:lang w:val="el-GR"/>
        </w:rPr>
        <w:t>ΕΕ L 177 της 4.7.2008, σ. 6, ELI: </w:t>
      </w:r>
      <w:hyperlink r:id="rId1" w:tooltip="Πρόσβαση στο έγγραφο μέσω URI τύπου ELI." w:history="1">
        <w:r w:rsidRPr="00EB5D21">
          <w:rPr>
            <w:rStyle w:val="Hyperlink"/>
            <w:sz w:val="24"/>
            <w:lang w:val="el-GR"/>
          </w:rPr>
          <w:t>http://data.euro</w:t>
        </w:r>
        <w:r w:rsidRPr="00EB5D21">
          <w:rPr>
            <w:rStyle w:val="Hyperlink"/>
            <w:sz w:val="24"/>
            <w:lang w:val="el-GR"/>
          </w:rPr>
          <w:t>p</w:t>
        </w:r>
        <w:r w:rsidRPr="00EB5D21">
          <w:rPr>
            <w:rStyle w:val="Hyperlink"/>
            <w:sz w:val="24"/>
            <w:lang w:val="el-GR"/>
          </w:rPr>
          <w:t>a.eu/eli/reg/2008/593/oj</w:t>
        </w:r>
      </w:hyperlink>
      <w:r w:rsidRPr="00EB5D21">
        <w:rPr>
          <w:sz w:val="24"/>
          <w:lang w:val="el-GR"/>
        </w:rPr>
        <w:t>.</w:t>
      </w:r>
    </w:p>
  </w:footnote>
  <w:footnote w:id="2">
    <w:p w14:paraId="2B019738" w14:textId="33F2AEFB" w:rsidR="00C374C4" w:rsidRPr="00EB5D21" w:rsidRDefault="00C374C4" w:rsidP="00EB5D21">
      <w:pPr>
        <w:ind w:left="567" w:hanging="567"/>
        <w:rPr>
          <w:iCs/>
          <w:szCs w:val="24"/>
        </w:rPr>
      </w:pPr>
      <w:r w:rsidRPr="00EB5D21">
        <w:rPr>
          <w:rStyle w:val="FootnoteReference"/>
          <w:szCs w:val="24"/>
        </w:rPr>
        <w:footnoteRef/>
      </w:r>
      <w:r w:rsidR="00EB5D21" w:rsidRPr="00EB5D21">
        <w:t xml:space="preserve"> </w:t>
      </w:r>
      <w:r w:rsidR="00EB5D21" w:rsidRPr="00EB5D21">
        <w:tab/>
      </w:r>
      <w:r w:rsidRPr="00EB5D21">
        <w:t xml:space="preserve">ΕΕ L 351 της 20.12.2012, σ. 1, ELI: </w:t>
      </w:r>
      <w:hyperlink r:id="rId2" w:history="1">
        <w:r w:rsidRPr="00EB5D21">
          <w:rPr>
            <w:rStyle w:val="Hyperlink"/>
          </w:rPr>
          <w:t>http://dat</w:t>
        </w:r>
        <w:r w:rsidRPr="00EB5D21">
          <w:rPr>
            <w:rStyle w:val="Hyperlink"/>
          </w:rPr>
          <w:t>a</w:t>
        </w:r>
        <w:r w:rsidRPr="00EB5D21">
          <w:rPr>
            <w:rStyle w:val="Hyperlink"/>
          </w:rPr>
          <w:t>.europa.eu/eli/reg/2012/1215/oj</w:t>
        </w:r>
      </w:hyperlink>
      <w:r w:rsidRPr="00EB5D21">
        <w:t>.</w:t>
      </w:r>
    </w:p>
  </w:footnote>
  <w:footnote w:id="3">
    <w:p w14:paraId="77130D44" w14:textId="204D3BBD" w:rsidR="00C374C4" w:rsidRPr="00EB5D21" w:rsidRDefault="00C374C4" w:rsidP="00EB5D21">
      <w:pPr>
        <w:pStyle w:val="FootnoteText"/>
        <w:ind w:left="567" w:hanging="567"/>
        <w:rPr>
          <w:sz w:val="24"/>
          <w:szCs w:val="24"/>
          <w:lang w:val="el-GR"/>
        </w:rPr>
      </w:pPr>
      <w:r w:rsidRPr="00EB5D21">
        <w:rPr>
          <w:rStyle w:val="FootnoteReference"/>
          <w:sz w:val="24"/>
          <w:szCs w:val="24"/>
          <w:lang w:val="el-GR"/>
        </w:rPr>
        <w:footnoteRef/>
      </w:r>
      <w:r w:rsidR="00EB5D21" w:rsidRPr="00EB5D21">
        <w:rPr>
          <w:sz w:val="24"/>
          <w:lang w:val="el-GR"/>
        </w:rPr>
        <w:t xml:space="preserve"> </w:t>
      </w:r>
      <w:r w:rsidR="00EB5D21" w:rsidRPr="00EB5D21">
        <w:rPr>
          <w:sz w:val="24"/>
          <w:lang w:val="el-GR"/>
        </w:rPr>
        <w:tab/>
      </w:r>
      <w:r w:rsidRPr="00EB5D21">
        <w:rPr>
          <w:sz w:val="24"/>
          <w:lang w:val="el-GR"/>
        </w:rPr>
        <w:t>ΕΕ L 257</w:t>
      </w:r>
      <w:r w:rsidR="001B4748">
        <w:rPr>
          <w:sz w:val="24"/>
          <w:lang w:val="el-GR"/>
        </w:rPr>
        <w:t xml:space="preserve"> </w:t>
      </w:r>
      <w:r w:rsidRPr="00EB5D21">
        <w:rPr>
          <w:sz w:val="24"/>
          <w:lang w:val="el-GR"/>
        </w:rPr>
        <w:t>της 28</w:t>
      </w:r>
      <w:r w:rsidR="00C54320">
        <w:rPr>
          <w:sz w:val="24"/>
          <w:lang w:val="el-GR"/>
        </w:rPr>
        <w:t>.</w:t>
      </w:r>
      <w:r w:rsidRPr="00EB5D21">
        <w:rPr>
          <w:sz w:val="24"/>
          <w:lang w:val="el-GR"/>
        </w:rPr>
        <w:t>8</w:t>
      </w:r>
      <w:r w:rsidR="00C54320">
        <w:rPr>
          <w:sz w:val="24"/>
          <w:lang w:val="el-GR"/>
        </w:rPr>
        <w:t>.</w:t>
      </w:r>
      <w:r w:rsidRPr="00EB5D21">
        <w:rPr>
          <w:sz w:val="24"/>
          <w:lang w:val="el-GR"/>
        </w:rPr>
        <w:t>2014, σ. 73, ELI: </w:t>
      </w:r>
      <w:hyperlink r:id="rId3" w:tooltip="Πρόσβαση στο έγγραφο μέσω URI τύπου ELI." w:history="1">
        <w:r w:rsidRPr="00EB5D21">
          <w:rPr>
            <w:rStyle w:val="Hyperlink"/>
            <w:sz w:val="24"/>
            <w:lang w:val="el-GR"/>
          </w:rPr>
          <w:t>http://data</w:t>
        </w:r>
        <w:r w:rsidRPr="00EB5D21">
          <w:rPr>
            <w:rStyle w:val="Hyperlink"/>
            <w:sz w:val="24"/>
            <w:lang w:val="el-GR"/>
          </w:rPr>
          <w:t>.</w:t>
        </w:r>
        <w:r w:rsidRPr="00EB5D21">
          <w:rPr>
            <w:rStyle w:val="Hyperlink"/>
            <w:sz w:val="24"/>
            <w:lang w:val="el-GR"/>
          </w:rPr>
          <w:t>europa.eu/eli/reg/2014/910/oj</w:t>
        </w:r>
      </w:hyperlink>
      <w:r w:rsidRPr="00EB5D21">
        <w:rPr>
          <w:sz w:val="24"/>
          <w:lang w:val="el-GR"/>
        </w:rPr>
        <w:t>.</w:t>
      </w:r>
    </w:p>
  </w:footnote>
  <w:footnote w:id="4">
    <w:p w14:paraId="24C0413D" w14:textId="7C0F2BEF" w:rsidR="00C374C4" w:rsidRPr="00EB5D21" w:rsidRDefault="00C374C4" w:rsidP="00EB5D21">
      <w:pPr>
        <w:pStyle w:val="FootnoteText"/>
        <w:ind w:left="567" w:hanging="567"/>
        <w:rPr>
          <w:sz w:val="24"/>
          <w:szCs w:val="24"/>
          <w:lang w:val="el-GR"/>
        </w:rPr>
      </w:pPr>
      <w:r w:rsidRPr="00EB5D21">
        <w:rPr>
          <w:rStyle w:val="FootnoteReference"/>
          <w:sz w:val="24"/>
          <w:szCs w:val="24"/>
          <w:lang w:val="el-GR"/>
        </w:rPr>
        <w:footnoteRef/>
      </w:r>
      <w:r w:rsidR="00EB5D21" w:rsidRPr="00EB5D21">
        <w:rPr>
          <w:sz w:val="24"/>
          <w:lang w:val="el-GR"/>
        </w:rPr>
        <w:t xml:space="preserve"> </w:t>
      </w:r>
      <w:r w:rsidR="00EB5D21" w:rsidRPr="00EB5D21">
        <w:rPr>
          <w:sz w:val="24"/>
          <w:lang w:val="el-GR"/>
        </w:rPr>
        <w:tab/>
      </w:r>
      <w:r w:rsidRPr="00EB5D21">
        <w:rPr>
          <w:sz w:val="24"/>
          <w:lang w:val="el-GR"/>
        </w:rPr>
        <w:t xml:space="preserve">ΕΕ L 258 της 1.10.2009, σ. </w:t>
      </w:r>
      <w:r w:rsidRPr="00EB5D21">
        <w:rPr>
          <w:sz w:val="24"/>
          <w:lang w:val="el-GR"/>
        </w:rPr>
        <w:t>20, ELI: </w:t>
      </w:r>
      <w:hyperlink r:id="rId4" w:tooltip="Πρόσβαση στο έγγραφο μέσω URI τύπου ELI." w:history="1">
        <w:r w:rsidRPr="00EB5D21">
          <w:rPr>
            <w:rStyle w:val="Hyperlink"/>
            <w:sz w:val="24"/>
            <w:lang w:val="el-GR"/>
          </w:rPr>
          <w:t>http://data</w:t>
        </w:r>
        <w:r w:rsidRPr="00EB5D21">
          <w:rPr>
            <w:rStyle w:val="Hyperlink"/>
            <w:sz w:val="24"/>
            <w:lang w:val="el-GR"/>
          </w:rPr>
          <w:t>.</w:t>
        </w:r>
        <w:r w:rsidRPr="00EB5D21">
          <w:rPr>
            <w:rStyle w:val="Hyperlink"/>
            <w:sz w:val="24"/>
            <w:lang w:val="el-GR"/>
          </w:rPr>
          <w:t>europa.eu/eli/dir/2009/102/oj</w:t>
        </w:r>
      </w:hyperlink>
      <w:r w:rsidRPr="00EB5D21">
        <w:rPr>
          <w:sz w:val="24"/>
          <w:lang w:val="el-GR"/>
        </w:rPr>
        <w:t>.</w:t>
      </w:r>
    </w:p>
  </w:footnote>
  <w:footnote w:id="5">
    <w:p w14:paraId="22ADF3A1" w14:textId="77777777" w:rsidR="00097354" w:rsidRPr="00EB5D21" w:rsidRDefault="00097354" w:rsidP="00097354">
      <w:pPr>
        <w:pStyle w:val="FootnoteText"/>
        <w:ind w:left="567" w:hanging="567"/>
        <w:rPr>
          <w:sz w:val="24"/>
          <w:szCs w:val="24"/>
          <w:lang w:val="el-GR"/>
        </w:rPr>
      </w:pPr>
      <w:r w:rsidRPr="00EB5D21">
        <w:rPr>
          <w:rStyle w:val="FootnoteReference"/>
          <w:sz w:val="24"/>
          <w:szCs w:val="24"/>
          <w:lang w:val="el-GR"/>
        </w:rPr>
        <w:footnoteRef/>
      </w:r>
      <w:r w:rsidRPr="00EB5D21">
        <w:rPr>
          <w:sz w:val="24"/>
          <w:lang w:val="el-GR"/>
        </w:rPr>
        <w:t xml:space="preserve"> </w:t>
      </w:r>
      <w:r w:rsidRPr="00EB5D21">
        <w:rPr>
          <w:sz w:val="24"/>
          <w:lang w:val="el-GR"/>
        </w:rPr>
        <w:tab/>
        <w:t xml:space="preserve">ΕΕ L 169 της 30.6.2017, σ. </w:t>
      </w:r>
      <w:r w:rsidRPr="00EB5D21">
        <w:rPr>
          <w:sz w:val="24"/>
          <w:lang w:val="el-GR"/>
        </w:rPr>
        <w:t xml:space="preserve">46, ELI: </w:t>
      </w:r>
      <w:hyperlink r:id="rId5" w:history="1">
        <w:r w:rsidRPr="00EB5D21">
          <w:rPr>
            <w:rStyle w:val="Hyperlink"/>
            <w:sz w:val="24"/>
            <w:lang w:val="el-GR"/>
          </w:rPr>
          <w:t>http://data.eur</w:t>
        </w:r>
        <w:r w:rsidRPr="00EB5D21">
          <w:rPr>
            <w:rStyle w:val="Hyperlink"/>
            <w:sz w:val="24"/>
            <w:lang w:val="el-GR"/>
          </w:rPr>
          <w:t>o</w:t>
        </w:r>
        <w:r w:rsidRPr="00EB5D21">
          <w:rPr>
            <w:rStyle w:val="Hyperlink"/>
            <w:sz w:val="24"/>
            <w:lang w:val="el-GR"/>
          </w:rPr>
          <w:t>pa.eu/eli/dir/2017/1132/oj</w:t>
        </w:r>
      </w:hyperlink>
      <w:r w:rsidRPr="00EB5D21">
        <w:rPr>
          <w:sz w:val="24"/>
          <w:lang w:val="el-GR"/>
        </w:rPr>
        <w:t>.</w:t>
      </w:r>
    </w:p>
  </w:footnote>
  <w:footnote w:id="6">
    <w:p w14:paraId="7E938125" w14:textId="64879849" w:rsidR="00C374C4" w:rsidRPr="00EB5D21" w:rsidRDefault="00C374C4" w:rsidP="00EB5D21">
      <w:pPr>
        <w:pStyle w:val="FootnoteText"/>
        <w:ind w:left="567" w:hanging="567"/>
        <w:rPr>
          <w:sz w:val="24"/>
          <w:szCs w:val="24"/>
          <w:lang w:val="el-GR"/>
        </w:rPr>
      </w:pPr>
      <w:r w:rsidRPr="00EB5D21">
        <w:rPr>
          <w:rStyle w:val="FootnoteReference"/>
          <w:sz w:val="24"/>
          <w:szCs w:val="24"/>
          <w:lang w:val="el-GR"/>
        </w:rPr>
        <w:footnoteRef/>
      </w:r>
      <w:r w:rsidR="00EB5D21" w:rsidRPr="00EB5D21">
        <w:rPr>
          <w:sz w:val="24"/>
          <w:lang w:val="el-GR"/>
        </w:rPr>
        <w:t xml:space="preserve"> </w:t>
      </w:r>
      <w:r w:rsidR="00EB5D21" w:rsidRPr="00EB5D21">
        <w:rPr>
          <w:sz w:val="24"/>
          <w:lang w:val="el-GR"/>
        </w:rPr>
        <w:tab/>
      </w:r>
      <w:r w:rsidRPr="00EB5D21">
        <w:rPr>
          <w:sz w:val="24"/>
          <w:lang w:val="el-GR"/>
        </w:rPr>
        <w:t xml:space="preserve">ΕΕ L 321 της 12.12.2019, σ. </w:t>
      </w:r>
      <w:r w:rsidRPr="00EB5D21">
        <w:rPr>
          <w:sz w:val="24"/>
          <w:lang w:val="el-GR"/>
        </w:rPr>
        <w:t>1, ELI: </w:t>
      </w:r>
      <w:hyperlink r:id="rId6" w:tooltip="Πρόσβαση στο έγγραφο μέσω URI τύπου ELI." w:history="1">
        <w:r w:rsidRPr="00EB5D21">
          <w:rPr>
            <w:rStyle w:val="Hyperlink"/>
            <w:sz w:val="24"/>
            <w:lang w:val="el-GR"/>
          </w:rPr>
          <w:t>http://data.eur</w:t>
        </w:r>
        <w:r w:rsidRPr="00EB5D21">
          <w:rPr>
            <w:rStyle w:val="Hyperlink"/>
            <w:sz w:val="24"/>
            <w:lang w:val="el-GR"/>
          </w:rPr>
          <w:t>o</w:t>
        </w:r>
        <w:r w:rsidRPr="00EB5D21">
          <w:rPr>
            <w:rStyle w:val="Hyperlink"/>
            <w:sz w:val="24"/>
            <w:lang w:val="el-GR"/>
          </w:rPr>
          <w:t>pa.eu/eli/dir/2019/2121/oj</w:t>
        </w:r>
      </w:hyperlink>
      <w:r w:rsidRPr="00EB5D21">
        <w:rPr>
          <w:sz w:val="24"/>
          <w:lang w:val="el-GR"/>
        </w:rPr>
        <w:t>.</w:t>
      </w:r>
    </w:p>
  </w:footnote>
  <w:footnote w:id="7">
    <w:p w14:paraId="7BCE6D49" w14:textId="7FB15D7B" w:rsidR="00C374C4" w:rsidRPr="00EB5D21" w:rsidRDefault="00C374C4" w:rsidP="00EB5D21">
      <w:pPr>
        <w:pStyle w:val="FootnoteText"/>
        <w:ind w:left="567" w:hanging="567"/>
        <w:rPr>
          <w:sz w:val="24"/>
          <w:szCs w:val="24"/>
          <w:lang w:val="el-GR"/>
        </w:rPr>
      </w:pPr>
      <w:r w:rsidRPr="00EB5D21">
        <w:rPr>
          <w:rStyle w:val="FootnoteReference"/>
          <w:sz w:val="24"/>
          <w:szCs w:val="24"/>
          <w:lang w:val="el-GR"/>
        </w:rPr>
        <w:footnoteRef/>
      </w:r>
      <w:r w:rsidR="00EB5D21" w:rsidRPr="00EB5D21">
        <w:rPr>
          <w:sz w:val="24"/>
          <w:lang w:val="el-GR"/>
        </w:rPr>
        <w:t xml:space="preserve"> </w:t>
      </w:r>
      <w:r w:rsidR="00EB5D21" w:rsidRPr="00EB5D21">
        <w:rPr>
          <w:sz w:val="24"/>
          <w:lang w:val="el-GR"/>
        </w:rPr>
        <w:tab/>
      </w:r>
      <w:r w:rsidRPr="00EB5D21">
        <w:rPr>
          <w:sz w:val="24"/>
          <w:lang w:val="el-GR"/>
        </w:rPr>
        <w:t>ΕΕ L, 2025/25, 10.1.2025, ELI: </w:t>
      </w:r>
      <w:hyperlink r:id="rId7" w:tgtFrame="_blank" w:tooltip="Πρόσβαση στο έγγραφο μέσω URI τύπου ELI." w:history="1">
        <w:r w:rsidRPr="00EB5D21">
          <w:rPr>
            <w:rStyle w:val="Hyperlink"/>
            <w:sz w:val="24"/>
            <w:lang w:val="el-GR"/>
          </w:rPr>
          <w:t>http://data.euro</w:t>
        </w:r>
        <w:r w:rsidRPr="00EB5D21">
          <w:rPr>
            <w:rStyle w:val="Hyperlink"/>
            <w:sz w:val="24"/>
            <w:lang w:val="el-GR"/>
          </w:rPr>
          <w:t>p</w:t>
        </w:r>
        <w:r w:rsidRPr="00EB5D21">
          <w:rPr>
            <w:rStyle w:val="Hyperlink"/>
            <w:sz w:val="24"/>
            <w:lang w:val="el-GR"/>
          </w:rPr>
          <w:t>a.eu/eli/dir/2025/25/oj</w:t>
        </w:r>
      </w:hyperlink>
      <w:r w:rsidRPr="00EB5D21">
        <w:rPr>
          <w:rStyle w:val="Hyperlink"/>
          <w:sz w:val="24"/>
          <w:lang w:val="el-GR"/>
        </w:rPr>
        <w:t>.</w:t>
      </w:r>
    </w:p>
  </w:footnote>
  <w:footnote w:id="8">
    <w:p w14:paraId="39438BAC" w14:textId="6F9B39FD" w:rsidR="00C374C4" w:rsidRPr="00EB5D21" w:rsidRDefault="00C374C4" w:rsidP="00EB5D21">
      <w:pPr>
        <w:pStyle w:val="FootnoteText"/>
        <w:ind w:left="567" w:hanging="567"/>
        <w:rPr>
          <w:sz w:val="24"/>
          <w:szCs w:val="24"/>
          <w:lang w:val="el-GR"/>
        </w:rPr>
      </w:pPr>
      <w:r w:rsidRPr="00EB5D21">
        <w:rPr>
          <w:rStyle w:val="FootnoteReference"/>
          <w:sz w:val="24"/>
          <w:lang w:val="el-GR"/>
        </w:rPr>
        <w:footnoteRef/>
      </w:r>
      <w:r w:rsidR="00EB5D21" w:rsidRPr="00EB5D21">
        <w:rPr>
          <w:sz w:val="24"/>
          <w:lang w:val="el-GR"/>
        </w:rPr>
        <w:t xml:space="preserve"> </w:t>
      </w:r>
      <w:r w:rsidR="00EB5D21" w:rsidRPr="00EB5D21">
        <w:rPr>
          <w:sz w:val="24"/>
          <w:lang w:val="el-GR"/>
        </w:rPr>
        <w:tab/>
      </w:r>
      <w:r w:rsidRPr="00EB5D21">
        <w:rPr>
          <w:sz w:val="24"/>
          <w:lang w:val="el-GR"/>
        </w:rPr>
        <w:t>ΕΕ L 294</w:t>
      </w:r>
      <w:r w:rsidR="00C54320">
        <w:rPr>
          <w:sz w:val="24"/>
          <w:lang w:val="el-GR"/>
        </w:rPr>
        <w:t xml:space="preserve"> της</w:t>
      </w:r>
      <w:r w:rsidRPr="00EB5D21">
        <w:rPr>
          <w:sz w:val="24"/>
          <w:lang w:val="el-GR"/>
        </w:rPr>
        <w:t xml:space="preserve"> 10.11.2001, σ. </w:t>
      </w:r>
      <w:r w:rsidRPr="00EB5D21">
        <w:rPr>
          <w:sz w:val="24"/>
          <w:lang w:val="el-GR"/>
        </w:rPr>
        <w:t>22, ELI: </w:t>
      </w:r>
      <w:hyperlink r:id="rId8" w:history="1">
        <w:r w:rsidRPr="00EB5D21">
          <w:rPr>
            <w:rStyle w:val="Hyperlink"/>
            <w:sz w:val="24"/>
            <w:lang w:val="el-GR"/>
          </w:rPr>
          <w:t>http://data.europ</w:t>
        </w:r>
        <w:r w:rsidRPr="00EB5D21">
          <w:rPr>
            <w:rStyle w:val="Hyperlink"/>
            <w:sz w:val="24"/>
            <w:lang w:val="el-GR"/>
          </w:rPr>
          <w:t>a</w:t>
        </w:r>
        <w:r w:rsidRPr="00EB5D21">
          <w:rPr>
            <w:rStyle w:val="Hyperlink"/>
            <w:sz w:val="24"/>
            <w:lang w:val="el-GR"/>
          </w:rPr>
          <w:t>.eu/eli/dir/2001/86/oj</w:t>
        </w:r>
      </w:hyperlink>
      <w:r w:rsidRPr="00EB5D2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4F5F1" w14:textId="77777777" w:rsidR="00064002" w:rsidRPr="00EB5D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9E2E6" w14:textId="77777777" w:rsidR="00064002" w:rsidRPr="00EB5D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A9FC4" w14:textId="77777777" w:rsidR="00064002" w:rsidRPr="00EB5D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D7832"/>
    <w:multiLevelType w:val="hybridMultilevel"/>
    <w:tmpl w:val="2BFE22BC"/>
    <w:lvl w:ilvl="0" w:tplc="23EA458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90E38F6"/>
    <w:multiLevelType w:val="hybridMultilevel"/>
    <w:tmpl w:val="C40ED0CC"/>
    <w:lvl w:ilvl="0" w:tplc="23EA458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90779A"/>
    <w:multiLevelType w:val="hybridMultilevel"/>
    <w:tmpl w:val="397CD63A"/>
    <w:lvl w:ilvl="0" w:tplc="23EA458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9C3DC3"/>
    <w:multiLevelType w:val="hybridMultilevel"/>
    <w:tmpl w:val="69A8DA4A"/>
    <w:lvl w:ilvl="0" w:tplc="23EA458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7A5309B7"/>
    <w:multiLevelType w:val="hybridMultilevel"/>
    <w:tmpl w:val="C5D8A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5621993">
    <w:abstractNumId w:val="9"/>
  </w:num>
  <w:num w:numId="2" w16cid:durableId="1021515760">
    <w:abstractNumId w:val="9"/>
  </w:num>
  <w:num w:numId="3" w16cid:durableId="1745179612">
    <w:abstractNumId w:val="7"/>
  </w:num>
  <w:num w:numId="4" w16cid:durableId="1362903843">
    <w:abstractNumId w:val="7"/>
  </w:num>
  <w:num w:numId="5" w16cid:durableId="662245865">
    <w:abstractNumId w:val="6"/>
  </w:num>
  <w:num w:numId="6" w16cid:durableId="181625427">
    <w:abstractNumId w:val="6"/>
  </w:num>
  <w:num w:numId="7" w16cid:durableId="1812867976">
    <w:abstractNumId w:val="5"/>
  </w:num>
  <w:num w:numId="8" w16cid:durableId="322975536">
    <w:abstractNumId w:val="5"/>
  </w:num>
  <w:num w:numId="9" w16cid:durableId="142161768">
    <w:abstractNumId w:val="4"/>
  </w:num>
  <w:num w:numId="10" w16cid:durableId="649209248">
    <w:abstractNumId w:val="4"/>
  </w:num>
  <w:num w:numId="11" w16cid:durableId="517815913">
    <w:abstractNumId w:val="8"/>
  </w:num>
  <w:num w:numId="12" w16cid:durableId="595940413">
    <w:abstractNumId w:val="8"/>
  </w:num>
  <w:num w:numId="13" w16cid:durableId="121964514">
    <w:abstractNumId w:val="3"/>
  </w:num>
  <w:num w:numId="14" w16cid:durableId="913053555">
    <w:abstractNumId w:val="3"/>
  </w:num>
  <w:num w:numId="15" w16cid:durableId="351802548">
    <w:abstractNumId w:val="2"/>
  </w:num>
  <w:num w:numId="16" w16cid:durableId="632178267">
    <w:abstractNumId w:val="2"/>
  </w:num>
  <w:num w:numId="17" w16cid:durableId="1838494057">
    <w:abstractNumId w:val="1"/>
  </w:num>
  <w:num w:numId="18" w16cid:durableId="1187598759">
    <w:abstractNumId w:val="1"/>
  </w:num>
  <w:num w:numId="19" w16cid:durableId="660280659">
    <w:abstractNumId w:val="0"/>
  </w:num>
  <w:num w:numId="20" w16cid:durableId="520556273">
    <w:abstractNumId w:val="0"/>
  </w:num>
  <w:num w:numId="21" w16cid:durableId="1491292134">
    <w:abstractNumId w:val="9"/>
  </w:num>
  <w:num w:numId="22" w16cid:durableId="306473686">
    <w:abstractNumId w:val="7"/>
  </w:num>
  <w:num w:numId="23" w16cid:durableId="1410694984">
    <w:abstractNumId w:val="6"/>
  </w:num>
  <w:num w:numId="24" w16cid:durableId="1066760213">
    <w:abstractNumId w:val="5"/>
  </w:num>
  <w:num w:numId="25" w16cid:durableId="994451352">
    <w:abstractNumId w:val="4"/>
  </w:num>
  <w:num w:numId="26" w16cid:durableId="1555118707">
    <w:abstractNumId w:val="8"/>
  </w:num>
  <w:num w:numId="27" w16cid:durableId="1284382775">
    <w:abstractNumId w:val="3"/>
  </w:num>
  <w:num w:numId="28" w16cid:durableId="661857247">
    <w:abstractNumId w:val="2"/>
  </w:num>
  <w:num w:numId="29" w16cid:durableId="793982527">
    <w:abstractNumId w:val="1"/>
  </w:num>
  <w:num w:numId="30" w16cid:durableId="1393576636">
    <w:abstractNumId w:val="0"/>
  </w:num>
  <w:num w:numId="31" w16cid:durableId="253516647">
    <w:abstractNumId w:val="9"/>
  </w:num>
  <w:num w:numId="32" w16cid:durableId="122622341">
    <w:abstractNumId w:val="7"/>
  </w:num>
  <w:num w:numId="33" w16cid:durableId="1473213374">
    <w:abstractNumId w:val="6"/>
  </w:num>
  <w:num w:numId="34" w16cid:durableId="1400908299">
    <w:abstractNumId w:val="5"/>
  </w:num>
  <w:num w:numId="35" w16cid:durableId="296183056">
    <w:abstractNumId w:val="4"/>
  </w:num>
  <w:num w:numId="36" w16cid:durableId="186145164">
    <w:abstractNumId w:val="8"/>
  </w:num>
  <w:num w:numId="37" w16cid:durableId="1673794709">
    <w:abstractNumId w:val="3"/>
  </w:num>
  <w:num w:numId="38" w16cid:durableId="1055272326">
    <w:abstractNumId w:val="2"/>
  </w:num>
  <w:num w:numId="39" w16cid:durableId="812258787">
    <w:abstractNumId w:val="1"/>
  </w:num>
  <w:num w:numId="40" w16cid:durableId="392776436">
    <w:abstractNumId w:val="0"/>
  </w:num>
  <w:num w:numId="41" w16cid:durableId="1851605277">
    <w:abstractNumId w:val="11"/>
  </w:num>
  <w:num w:numId="42" w16cid:durableId="795755589">
    <w:abstractNumId w:val="11"/>
  </w:num>
  <w:num w:numId="43" w16cid:durableId="1491750724">
    <w:abstractNumId w:val="11"/>
  </w:num>
  <w:num w:numId="44" w16cid:durableId="1324551526">
    <w:abstractNumId w:val="15"/>
  </w:num>
  <w:num w:numId="45" w16cid:durableId="1179538817">
    <w:abstractNumId w:val="16"/>
  </w:num>
  <w:num w:numId="46" w16cid:durableId="1032850022">
    <w:abstractNumId w:val="10"/>
  </w:num>
  <w:num w:numId="47" w16cid:durableId="2000039586">
    <w:abstractNumId w:val="13"/>
  </w:num>
  <w:num w:numId="48" w16cid:durableId="1297877063">
    <w:abstractNumId w:val="14"/>
  </w:num>
  <w:num w:numId="49" w16cid:durableId="11054637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EL"/>
    <w:docVar w:name="dvnumam" w:val="0"/>
    <w:docVar w:name="dvpe" w:val="773.199"/>
    <w:docVar w:name="dvrapporteur" w:val="Εισηγητής: "/>
    <w:docVar w:name="dvtitre" w:val="Ψήφισμα του Ευρωπαϊκού Κοινοβουλίου της ... 2026 που περιέχει συστάσεις προς την Επιτροπή σχετικά με το 28ο καθεστώς: ένα νέο νομικό πλαίσιο για καινοτόμες επιχειρήσεις(2025/2079(INL))"/>
  </w:docVars>
  <w:rsids>
    <w:rsidRoot w:val="002E787F"/>
    <w:rsid w:val="00002272"/>
    <w:rsid w:val="00064002"/>
    <w:rsid w:val="000677B9"/>
    <w:rsid w:val="000740F4"/>
    <w:rsid w:val="000831BA"/>
    <w:rsid w:val="00086F5F"/>
    <w:rsid w:val="00097354"/>
    <w:rsid w:val="000A42CC"/>
    <w:rsid w:val="000E7DD9"/>
    <w:rsid w:val="0010095E"/>
    <w:rsid w:val="00125B37"/>
    <w:rsid w:val="00187494"/>
    <w:rsid w:val="001B4748"/>
    <w:rsid w:val="001F32AE"/>
    <w:rsid w:val="002767FF"/>
    <w:rsid w:val="002B18FE"/>
    <w:rsid w:val="002B5493"/>
    <w:rsid w:val="002E787F"/>
    <w:rsid w:val="00311E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0B2D"/>
    <w:rsid w:val="006E7F37"/>
    <w:rsid w:val="006F74FA"/>
    <w:rsid w:val="00731ADD"/>
    <w:rsid w:val="00734777"/>
    <w:rsid w:val="00747932"/>
    <w:rsid w:val="00751A4A"/>
    <w:rsid w:val="00756632"/>
    <w:rsid w:val="00762C74"/>
    <w:rsid w:val="00765044"/>
    <w:rsid w:val="00786EC0"/>
    <w:rsid w:val="007D1690"/>
    <w:rsid w:val="007E22AD"/>
    <w:rsid w:val="007E3E1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BA7"/>
    <w:rsid w:val="00AB6293"/>
    <w:rsid w:val="00AE0928"/>
    <w:rsid w:val="00AF3B82"/>
    <w:rsid w:val="00B12E95"/>
    <w:rsid w:val="00B22876"/>
    <w:rsid w:val="00B558F0"/>
    <w:rsid w:val="00BD48FE"/>
    <w:rsid w:val="00BD7227"/>
    <w:rsid w:val="00BD7BD8"/>
    <w:rsid w:val="00BE6ADC"/>
    <w:rsid w:val="00C05BFE"/>
    <w:rsid w:val="00C23CD4"/>
    <w:rsid w:val="00C374C4"/>
    <w:rsid w:val="00C54320"/>
    <w:rsid w:val="00C61C0C"/>
    <w:rsid w:val="00C846F5"/>
    <w:rsid w:val="00C941CB"/>
    <w:rsid w:val="00CA71EB"/>
    <w:rsid w:val="00CC2357"/>
    <w:rsid w:val="00CF071A"/>
    <w:rsid w:val="00D058B8"/>
    <w:rsid w:val="00D56C11"/>
    <w:rsid w:val="00D834A0"/>
    <w:rsid w:val="00D872DF"/>
    <w:rsid w:val="00D91E21"/>
    <w:rsid w:val="00DA7FCD"/>
    <w:rsid w:val="00E365E1"/>
    <w:rsid w:val="00E820A4"/>
    <w:rsid w:val="00E912AD"/>
    <w:rsid w:val="00EA7A32"/>
    <w:rsid w:val="00EB006A"/>
    <w:rsid w:val="00EB4772"/>
    <w:rsid w:val="00EB5D2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31902"/>
  <w15:chartTrackingRefBased/>
  <w15:docId w15:val="{5674E46C-2F80-4E21-9A5A-550F9E42B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74C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74C4"/>
    <w:pPr>
      <w:spacing w:before="480" w:after="240"/>
    </w:pPr>
  </w:style>
  <w:style w:type="paragraph" w:customStyle="1" w:styleId="PageHeading">
    <w:name w:val="PageHeading"/>
    <w:basedOn w:val="Normal"/>
    <w:rsid w:val="00C374C4"/>
    <w:pPr>
      <w:keepNext/>
      <w:spacing w:after="480"/>
      <w:jc w:val="center"/>
    </w:pPr>
    <w:rPr>
      <w:rFonts w:ascii="Arial" w:hAnsi="Arial" w:cs="Arial"/>
      <w:b/>
    </w:rPr>
  </w:style>
  <w:style w:type="paragraph" w:customStyle="1" w:styleId="NormalHanging12a">
    <w:name w:val="NormalHanging12a"/>
    <w:basedOn w:val="Normal"/>
    <w:link w:val="NormalHanging12aChar"/>
    <w:rsid w:val="00C374C4"/>
    <w:pPr>
      <w:spacing w:after="240"/>
      <w:ind w:left="567" w:hanging="567"/>
    </w:pPr>
  </w:style>
  <w:style w:type="paragraph" w:styleId="Header">
    <w:name w:val="header"/>
    <w:basedOn w:val="Normal"/>
    <w:link w:val="HeaderChar"/>
    <w:rsid w:val="00C374C4"/>
    <w:pPr>
      <w:tabs>
        <w:tab w:val="center" w:pos="4513"/>
        <w:tab w:val="right" w:pos="9026"/>
      </w:tabs>
    </w:pPr>
  </w:style>
  <w:style w:type="character" w:customStyle="1" w:styleId="HeaderChar">
    <w:name w:val="Header Char"/>
    <w:basedOn w:val="DefaultParagraphFont"/>
    <w:link w:val="Header"/>
    <w:rsid w:val="00C374C4"/>
    <w:rPr>
      <w:sz w:val="24"/>
      <w:lang w:val="el-GR"/>
    </w:rPr>
  </w:style>
  <w:style w:type="paragraph" w:customStyle="1" w:styleId="EPFooter">
    <w:name w:val="EPFooter"/>
    <w:basedOn w:val="Normal"/>
    <w:rsid w:val="00C374C4"/>
    <w:pPr>
      <w:tabs>
        <w:tab w:val="center" w:pos="4535"/>
        <w:tab w:val="right" w:pos="9071"/>
      </w:tabs>
      <w:spacing w:before="240" w:after="240"/>
    </w:pPr>
    <w:rPr>
      <w:color w:val="010000"/>
      <w:sz w:val="22"/>
    </w:rPr>
  </w:style>
  <w:style w:type="character" w:styleId="Hyperlink">
    <w:name w:val="Hyperlink"/>
    <w:basedOn w:val="DefaultParagraphFont"/>
    <w:uiPriority w:val="99"/>
    <w:rsid w:val="00C374C4"/>
    <w:rPr>
      <w:color w:val="0563C1" w:themeColor="hyperlink"/>
      <w:u w:val="single"/>
    </w:rPr>
  </w:style>
  <w:style w:type="character" w:customStyle="1" w:styleId="NormalHanging12aChar">
    <w:name w:val="NormalHanging12a Char"/>
    <w:basedOn w:val="DefaultParagraphFont"/>
    <w:link w:val="NormalHanging12a"/>
    <w:locked/>
    <w:rsid w:val="00C374C4"/>
    <w:rPr>
      <w:sz w:val="24"/>
      <w:lang w:val="el-GR"/>
    </w:rPr>
  </w:style>
  <w:style w:type="character" w:styleId="Strong">
    <w:name w:val="Strong"/>
    <w:basedOn w:val="DefaultParagraphFont"/>
    <w:uiPriority w:val="22"/>
    <w:qFormat/>
    <w:rsid w:val="00C374C4"/>
    <w:rPr>
      <w:b/>
      <w:bCs/>
    </w:rPr>
  </w:style>
  <w:style w:type="paragraph" w:customStyle="1" w:styleId="paragraph">
    <w:name w:val="paragraph"/>
    <w:basedOn w:val="Normal"/>
    <w:rsid w:val="00C374C4"/>
    <w:pPr>
      <w:widowControl/>
      <w:spacing w:before="100" w:beforeAutospacing="1" w:after="100" w:afterAutospacing="1"/>
    </w:pPr>
    <w:rPr>
      <w:szCs w:val="24"/>
    </w:rPr>
  </w:style>
  <w:style w:type="character" w:customStyle="1" w:styleId="normaltextrun">
    <w:name w:val="normaltextrun"/>
    <w:basedOn w:val="DefaultParagraphFont"/>
    <w:rsid w:val="00C374C4"/>
  </w:style>
  <w:style w:type="paragraph" w:styleId="Footer">
    <w:name w:val="footer"/>
    <w:basedOn w:val="Normal"/>
    <w:link w:val="FooterChar"/>
    <w:rsid w:val="00097354"/>
    <w:pPr>
      <w:tabs>
        <w:tab w:val="center" w:pos="4513"/>
        <w:tab w:val="right" w:pos="9026"/>
      </w:tabs>
    </w:pPr>
  </w:style>
  <w:style w:type="character" w:customStyle="1" w:styleId="FooterChar">
    <w:name w:val="Footer Char"/>
    <w:basedOn w:val="DefaultParagraphFont"/>
    <w:link w:val="Footer"/>
    <w:rsid w:val="00097354"/>
    <w:rPr>
      <w:sz w:val="24"/>
      <w:lang w:val="el-GR"/>
    </w:rPr>
  </w:style>
  <w:style w:type="paragraph" w:styleId="ListParagraph">
    <w:name w:val="List Paragraph"/>
    <w:basedOn w:val="Normal"/>
    <w:uiPriority w:val="34"/>
    <w:qFormat/>
    <w:rsid w:val="00097354"/>
    <w:pPr>
      <w:ind w:left="720"/>
      <w:contextualSpacing/>
    </w:pPr>
  </w:style>
  <w:style w:type="paragraph" w:styleId="Revision">
    <w:name w:val="Revision"/>
    <w:hidden/>
    <w:uiPriority w:val="99"/>
    <w:semiHidden/>
    <w:rsid w:val="00097354"/>
    <w:rPr>
      <w:sz w:val="24"/>
      <w:lang w:val="el-GR"/>
    </w:rPr>
  </w:style>
  <w:style w:type="character" w:styleId="FollowedHyperlink">
    <w:name w:val="FollowedHyperlink"/>
    <w:basedOn w:val="DefaultParagraphFont"/>
    <w:rsid w:val="00CA71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8354</Words>
  <Characters>50161</Characters>
  <Application>Microsoft Office Word</Application>
  <DocSecurity>0</DocSecurity>
  <Lines>418</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2026-04-16T09:44:00Z</dcterms:created>
  <dcterms:modified xsi:type="dcterms:W3CDTF">2026-04-16T09:44:00Z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P10_TA(2026)0002_</vt:lpwstr>
  </property>
  <property fmtid="{D5CDD505-2E9C-101B-9397-08002B2CF9AE}" pid="4" name="&lt;Type&gt;">
    <vt:lpwstr>RR</vt:lpwstr>
  </property>
</Properties>
</file>