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8256A" w14:paraId="4412E07C" w14:textId="77777777" w:rsidTr="0010095E">
        <w:trPr>
          <w:trHeight w:hRule="exact" w:val="1418"/>
        </w:trPr>
        <w:tc>
          <w:tcPr>
            <w:tcW w:w="6804" w:type="dxa"/>
            <w:shd w:val="clear" w:color="auto" w:fill="auto"/>
            <w:vAlign w:val="center"/>
          </w:tcPr>
          <w:p w14:paraId="746BF81E" w14:textId="27ED293B" w:rsidR="00751A4A" w:rsidRPr="0038256A" w:rsidRDefault="004E41ED" w:rsidP="0010095E">
            <w:pPr>
              <w:pStyle w:val="EPName"/>
            </w:pPr>
            <w:r w:rsidRPr="0038256A">
              <w:t>Európai Parlament</w:t>
            </w:r>
          </w:p>
          <w:p w14:paraId="6D1A984C" w14:textId="77777777" w:rsidR="00751A4A" w:rsidRPr="0038256A" w:rsidRDefault="005F1B17" w:rsidP="005F1B17">
            <w:pPr>
              <w:pStyle w:val="EPTerm"/>
              <w:rPr>
                <w:rStyle w:val="HideTWBExt"/>
                <w:noProof w:val="0"/>
                <w:vanish w:val="0"/>
                <w:color w:val="auto"/>
              </w:rPr>
            </w:pPr>
            <w:r w:rsidRPr="0038256A">
              <w:t>2024</w:t>
            </w:r>
            <w:r w:rsidR="00817416" w:rsidRPr="0038256A">
              <w:t>-202</w:t>
            </w:r>
            <w:r w:rsidRPr="0038256A">
              <w:t>9</w:t>
            </w:r>
          </w:p>
        </w:tc>
        <w:tc>
          <w:tcPr>
            <w:tcW w:w="2268" w:type="dxa"/>
            <w:shd w:val="clear" w:color="auto" w:fill="auto"/>
          </w:tcPr>
          <w:p w14:paraId="30519020" w14:textId="77777777" w:rsidR="00751A4A" w:rsidRPr="0038256A" w:rsidRDefault="00187494" w:rsidP="0010095E">
            <w:pPr>
              <w:pStyle w:val="EPLogo"/>
            </w:pPr>
            <w:r w:rsidRPr="0038256A">
              <w:rPr>
                <w:noProof/>
                <w:lang w:eastAsia="ja-JP"/>
              </w:rPr>
              <w:drawing>
                <wp:inline distT="0" distB="0" distL="0" distR="0" wp14:anchorId="061FC887" wp14:editId="0C5C906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33ACC1E" w14:textId="77777777" w:rsidR="00D058B8" w:rsidRPr="0038256A" w:rsidRDefault="00D058B8" w:rsidP="004C5D52">
      <w:pPr>
        <w:pStyle w:val="LineTop"/>
      </w:pPr>
    </w:p>
    <w:p w14:paraId="21B550ED" w14:textId="315431A1" w:rsidR="00680577" w:rsidRPr="0038256A" w:rsidRDefault="004E41ED" w:rsidP="00680577">
      <w:pPr>
        <w:pStyle w:val="EPBodyTA1"/>
      </w:pPr>
      <w:r w:rsidRPr="0038256A">
        <w:t>ELFOGADOTT SZÖVEGEK</w:t>
      </w:r>
    </w:p>
    <w:p w14:paraId="43EE4626" w14:textId="77777777" w:rsidR="00D058B8" w:rsidRPr="0038256A" w:rsidRDefault="00D058B8" w:rsidP="00D058B8">
      <w:pPr>
        <w:pStyle w:val="LineBottom"/>
      </w:pPr>
    </w:p>
    <w:p w14:paraId="2F603B28" w14:textId="0A0AED76" w:rsidR="004E41ED" w:rsidRPr="0038256A" w:rsidRDefault="004E41ED" w:rsidP="004E41ED">
      <w:pPr>
        <w:pStyle w:val="ATHeading1"/>
      </w:pPr>
      <w:bookmarkStart w:id="0" w:name="TANumber"/>
      <w:r w:rsidRPr="0038256A">
        <w:t>P10_</w:t>
      </w:r>
      <w:proofErr w:type="gramStart"/>
      <w:r w:rsidRPr="0038256A">
        <w:t>TA(</w:t>
      </w:r>
      <w:proofErr w:type="gramEnd"/>
      <w:r w:rsidRPr="0038256A">
        <w:t>2026)000</w:t>
      </w:r>
      <w:r w:rsidR="0038256A" w:rsidRPr="0038256A">
        <w:t>2</w:t>
      </w:r>
      <w:bookmarkEnd w:id="0"/>
    </w:p>
    <w:p w14:paraId="05ED66F0" w14:textId="547C714C" w:rsidR="004E41ED" w:rsidRPr="0038256A" w:rsidRDefault="00E075D5" w:rsidP="004E41ED">
      <w:pPr>
        <w:pStyle w:val="ATHeading2"/>
      </w:pPr>
      <w:bookmarkStart w:id="1" w:name="title"/>
      <w:r w:rsidRPr="0038256A">
        <w:t>A 28. rendszer: új jogi keretrendszer az innovatív vállalkozások számára</w:t>
      </w:r>
      <w:bookmarkEnd w:id="1"/>
    </w:p>
    <w:p w14:paraId="4F19628F" w14:textId="77777777" w:rsidR="004E41ED" w:rsidRPr="0038256A" w:rsidRDefault="004E41ED" w:rsidP="004E41ED">
      <w:pPr>
        <w:rPr>
          <w:i/>
          <w:vanish/>
        </w:rPr>
      </w:pPr>
      <w:r w:rsidRPr="0038256A">
        <w:rPr>
          <w:i/>
        </w:rPr>
        <w:fldChar w:fldCharType="begin"/>
      </w:r>
      <w:r w:rsidRPr="0038256A">
        <w:rPr>
          <w:i/>
        </w:rPr>
        <w:instrText xml:space="preserve"> TC"(</w:instrText>
      </w:r>
      <w:bookmarkStart w:id="2" w:name="DocNumber"/>
      <w:r w:rsidRPr="0038256A">
        <w:rPr>
          <w:i/>
        </w:rPr>
        <w:instrText>A10-0269/2025</w:instrText>
      </w:r>
      <w:bookmarkEnd w:id="2"/>
      <w:r w:rsidRPr="0038256A">
        <w:rPr>
          <w:i/>
        </w:rPr>
        <w:instrText xml:space="preserve"> - Előadó: René Repasi)"\l3 \n&gt; \* MERGEFORMAT </w:instrText>
      </w:r>
      <w:r w:rsidRPr="0038256A">
        <w:rPr>
          <w:i/>
        </w:rPr>
        <w:fldChar w:fldCharType="end"/>
      </w:r>
    </w:p>
    <w:p w14:paraId="1452D5DC" w14:textId="77777777" w:rsidR="004E41ED" w:rsidRPr="0038256A" w:rsidRDefault="004E41ED" w:rsidP="004E41ED">
      <w:pPr>
        <w:rPr>
          <w:vanish/>
        </w:rPr>
      </w:pPr>
      <w:bookmarkStart w:id="3" w:name="Commission"/>
      <w:r w:rsidRPr="0038256A">
        <w:rPr>
          <w:vanish/>
        </w:rPr>
        <w:t>Jogi Bizottság</w:t>
      </w:r>
      <w:bookmarkEnd w:id="3"/>
    </w:p>
    <w:p w14:paraId="7DEF0ECA" w14:textId="77777777" w:rsidR="004E41ED" w:rsidRPr="0038256A" w:rsidRDefault="004E41ED" w:rsidP="004E41ED">
      <w:pPr>
        <w:rPr>
          <w:vanish/>
        </w:rPr>
      </w:pPr>
      <w:bookmarkStart w:id="4" w:name="PE"/>
      <w:r w:rsidRPr="0038256A">
        <w:rPr>
          <w:vanish/>
        </w:rPr>
        <w:t>PE773.199</w:t>
      </w:r>
      <w:bookmarkEnd w:id="4"/>
    </w:p>
    <w:p w14:paraId="3661CDD3" w14:textId="6989AEB3" w:rsidR="004E41ED" w:rsidRPr="0038256A" w:rsidRDefault="004E41ED" w:rsidP="004E41ED">
      <w:pPr>
        <w:pStyle w:val="ATHeading3"/>
      </w:pPr>
      <w:bookmarkStart w:id="5" w:name="Sujet"/>
      <w:r w:rsidRPr="0038256A">
        <w:t xml:space="preserve">Az Európai Parlament 2026. </w:t>
      </w:r>
      <w:r w:rsidR="00E075D5" w:rsidRPr="0038256A">
        <w:t>január 20</w:t>
      </w:r>
      <w:r w:rsidRPr="0038256A">
        <w:t>-i állásfoglalása a Bizottságnak szóló ajánlásokkal a 28. rendszerről: új jogi keretrendszer az innovatív vállalkozások számára</w:t>
      </w:r>
      <w:bookmarkEnd w:id="5"/>
      <w:r w:rsidRPr="0038256A">
        <w:t xml:space="preserve"> </w:t>
      </w:r>
      <w:bookmarkStart w:id="6" w:name="References"/>
      <w:r w:rsidRPr="0038256A">
        <w:t>(2025/2079(INL))</w:t>
      </w:r>
      <w:bookmarkEnd w:id="6"/>
    </w:p>
    <w:p w14:paraId="14C994A9" w14:textId="77777777" w:rsidR="00C545F3" w:rsidRPr="0038256A" w:rsidRDefault="00C545F3" w:rsidP="00C545F3">
      <w:pPr>
        <w:pStyle w:val="EPComma"/>
      </w:pPr>
      <w:r w:rsidRPr="0038256A">
        <w:rPr>
          <w:i/>
          <w:iCs/>
        </w:rPr>
        <w:t>Az Európai Parlament,</w:t>
      </w:r>
    </w:p>
    <w:p w14:paraId="1458D7FC" w14:textId="77777777" w:rsidR="00C545F3" w:rsidRPr="0038256A" w:rsidRDefault="00C545F3" w:rsidP="00E075D5">
      <w:pPr>
        <w:pStyle w:val="NormalHanging12a"/>
        <w:widowControl/>
      </w:pPr>
      <w:r w:rsidRPr="0038256A">
        <w:t>–</w:t>
      </w:r>
      <w:r w:rsidRPr="0038256A">
        <w:tab/>
        <w:t>tekintettel az Európai Unió működéséről szóló szerződés 225. cikkére,</w:t>
      </w:r>
    </w:p>
    <w:p w14:paraId="2F62A80E" w14:textId="77777777" w:rsidR="00C545F3" w:rsidRPr="0038256A" w:rsidRDefault="00C545F3" w:rsidP="00E075D5">
      <w:pPr>
        <w:widowControl/>
        <w:spacing w:after="240"/>
        <w:ind w:left="567" w:hanging="567"/>
      </w:pPr>
      <w:r w:rsidRPr="0038256A">
        <w:t>–</w:t>
      </w:r>
      <w:r w:rsidRPr="0038256A">
        <w:tab/>
        <w:t>tekintettel az Európai Unió működéséről szóló szerződés 50. cikkére és 114. cikkének (1) bekezdésére,</w:t>
      </w:r>
    </w:p>
    <w:p w14:paraId="76D5DBD4" w14:textId="77777777" w:rsidR="00C545F3" w:rsidRPr="0038256A" w:rsidRDefault="00C545F3" w:rsidP="00E075D5">
      <w:pPr>
        <w:widowControl/>
        <w:shd w:val="clear" w:color="auto" w:fill="FFFFFF" w:themeFill="background1"/>
        <w:spacing w:after="240"/>
        <w:ind w:left="567" w:hanging="567"/>
        <w:rPr>
          <w:color w:val="1E1E1F"/>
        </w:rPr>
      </w:pPr>
      <w:r w:rsidRPr="0038256A">
        <w:t>–</w:t>
      </w:r>
      <w:r w:rsidRPr="0038256A">
        <w:tab/>
      </w:r>
      <w:r w:rsidRPr="0038256A">
        <w:rPr>
          <w:color w:val="1E1E1F"/>
        </w:rPr>
        <w:t>tekintettel a szerződéses kötelezettségekre alkalmazandó jogról (Róma I.) szóló, 2008. június 17-i 593/2008/EK európai parlamenti és tanácsi rendeletre</w:t>
      </w:r>
      <w:r w:rsidRPr="0038256A">
        <w:rPr>
          <w:color w:val="1E1E1F"/>
          <w:szCs w:val="24"/>
          <w:vertAlign w:val="superscript"/>
        </w:rPr>
        <w:footnoteReference w:id="1"/>
      </w:r>
      <w:r w:rsidRPr="0038256A">
        <w:rPr>
          <w:color w:val="1E1E1F"/>
        </w:rPr>
        <w:t>,</w:t>
      </w:r>
    </w:p>
    <w:p w14:paraId="055F3D72" w14:textId="77777777" w:rsidR="00C545F3" w:rsidRPr="0038256A" w:rsidRDefault="00C545F3" w:rsidP="00E075D5">
      <w:pPr>
        <w:widowControl/>
        <w:shd w:val="clear" w:color="auto" w:fill="FFFFFF" w:themeFill="background1"/>
        <w:spacing w:after="240"/>
        <w:ind w:left="567" w:hanging="567"/>
        <w:rPr>
          <w:color w:val="1E1E1F"/>
        </w:rPr>
      </w:pPr>
      <w:r w:rsidRPr="0038256A">
        <w:t>–</w:t>
      </w:r>
      <w:r w:rsidRPr="0038256A">
        <w:tab/>
      </w:r>
      <w:r w:rsidRPr="0038256A">
        <w:rPr>
          <w:color w:val="1E1E1F"/>
        </w:rPr>
        <w:t>tekintettel a polgári és kereskedelmi ügyekben a joghatóságról, valamint a határozatok elismeréséről és végrehajtásáról szóló, 2012. december 12-i 1215/2012/EU európai parlamenti és tanácsi rendeletre</w:t>
      </w:r>
      <w:r w:rsidRPr="0038256A">
        <w:rPr>
          <w:color w:val="1E1E1F"/>
          <w:vertAlign w:val="superscript"/>
        </w:rPr>
        <w:footnoteReference w:id="2"/>
      </w:r>
      <w:r w:rsidRPr="0038256A">
        <w:rPr>
          <w:color w:val="1E1E1F"/>
        </w:rPr>
        <w:t>,</w:t>
      </w:r>
    </w:p>
    <w:p w14:paraId="31C4E168" w14:textId="77777777" w:rsidR="00C545F3" w:rsidRPr="0038256A" w:rsidRDefault="00C545F3" w:rsidP="00E075D5">
      <w:pPr>
        <w:widowControl/>
        <w:shd w:val="clear" w:color="auto" w:fill="FFFFFF" w:themeFill="background1"/>
        <w:spacing w:after="240"/>
        <w:ind w:left="567" w:hanging="567"/>
        <w:rPr>
          <w:color w:val="1E1E1F"/>
        </w:rPr>
      </w:pPr>
      <w:r w:rsidRPr="0038256A">
        <w:t>–</w:t>
      </w:r>
      <w:r w:rsidRPr="0038256A">
        <w:tab/>
      </w:r>
      <w:r w:rsidRPr="0038256A">
        <w:rPr>
          <w:color w:val="1E1E1F"/>
        </w:rPr>
        <w:t>tekintettel a belső piacon történő elektronikus tranzakciókhoz kapcsolódó elektronikus azonosításról és bizalmi szolgáltatásokról, valamint az 1999/93/EK irányelv hatályon kívül helyezéséről szóló, 2014. július 23-i 910/2014/EU európai parlamenti és tanácsi rendeletre</w:t>
      </w:r>
      <w:r w:rsidRPr="0038256A">
        <w:rPr>
          <w:color w:val="1E1E1F"/>
          <w:vertAlign w:val="superscript"/>
        </w:rPr>
        <w:footnoteReference w:id="3"/>
      </w:r>
      <w:r w:rsidRPr="0038256A">
        <w:rPr>
          <w:color w:val="1E1E1F"/>
        </w:rPr>
        <w:t>,</w:t>
      </w:r>
    </w:p>
    <w:p w14:paraId="78A4CCF1" w14:textId="77777777" w:rsidR="00C545F3" w:rsidRPr="0038256A" w:rsidRDefault="00C545F3" w:rsidP="00E075D5">
      <w:pPr>
        <w:widowControl/>
        <w:spacing w:after="240"/>
        <w:ind w:left="567" w:hanging="567"/>
      </w:pPr>
      <w:r w:rsidRPr="0038256A">
        <w:rPr>
          <w:b/>
          <w:i/>
          <w:color w:val="000000"/>
          <w:u w:color="000000"/>
        </w:rPr>
        <w:t>–</w:t>
      </w:r>
      <w:r w:rsidRPr="0038256A">
        <w:rPr>
          <w:b/>
          <w:i/>
          <w:color w:val="000000"/>
          <w:u w:color="000000"/>
        </w:rPr>
        <w:tab/>
      </w:r>
      <w:r w:rsidRPr="0038256A">
        <w:rPr>
          <w:color w:val="000000"/>
          <w:u w:color="000000"/>
        </w:rPr>
        <w:t>Az Európai Parlament és a Tanács 2009. szeptember 16-i 2009/102/EK irányelve a társasági jog területén az egyszemélyes korlátolt felelősségű társaságokról</w:t>
      </w:r>
      <w:r w:rsidRPr="0038256A">
        <w:rPr>
          <w:rStyle w:val="FootnoteReference"/>
          <w:color w:val="000000"/>
          <w:szCs w:val="24"/>
          <w:u w:color="000000"/>
        </w:rPr>
        <w:footnoteReference w:id="4"/>
      </w:r>
      <w:r w:rsidRPr="0038256A">
        <w:rPr>
          <w:color w:val="000000"/>
          <w:u w:color="000000"/>
        </w:rPr>
        <w:t>,</w:t>
      </w:r>
    </w:p>
    <w:p w14:paraId="13A32B2D" w14:textId="77777777" w:rsidR="00E075D5" w:rsidRPr="0038256A" w:rsidRDefault="00E075D5" w:rsidP="00E075D5">
      <w:pPr>
        <w:widowControl/>
        <w:spacing w:after="240"/>
        <w:ind w:left="567" w:hanging="567"/>
        <w:rPr>
          <w:color w:val="1E1E1F"/>
          <w:szCs w:val="24"/>
        </w:rPr>
      </w:pPr>
      <w:r w:rsidRPr="0038256A">
        <w:t>–</w:t>
      </w:r>
      <w:r w:rsidRPr="0038256A">
        <w:tab/>
      </w:r>
      <w:r w:rsidRPr="0038256A">
        <w:rPr>
          <w:color w:val="1E1E1F"/>
        </w:rPr>
        <w:t>tekintettel a társasági jog egyes vonatkozásairól szóló, 2017. június 14-i (EU) 2017/1132 európai parlamenti és tanácsi irányelvre</w:t>
      </w:r>
      <w:r w:rsidRPr="0038256A">
        <w:rPr>
          <w:color w:val="1E1E1F"/>
          <w:szCs w:val="24"/>
          <w:vertAlign w:val="superscript"/>
        </w:rPr>
        <w:footnoteReference w:id="5"/>
      </w:r>
      <w:r w:rsidRPr="0038256A">
        <w:rPr>
          <w:color w:val="1E1E1F"/>
        </w:rPr>
        <w:t>,</w:t>
      </w:r>
    </w:p>
    <w:p w14:paraId="65572871" w14:textId="02CC9BB4" w:rsidR="00C545F3" w:rsidRPr="0038256A" w:rsidRDefault="00C545F3" w:rsidP="00E075D5">
      <w:pPr>
        <w:widowControl/>
        <w:spacing w:after="240"/>
        <w:ind w:left="567" w:hanging="567"/>
      </w:pPr>
      <w:r w:rsidRPr="0038256A">
        <w:lastRenderedPageBreak/>
        <w:t>–</w:t>
      </w:r>
      <w:r w:rsidRPr="0038256A">
        <w:tab/>
        <w:t>tekintettel az (EU) 2017/1132 irányelv határokon átnyúló átalakulások, egyesülések és szétválások tekintetében történő módosításáról szóló, 2019. november 27-i (EU) 2019/2121 európai parlamenti és tanácsi irányelvre</w:t>
      </w:r>
      <w:r w:rsidRPr="0038256A">
        <w:rPr>
          <w:rStyle w:val="FootnoteReference"/>
        </w:rPr>
        <w:footnoteReference w:id="6"/>
      </w:r>
      <w:r w:rsidR="00E075D5" w:rsidRPr="0038256A">
        <w:t>,</w:t>
      </w:r>
    </w:p>
    <w:p w14:paraId="5BB770A8" w14:textId="77777777" w:rsidR="00C545F3" w:rsidRPr="0038256A" w:rsidRDefault="00C545F3" w:rsidP="00E075D5">
      <w:pPr>
        <w:widowControl/>
        <w:spacing w:after="240"/>
        <w:ind w:left="567" w:hanging="567"/>
      </w:pPr>
      <w:r w:rsidRPr="0038256A">
        <w:t>–</w:t>
      </w:r>
      <w:r w:rsidRPr="0038256A">
        <w:tab/>
        <w:t>tekintettel a 2009/102/EK és az (EU) 2017/1132 irányelvnek a digitális eszközök és folyamatok társasági jog terén történő használatának további kiterjesztése és korszerűsítése tekintetében történő módosításáról szóló, 2024. december 19-i (EU) 2025/25 európai parlamenti és tanácsi irányelvre</w:t>
      </w:r>
      <w:r w:rsidRPr="0038256A">
        <w:rPr>
          <w:rStyle w:val="FootnoteReference"/>
        </w:rPr>
        <w:footnoteReference w:id="7"/>
      </w:r>
      <w:r w:rsidRPr="0038256A">
        <w:t>,</w:t>
      </w:r>
    </w:p>
    <w:p w14:paraId="2769D5AB" w14:textId="77777777" w:rsidR="00C545F3" w:rsidRPr="0038256A" w:rsidRDefault="00C545F3" w:rsidP="00E075D5">
      <w:pPr>
        <w:widowControl/>
        <w:shd w:val="clear" w:color="auto" w:fill="FFFFFF"/>
        <w:spacing w:after="240"/>
        <w:ind w:left="567" w:hanging="567"/>
      </w:pPr>
      <w:r w:rsidRPr="0038256A">
        <w:rPr>
          <w:color w:val="1E1E1F"/>
        </w:rPr>
        <w:t>–</w:t>
      </w:r>
      <w:r w:rsidRPr="0038256A">
        <w:rPr>
          <w:rFonts w:ascii="Helvetica" w:hAnsi="Helvetica"/>
          <w:color w:val="1E1E1F"/>
        </w:rPr>
        <w:tab/>
      </w:r>
      <w:r w:rsidRPr="0038256A">
        <w:t>tekintettel az európai részvénytársaság statútumának a munkavállalói részvételre vonatkozó kiegészítéséről szóló, 2001. október 8-i 2001/86/EK tanácsi irányelvre</w:t>
      </w:r>
      <w:r w:rsidRPr="0038256A">
        <w:rPr>
          <w:rStyle w:val="FootnoteReference"/>
        </w:rPr>
        <w:footnoteReference w:id="8"/>
      </w:r>
      <w:r w:rsidRPr="0038256A">
        <w:t>,</w:t>
      </w:r>
    </w:p>
    <w:p w14:paraId="2236C588" w14:textId="7E7E060E" w:rsidR="00C545F3" w:rsidRPr="0038256A" w:rsidRDefault="00C545F3" w:rsidP="00E075D5">
      <w:pPr>
        <w:widowControl/>
        <w:shd w:val="clear" w:color="auto" w:fill="FFFFFF"/>
        <w:spacing w:after="240"/>
        <w:ind w:left="567" w:hanging="567"/>
        <w:rPr>
          <w:rFonts w:ascii="Helvetica" w:hAnsi="Helvetica"/>
          <w:color w:val="1E1E1F"/>
          <w:szCs w:val="24"/>
        </w:rPr>
      </w:pPr>
      <w:bookmarkStart w:id="7" w:name="_Hlk216705041"/>
      <w:r w:rsidRPr="0038256A">
        <w:rPr>
          <w:color w:val="1E1E1F"/>
        </w:rPr>
        <w:t>–</w:t>
      </w:r>
      <w:r w:rsidRPr="0038256A">
        <w:rPr>
          <w:rFonts w:ascii="Helvetica" w:hAnsi="Helvetica"/>
          <w:color w:val="1E1E1F"/>
        </w:rPr>
        <w:tab/>
      </w:r>
      <w:r w:rsidRPr="0038256A">
        <w:t>tekintettel a Bizottság 2025. május 28-i, „Az induló és a növekvő innovatív vállalkozásokra vonatkozó uniós stratégia” című közleményére,</w:t>
      </w:r>
    </w:p>
    <w:p w14:paraId="2A44C607" w14:textId="7FBC8C62" w:rsidR="00C545F3" w:rsidRPr="0038256A" w:rsidRDefault="00C545F3" w:rsidP="00E075D5">
      <w:pPr>
        <w:pStyle w:val="NormalHanging12a"/>
        <w:widowControl/>
      </w:pPr>
      <w:r w:rsidRPr="0038256A">
        <w:t>–</w:t>
      </w:r>
      <w:r w:rsidRPr="0038256A">
        <w:tab/>
        <w:t>tekintettel Enrico Letta „Jóval több mint piac</w:t>
      </w:r>
      <w:r w:rsidR="00695D07" w:rsidRPr="0038256A">
        <w:t>”</w:t>
      </w:r>
      <w:r w:rsidRPr="0038256A">
        <w:t xml:space="preserve"> című, 2024. április 17-i jelentésére,</w:t>
      </w:r>
    </w:p>
    <w:p w14:paraId="2B6DC94B" w14:textId="77777777" w:rsidR="00C545F3" w:rsidRPr="0038256A" w:rsidRDefault="00C545F3" w:rsidP="00E075D5">
      <w:pPr>
        <w:pStyle w:val="NormalHanging12a"/>
        <w:widowControl/>
      </w:pPr>
      <w:r w:rsidRPr="0038256A">
        <w:t>–</w:t>
      </w:r>
      <w:r w:rsidRPr="0038256A">
        <w:tab/>
        <w:t xml:space="preserve">tekintettel Mario </w:t>
      </w:r>
      <w:proofErr w:type="spellStart"/>
      <w:r w:rsidRPr="0038256A">
        <w:t>Draghi</w:t>
      </w:r>
      <w:proofErr w:type="spellEnd"/>
      <w:r w:rsidRPr="0038256A">
        <w:t xml:space="preserve"> „Az európai versenyképesség jövője” című, 2024. szeptember 9-i jelentésére,</w:t>
      </w:r>
    </w:p>
    <w:p w14:paraId="2DD0186A" w14:textId="77777777" w:rsidR="00C545F3" w:rsidRPr="0038256A" w:rsidRDefault="00C545F3" w:rsidP="00E075D5">
      <w:pPr>
        <w:pStyle w:val="NormalHanging12a"/>
        <w:widowControl/>
      </w:pPr>
      <w:r w:rsidRPr="0038256A">
        <w:t>–</w:t>
      </w:r>
      <w:r w:rsidRPr="0038256A">
        <w:tab/>
        <w:t>tekintettel a Jogi Bizottságnak a javasolt jogalapra vonatkozó véleményére,</w:t>
      </w:r>
    </w:p>
    <w:p w14:paraId="23457001" w14:textId="77777777" w:rsidR="00C545F3" w:rsidRPr="0038256A" w:rsidRDefault="00C545F3" w:rsidP="00E075D5">
      <w:pPr>
        <w:pStyle w:val="NormalHanging12a"/>
        <w:widowControl/>
      </w:pPr>
      <w:r w:rsidRPr="0038256A">
        <w:t>–</w:t>
      </w:r>
      <w:r w:rsidRPr="0038256A">
        <w:tab/>
        <w:t>tekintettel eljárási szabályzata 47. és 55. cikkére,</w:t>
      </w:r>
    </w:p>
    <w:p w14:paraId="39E69381" w14:textId="77777777" w:rsidR="00C545F3" w:rsidRPr="0038256A" w:rsidRDefault="00C545F3" w:rsidP="00E075D5">
      <w:pPr>
        <w:pStyle w:val="NormalHanging12a"/>
        <w:widowControl/>
      </w:pPr>
      <w:r w:rsidRPr="0038256A">
        <w:t>–</w:t>
      </w:r>
      <w:r w:rsidRPr="0038256A">
        <w:tab/>
        <w:t>tekintettel a Jogi Bizottság jelentésére (A10-0269/2025),</w:t>
      </w:r>
    </w:p>
    <w:bookmarkEnd w:id="7"/>
    <w:p w14:paraId="5DB59E18" w14:textId="77777777" w:rsidR="00C545F3" w:rsidRPr="0038256A" w:rsidRDefault="00C545F3" w:rsidP="00E075D5">
      <w:pPr>
        <w:pStyle w:val="NormalHanging12a"/>
        <w:widowControl/>
      </w:pPr>
      <w:r w:rsidRPr="0038256A">
        <w:t>A.</w:t>
      </w:r>
      <w:r w:rsidRPr="0038256A">
        <w:tab/>
        <w:t xml:space="preserve">mivel a vállalkozások, különösen a kis- és középvállalkozások (kkv-k), az induló és a növekvő innovatív vállalkozások Unió-szerte tagállamonként jelentősen eltérő szabályokkal szembesülnek; mivel ez a szabályozási sokféleség </w:t>
      </w:r>
      <w:r w:rsidRPr="0038256A">
        <w:rPr>
          <w:rStyle w:val="normaltextrun"/>
          <w:color w:val="000000"/>
          <w:bdr w:val="none" w:sz="0" w:space="0" w:color="auto" w:frame="1"/>
        </w:rPr>
        <w:t>és az ismeretlen környezetben való eligazodás költségei akadályozzák a vállalatok páneurópai</w:t>
      </w:r>
      <w:r w:rsidRPr="0038256A">
        <w:t xml:space="preserve"> finanszírozását és növekedését;</w:t>
      </w:r>
    </w:p>
    <w:p w14:paraId="1B7EDD95" w14:textId="77777777" w:rsidR="00C545F3" w:rsidRPr="0038256A" w:rsidRDefault="00C545F3" w:rsidP="00E075D5">
      <w:pPr>
        <w:pStyle w:val="NormalHanging12a"/>
        <w:widowControl/>
        <w:rPr>
          <w:bCs/>
          <w:iCs/>
        </w:rPr>
      </w:pPr>
      <w:r w:rsidRPr="0038256A">
        <w:t>B.</w:t>
      </w:r>
      <w:r w:rsidRPr="0038256A">
        <w:tab/>
        <w:t xml:space="preserve">mivel a Bizottság „Az induló és növekvő innovatív vállalkozásokra vonatkozó uniós stratégia” című közleményében kiemelte, hogy a széttagoltság és az alacsonyabb növekedési kilátások arra késztetik az innovatív vállalatokat, hogy Európán kívül keressenek finanszírozást; </w:t>
      </w:r>
    </w:p>
    <w:p w14:paraId="6D074EF4" w14:textId="77777777" w:rsidR="00C545F3" w:rsidRPr="0038256A" w:rsidRDefault="00C545F3" w:rsidP="00E075D5">
      <w:pPr>
        <w:pStyle w:val="NormalHanging12a"/>
        <w:widowControl/>
        <w:rPr>
          <w:bCs/>
          <w:iCs/>
        </w:rPr>
      </w:pPr>
      <w:r w:rsidRPr="0038256A">
        <w:t>C.</w:t>
      </w:r>
      <w:r w:rsidRPr="0038256A">
        <w:tab/>
        <w:t>mivel a globális üzleti környezet egyre inkább megköveteli az agilitást, a digitalizációt, valamint a különböző piacokhoz és tehetségbázisokhoz való hozzáférést, amit jelenleg számos uniós vállalat nehezen tud elérni a szabályozás összetettsége és a következetlen keretek miatt; </w:t>
      </w:r>
    </w:p>
    <w:p w14:paraId="4C6CDED3" w14:textId="77777777" w:rsidR="00C545F3" w:rsidRPr="0038256A" w:rsidRDefault="00C545F3" w:rsidP="00E075D5">
      <w:pPr>
        <w:pStyle w:val="NormalHanging12a"/>
        <w:widowControl/>
        <w:rPr>
          <w:bCs/>
          <w:iCs/>
        </w:rPr>
      </w:pPr>
      <w:r w:rsidRPr="0038256A">
        <w:rPr>
          <w:color w:val="000000"/>
          <w:u w:color="000000"/>
        </w:rPr>
        <w:t>D</w:t>
      </w:r>
      <w:r w:rsidRPr="0038256A">
        <w:t>.</w:t>
      </w:r>
      <w:r w:rsidRPr="0038256A">
        <w:tab/>
        <w:t xml:space="preserve">mivel az Európai Unióról szóló szerződés (EUSZ) 3. cikkének (3) bekezdése értelmében az Unió – annak biztosítása érdekében, hogy a vállalatok egyenlő feltételek mellett versenyezhessenek – Európa fenntartható fejlődéséért munkálkodik, amely olyan kiegyensúlyozott gazdasági növekedésen, árstabilitáson és magas versenyképességű, teljes </w:t>
      </w:r>
      <w:proofErr w:type="spellStart"/>
      <w:r w:rsidRPr="0038256A">
        <w:t>foglalkoztatottságot</w:t>
      </w:r>
      <w:proofErr w:type="spellEnd"/>
      <w:r w:rsidRPr="0038256A">
        <w:t xml:space="preserve"> és társadalmi haladást célul kitűző </w:t>
      </w:r>
      <w:r w:rsidRPr="0038256A">
        <w:lastRenderedPageBreak/>
        <w:t>szociális piacgazdaságon alapul, amely a környezet minőségének magas fokú védelmével és javításával párosul;</w:t>
      </w:r>
    </w:p>
    <w:p w14:paraId="07AD2BFB" w14:textId="5329165D" w:rsidR="00C545F3" w:rsidRPr="0038256A" w:rsidRDefault="00C545F3" w:rsidP="00E075D5">
      <w:pPr>
        <w:pStyle w:val="NormalHanging12a"/>
        <w:widowControl/>
      </w:pPr>
      <w:r w:rsidRPr="0038256A">
        <w:t>E.</w:t>
      </w:r>
      <w:r w:rsidRPr="0038256A">
        <w:tab/>
        <w:t>mivel egy egységes európai társasági jogi rendszert nemcsak egy különálló uniós jog</w:t>
      </w:r>
      <w:r w:rsidR="00E075D5" w:rsidRPr="0038256A">
        <w:t>alkotás</w:t>
      </w:r>
      <w:r w:rsidRPr="0038256A">
        <w:t xml:space="preserve">i aktus révén lehetne hatékonyabban megvalósítani, hanem olyan szabályok bevezetésével is, amelyek az egyes tagállamokban meglévő nemzeti jogrendszerrel párhuzamosan működnek, anélkül, hogy e szabályok további adminisztratív vagy pénzügyi </w:t>
      </w:r>
      <w:proofErr w:type="spellStart"/>
      <w:r w:rsidRPr="0038256A">
        <w:t>terhekkel</w:t>
      </w:r>
      <w:proofErr w:type="spellEnd"/>
      <w:r w:rsidRPr="0038256A">
        <w:t xml:space="preserve"> vagy más jellegű akadályokkal járnának a vállalkozások, különösen a kkv-k fejlődése tekintetében;</w:t>
      </w:r>
    </w:p>
    <w:p w14:paraId="197D022B" w14:textId="77777777" w:rsidR="00C545F3" w:rsidRPr="0038256A" w:rsidRDefault="00C545F3" w:rsidP="00E075D5">
      <w:pPr>
        <w:pStyle w:val="NormalHanging12a"/>
        <w:widowControl/>
      </w:pPr>
      <w:r w:rsidRPr="0038256A">
        <w:t>F.</w:t>
      </w:r>
      <w:r w:rsidRPr="0038256A">
        <w:tab/>
        <w:t>mivel az Unió már elfogadta az európai részvénytársaságra, az európai szövetkezetre és az európai gazdasági egyesülésre vonatkozó jogi kereteket; mivel azonban ezek a társasági formák nem alkalmasak arra, hogy lehetővé tegyék az induló és a növekvő innovatív vállalkozások számára, hogy hatékonyabban működjenek a belső piacon;</w:t>
      </w:r>
    </w:p>
    <w:p w14:paraId="6BC8F81F" w14:textId="77777777" w:rsidR="00C545F3" w:rsidRPr="0038256A" w:rsidRDefault="00C545F3" w:rsidP="00E075D5">
      <w:pPr>
        <w:pStyle w:val="NormalHanging12a"/>
        <w:widowControl/>
      </w:pPr>
      <w:r w:rsidRPr="0038256A">
        <w:t>G.</w:t>
      </w:r>
      <w:r w:rsidRPr="0038256A">
        <w:tab/>
        <w:t xml:space="preserve">mivel a </w:t>
      </w:r>
      <w:proofErr w:type="spellStart"/>
      <w:r w:rsidRPr="0038256A">
        <w:t>tőkéhez</w:t>
      </w:r>
      <w:proofErr w:type="spellEnd"/>
      <w:r w:rsidRPr="0038256A">
        <w:t xml:space="preserve"> és a tehetséghez való hozzáférés megkönnyítése egy egyszerűsített és egységes jogi keret révén javítani fogja a kkv-k, az induló és a növekvő innovatív vállalkozások azon képességét, hogy globálisan versenyezzenek, beruházásokat vonzzanak, és hozzájáruljanak az Unión belüli munkahelyteremtéshez és társadalmi kohézióhoz;</w:t>
      </w:r>
    </w:p>
    <w:p w14:paraId="17E3A890" w14:textId="77777777" w:rsidR="00C545F3" w:rsidRPr="0038256A" w:rsidRDefault="00C545F3" w:rsidP="00E075D5">
      <w:pPr>
        <w:pStyle w:val="NormalHanging12a"/>
        <w:widowControl/>
      </w:pPr>
      <w:r w:rsidRPr="0038256A">
        <w:t>H.</w:t>
      </w:r>
      <w:r w:rsidRPr="0038256A">
        <w:tab/>
        <w:t>mivel egyértelműséget és jogbiztonságot kell biztosítani az európai és külföldi befektetők számára azáltal, hogy lehetővé teszik számukra, hogy harmonizált szabályok alkalmazása mellett határokon átnyúlóan fektessenek be;</w:t>
      </w:r>
    </w:p>
    <w:p w14:paraId="13C653FD" w14:textId="77777777" w:rsidR="00C545F3" w:rsidRPr="0038256A" w:rsidRDefault="00C545F3" w:rsidP="00E075D5">
      <w:pPr>
        <w:pStyle w:val="NormalHanging12a"/>
        <w:widowControl/>
      </w:pPr>
      <w:r w:rsidRPr="0038256A">
        <w:t>I.</w:t>
      </w:r>
      <w:r w:rsidRPr="0038256A">
        <w:tab/>
        <w:t xml:space="preserve">mivel a kkv-knak, az induló és a növekvő innovatív vállalkozásoknak nagyobb mértékben kell hozzáférniük a tőke különböző formáihoz, a határokon átnyúló mobilitáshoz, a méretezhetőséghez, a magasan képzett munkavállalókhoz, a tudományos és kutatási eredményekhez, beleértve az adatokat, a közbeszerzéshez, a „gyilkos felvásárlások” elleni védelemhez és a hosszú távú beruházási </w:t>
      </w:r>
      <w:r w:rsidRPr="0038256A">
        <w:rPr>
          <w:rStyle w:val="Strong"/>
          <w:b w:val="0"/>
          <w:bCs w:val="0"/>
          <w:shd w:val="clear" w:color="auto" w:fill="FAFAFF"/>
        </w:rPr>
        <w:t>stratégiákhoz a belső piacon való boldogulás érdekében</w:t>
      </w:r>
      <w:r w:rsidRPr="0038256A">
        <w:t>;</w:t>
      </w:r>
    </w:p>
    <w:p w14:paraId="3A90C2D0" w14:textId="77777777" w:rsidR="00C545F3" w:rsidRPr="0038256A" w:rsidRDefault="00C545F3" w:rsidP="00E075D5">
      <w:pPr>
        <w:pStyle w:val="NormalHanging12a"/>
        <w:widowControl/>
      </w:pPr>
      <w:r w:rsidRPr="0038256A">
        <w:t>J.</w:t>
      </w:r>
      <w:r w:rsidRPr="0038256A">
        <w:tab/>
        <w:t>mivel a kkv-k, az induló és a növekvő innovatív vállalkozások – amelyek közül sok szociális vállalkozás és a fiatal vagy pályakezdő vállalkozók által alapított vállalkozás – kulcsszerepet játszanak az innováció ösztönzésében, a társadalmi kohézió megteremtésében és a fenntartható gazdasági növekedéshez való hozzájárulásban, ugyanakkor gyakran nagyobb kihívásokkal szembesülnek a finanszírozáshoz, a hálózatokhoz és a speciális támogatáshoz való hozzáférés terén; mivel az egyetemekkel, kutatóintézetekkel és technológiatranszfer-irodákkal való együttműködés felgyorsíthatja a laboratóriumból a piacra juttatásig tartó folyamatot, megkönnyítheti a szakértelemhez és az infrastruktúrához való hozzáférést, és fellendítheti a kutatási eredmények kereskedelmi hasznosítását;</w:t>
      </w:r>
    </w:p>
    <w:p w14:paraId="5E8E7E5A" w14:textId="77777777" w:rsidR="00C545F3" w:rsidRPr="0038256A" w:rsidRDefault="00C545F3" w:rsidP="00E075D5">
      <w:pPr>
        <w:pStyle w:val="NormalHanging12a"/>
        <w:widowControl/>
        <w:rPr>
          <w:bCs/>
          <w:iCs/>
        </w:rPr>
      </w:pPr>
      <w:r w:rsidRPr="0038256A">
        <w:t>K.</w:t>
      </w:r>
      <w:r w:rsidRPr="0038256A">
        <w:tab/>
        <w:t>mivel az Unióban számos induló és növekvő innovatív vállalkozás fejleszt transzformatív technológiákat; mivel ezeket az induló és növekvő innovatív vállalkozásokat gyakran külföldi vállalkozások felvásárolják, mielőtt azok éretté válnának; mivel az ilyen felvásárlások gyakran nem érik el az uniós összefonódás-ellenőrzési küszöbértékeket;</w:t>
      </w:r>
    </w:p>
    <w:p w14:paraId="1B9225E7" w14:textId="77777777" w:rsidR="00C545F3" w:rsidRPr="0038256A" w:rsidRDefault="00C545F3" w:rsidP="00E075D5">
      <w:pPr>
        <w:pStyle w:val="NormalHanging12a"/>
        <w:widowControl/>
        <w:rPr>
          <w:bCs/>
          <w:iCs/>
        </w:rPr>
      </w:pPr>
      <w:r w:rsidRPr="0038256A">
        <w:t>L.</w:t>
      </w:r>
      <w:r w:rsidRPr="0038256A">
        <w:tab/>
        <w:t xml:space="preserve">mivel az Unió versenyképessége szempontjából központi szerepet játszó kkv-k, különösen a családi tulajdonban lévő vállalkozások, az utódlással kapcsolatos kihívásokkal szembesülnek; mivel a munkavállalói pénzügyi részvételi modellek </w:t>
      </w:r>
      <w:r w:rsidRPr="0038256A">
        <w:lastRenderedPageBreak/>
        <w:t>előmozdíthatják a kkv-k, az induló és a növekvő innovatív vállalkozások gazdasági kilátásait, ösztönözhetik a tehetségeket, és – azokban az esetekben, amikor a családi utódlás nem megoldható – segíthetnek az utódlási problémájának kezelésében, és ezáltal támogathatják a hosszú távú stabilitást és növekedést;</w:t>
      </w:r>
    </w:p>
    <w:p w14:paraId="50C4D546" w14:textId="77777777" w:rsidR="00C545F3" w:rsidRPr="0038256A" w:rsidRDefault="00C545F3" w:rsidP="00E075D5">
      <w:pPr>
        <w:pStyle w:val="NormalHanging12a"/>
        <w:widowControl/>
        <w:rPr>
          <w:bCs/>
          <w:iCs/>
        </w:rPr>
      </w:pPr>
      <w:r w:rsidRPr="0038256A">
        <w:t>M.</w:t>
      </w:r>
      <w:r w:rsidRPr="0038256A">
        <w:tab/>
        <w:t>mivel a jogbiztonság és a kiszámíthatóság fokozása a tagállamokban működő vállalatok számára elengedhetetlen ahhoz, hogy megerősítsük az Unió vezető szerepét a vállalkozás, az innováció és a fenntartható vállalkozásfejlesztés terén;</w:t>
      </w:r>
    </w:p>
    <w:p w14:paraId="2A36CDC6" w14:textId="77777777" w:rsidR="00C545F3" w:rsidRPr="0038256A" w:rsidRDefault="00C545F3" w:rsidP="00E075D5">
      <w:pPr>
        <w:pStyle w:val="NormalHanging12a"/>
        <w:widowControl/>
      </w:pPr>
      <w:r w:rsidRPr="0038256A">
        <w:t> </w:t>
      </w:r>
      <w:r w:rsidRPr="0038256A">
        <w:rPr>
          <w:b/>
          <w:i/>
        </w:rPr>
        <w:t>Általános elvek</w:t>
      </w:r>
    </w:p>
    <w:p w14:paraId="1380FBA0" w14:textId="77777777" w:rsidR="00C545F3" w:rsidRPr="0038256A" w:rsidRDefault="00C545F3" w:rsidP="00E075D5">
      <w:pPr>
        <w:pStyle w:val="NormalHanging12a"/>
        <w:widowControl/>
      </w:pPr>
      <w:r w:rsidRPr="0038256A">
        <w:t>1.</w:t>
      </w:r>
      <w:r w:rsidRPr="0038256A">
        <w:tab/>
        <w:t xml:space="preserve">üdvözli a Bizottság azon kötelezettségvállalását, hogy jogalkotási javaslatot nyújt be a vállalkozásokra vonatkozó 28. rendszerről; </w:t>
      </w:r>
    </w:p>
    <w:p w14:paraId="5641E2AB" w14:textId="52BBD236" w:rsidR="00C545F3" w:rsidRPr="0038256A" w:rsidRDefault="00C545F3" w:rsidP="00E075D5">
      <w:pPr>
        <w:widowControl/>
        <w:spacing w:after="240"/>
        <w:ind w:left="567" w:hanging="567"/>
        <w:rPr>
          <w:bCs/>
          <w:iCs/>
        </w:rPr>
      </w:pPr>
      <w:r w:rsidRPr="0038256A">
        <w:rPr>
          <w:color w:val="000000"/>
          <w:u w:color="000000"/>
        </w:rPr>
        <w:t>2</w:t>
      </w:r>
      <w:r w:rsidRPr="0038256A">
        <w:rPr>
          <w:rFonts w:ascii="Arial Unicode MS" w:hAnsi="Arial"/>
          <w:color w:val="000000"/>
          <w:u w:color="000000"/>
        </w:rPr>
        <w:t>.</w:t>
      </w:r>
      <w:r w:rsidRPr="0038256A">
        <w:tab/>
        <w:t xml:space="preserve">hangsúlyozza, hogy a 28. rendszernek </w:t>
      </w:r>
      <w:proofErr w:type="spellStart"/>
      <w:r w:rsidRPr="0038256A">
        <w:t>tartalmilag</w:t>
      </w:r>
      <w:proofErr w:type="spellEnd"/>
      <w:r w:rsidRPr="0038256A">
        <w:t xml:space="preserve"> és </w:t>
      </w:r>
      <w:proofErr w:type="spellStart"/>
      <w:r w:rsidRPr="0038256A">
        <w:t>formailag</w:t>
      </w:r>
      <w:proofErr w:type="spellEnd"/>
      <w:r w:rsidRPr="0038256A">
        <w:t xml:space="preserve"> ambiciózusnak kell lennie; hangsúlyozza, hogy a 28. rendszerre vonatkozó szabályoknak az egész Unióban azonosnak kell lenniük, és hogy a tagállamok nem tarthatnak fenn vagy vezethetnek be nemzeti jogukba a 28. rendszerről szóló jog</w:t>
      </w:r>
      <w:r w:rsidR="00E075D5" w:rsidRPr="0038256A">
        <w:t>alkotás</w:t>
      </w:r>
      <w:r w:rsidRPr="0038256A">
        <w:t>i aktusban meghatározottaktól eltérő rendelkezéseket; úgy véli, hogy a rendeleti forma alkalmazása a legmegfelelőbb intézkedés a 28. rendszer bevezetésére; elismeri, hogy egy maximális harmonizációt biztosító irányelv is szolgálhatna ugyanerre a célra; ellenzi az Európai Unió működéséről szóló szerződés (EUMSZ) 352. cikke (1) bekezdésének jogalapként való alkalmazását, mivel az egyhangúságot követel meg a Tanácsban, ami jelentősen késleltetheti a 28. rendszerről szóló jog</w:t>
      </w:r>
      <w:r w:rsidR="00E075D5" w:rsidRPr="0038256A">
        <w:t>alkotás</w:t>
      </w:r>
      <w:r w:rsidRPr="0038256A">
        <w:t>i aktus elfogadását, és veszélyeztetheti a 28. rendszer keretében elfogadott társasági forma ambícióit és koherenciáját; ragaszkodik egy olyan jogalap alkalmazásához, amely lehetővé teszi a 28. rendszerről szóló jog</w:t>
      </w:r>
      <w:r w:rsidR="00E075D5" w:rsidRPr="0038256A">
        <w:t>alkotás</w:t>
      </w:r>
      <w:r w:rsidRPr="0038256A">
        <w:t>i aktus minősített többséggel történő elfogadását a Tanácsban; ezért úgy véli, hogy a 28. rendszernek esetleg különálló jogalkotási javaslatokból álló csomagból kell állnia; elismeri, hogy társasági jogi kérdésekben a megfelelő jogalap az EUMSZ 50. cikke és 114. cikkének (1) bekezdése; úgy véli, hogy egy 28. rendszerről szóló irányelvnek maximális harmonizációt biztosító irányelvnek kell lennie a 28. rendszer célkitűzéseinek elérése érdekében;</w:t>
      </w:r>
    </w:p>
    <w:p w14:paraId="38A1A724" w14:textId="77777777" w:rsidR="00C545F3" w:rsidRPr="0038256A" w:rsidRDefault="00C545F3" w:rsidP="00E075D5">
      <w:pPr>
        <w:pStyle w:val="NormalHanging12a"/>
        <w:widowControl/>
      </w:pPr>
      <w:r w:rsidRPr="0038256A">
        <w:t>3.</w:t>
      </w:r>
      <w:r w:rsidRPr="0038256A">
        <w:tab/>
        <w:t>aggodalmának ad hangot az EUSZ 20. cikkében és az EUMSZ 329. cikkében említett megerősített együttműködésnek a 28. rendszer létrehozása céljából történő alkalmazása miatt; hangsúlyozza, hogy ez a megközelítés a belső piac széttöredezésének kockázatával jár, ami ellentétes az Unió integrációs folyamatával;</w:t>
      </w:r>
    </w:p>
    <w:p w14:paraId="2C95F4EF" w14:textId="77777777" w:rsidR="00C545F3" w:rsidRPr="0038256A" w:rsidRDefault="00C545F3" w:rsidP="00E075D5">
      <w:pPr>
        <w:pStyle w:val="NormalHanging12a"/>
        <w:widowControl/>
      </w:pPr>
      <w:r w:rsidRPr="0038256A">
        <w:t>4.</w:t>
      </w:r>
      <w:r w:rsidRPr="0038256A">
        <w:tab/>
        <w:t>elismeri, hogy az EUMSZ 50. cikkén és 114. cikkének (1) bekezdésén alapuló társasági jogi harmonizációs intézkedések szükségessé teszik a tagállamok nemzeti jogában történő végrehajtást; úgy véli, hogy ebben az esetben egy olyan maximális harmonizációt biztosító irányelvre van szükség, amely – a munkajog és a szociális jog sérelme nélkül – egyértelműen meghatározott alapvető kérdéseket szabályoz annak biztosítása érdekében, hogy valamennyi tagállamban egységes szabályok legyenek érvényben, anélkül, hogy további adminisztratív vagy pénzügyi akadályokat teremtene a vállalkozások számára;</w:t>
      </w:r>
    </w:p>
    <w:p w14:paraId="0FE23B09" w14:textId="77777777" w:rsidR="00C545F3" w:rsidRPr="0038256A" w:rsidRDefault="00C545F3" w:rsidP="00E075D5">
      <w:pPr>
        <w:pStyle w:val="NormalHanging12a"/>
        <w:widowControl/>
      </w:pPr>
      <w:r w:rsidRPr="0038256A">
        <w:t>5.</w:t>
      </w:r>
      <w:r w:rsidRPr="0038256A">
        <w:tab/>
        <w:t>úgy véli, hogy a gazdasági szereplők, például a globálisan innovatív kkv-k, induló és növekvő innovatív vállalkozások, valamint az ágazat befektetői által szorgalmazott egységesség, hatékonyság, koherencia és jogbiztonság szükségessége megköveteli egy maximális harmonizációt biztosító irányelv elfogadását;</w:t>
      </w:r>
    </w:p>
    <w:p w14:paraId="74FF834F" w14:textId="77777777" w:rsidR="00C545F3" w:rsidRPr="0038256A" w:rsidRDefault="00C545F3" w:rsidP="00E075D5">
      <w:pPr>
        <w:pStyle w:val="NormalHanging12a"/>
        <w:widowControl/>
        <w:rPr>
          <w:bCs/>
          <w:iCs/>
        </w:rPr>
      </w:pPr>
      <w:r w:rsidRPr="0038256A">
        <w:lastRenderedPageBreak/>
        <w:t>6.</w:t>
      </w:r>
      <w:r w:rsidRPr="0038256A">
        <w:tab/>
        <w:t>felhívja a Bizottságot, hogy a 28. rendszerre vonatkozó csomag részeként értékelje egy koherens – az adózási kérdésekre is kiterjedő – keret előnyeit, amely hozzáadott értéket képvisel az induló és a növekvő innovatív vállalkozások számára a nemzetközi beruházások vonzása, valamint az Unióban az innováció és a növekedés támogatása érdekében; hangsúlyozza, hogy a Bizottságnak elő kell segítenie a koordinációt, és ösztönöznie kell a bevált gyakorlatokat a határokon átnyúló műveleteket, beruházásokat és a tehetségek vonzását gátló akadályok csökkentése érdekében;</w:t>
      </w:r>
    </w:p>
    <w:p w14:paraId="095D7300" w14:textId="77777777" w:rsidR="00C545F3" w:rsidRPr="0038256A" w:rsidRDefault="00C545F3" w:rsidP="00E075D5">
      <w:pPr>
        <w:pStyle w:val="NormalHanging12a"/>
        <w:widowControl/>
      </w:pPr>
      <w:r w:rsidRPr="0038256A">
        <w:t>7.</w:t>
      </w:r>
      <w:r w:rsidRPr="0038256A">
        <w:tab/>
        <w:t>úgy véli, hogy a 28. rendszer a belső piac további elmélyítése, és ezáltal az európai integráció és a versenyképes erő fokozása felé tett stratégiai lépés;</w:t>
      </w:r>
    </w:p>
    <w:p w14:paraId="61117FDE" w14:textId="77777777" w:rsidR="00C545F3" w:rsidRPr="0038256A" w:rsidRDefault="00C545F3" w:rsidP="00E075D5">
      <w:pPr>
        <w:pStyle w:val="NormalHanging12a"/>
        <w:widowControl/>
      </w:pPr>
      <w:r w:rsidRPr="0038256A">
        <w:t>8.</w:t>
      </w:r>
      <w:r w:rsidRPr="0038256A">
        <w:tab/>
        <w:t>ismételten hangsúlyozza, hogy a 28. rendszert önként választó társaságoknak be kell tartaniuk annak szabályait;</w:t>
      </w:r>
    </w:p>
    <w:p w14:paraId="776362AD" w14:textId="77777777" w:rsidR="00C545F3" w:rsidRPr="0038256A" w:rsidRDefault="00C545F3" w:rsidP="00E075D5">
      <w:pPr>
        <w:pStyle w:val="NormalHanging12a"/>
        <w:widowControl/>
      </w:pPr>
      <w:r w:rsidRPr="0038256A">
        <w:t>9.</w:t>
      </w:r>
      <w:r w:rsidRPr="0038256A">
        <w:tab/>
        <w:t>hangsúlyozza, hogy a 27 tagállam nemzeti jogrendjében automatikusan el kell ismerni az adott társaság azon döntését, hogy a 28. rendszert választja;</w:t>
      </w:r>
    </w:p>
    <w:p w14:paraId="3ACD90CB" w14:textId="77777777" w:rsidR="00C545F3" w:rsidRPr="0038256A" w:rsidRDefault="00C545F3" w:rsidP="00E075D5">
      <w:pPr>
        <w:pStyle w:val="NormalHanging12a"/>
        <w:widowControl/>
      </w:pPr>
      <w:r w:rsidRPr="0038256A">
        <w:t>10.</w:t>
      </w:r>
      <w:r w:rsidRPr="0038256A">
        <w:tab/>
        <w:t xml:space="preserve">tudatában van annak a kockázatnak, hogy egy 28. rendszer lehetővé teheti a munkavállalókat, képviselőiket és szakszervezeteiket, valamint más kiszolgáltatott feleket védő kötelező nemzeti szabályok megkerülését; hangsúlyozza, hogy a 28. rendszer semmilyen körülmények között nem válhat a meglévő uniós vagy nemzeti szintű védelmi szintek aláásására, csökkentésére, gyengítésére vagy megkerülésére szolgáló eszközzé; kitart amellett, hogy a hatékony biztosítékokat magas szintű védelmet biztosító anyagi jogi szabályok és a kötelező nemzeti szabályok alkalmazását biztosító </w:t>
      </w:r>
      <w:proofErr w:type="spellStart"/>
      <w:r w:rsidRPr="0038256A">
        <w:t>kollíziós</w:t>
      </w:r>
      <w:proofErr w:type="spellEnd"/>
      <w:r w:rsidRPr="0038256A">
        <w:t xml:space="preserve"> szabályok révén határozzák meg;</w:t>
      </w:r>
    </w:p>
    <w:p w14:paraId="7B387EA7" w14:textId="77777777" w:rsidR="00C545F3" w:rsidRPr="0038256A" w:rsidRDefault="00C545F3" w:rsidP="00E075D5">
      <w:pPr>
        <w:pStyle w:val="NormalHanging12a"/>
        <w:widowControl/>
      </w:pPr>
      <w:r w:rsidRPr="0038256A">
        <w:t>11.</w:t>
      </w:r>
      <w:r w:rsidRPr="0038256A">
        <w:tab/>
        <w:t>úgy véli, hogy az innováció, a versenyképesség és a növekedés szempontjából alapvető fontosságú egy 28. rendszer létrehozása, és úgy véli, hogy a javaslatot a kapcsolódó szabályozási és végrehajtási intézkedésekkel együtt a lehető leggyorsabban el kell fogadni és végre kell hajtani;</w:t>
      </w:r>
    </w:p>
    <w:p w14:paraId="415FD4BD" w14:textId="77777777" w:rsidR="00C545F3" w:rsidRPr="0038256A" w:rsidRDefault="00C545F3" w:rsidP="00E075D5">
      <w:pPr>
        <w:pStyle w:val="NormalHanging12a"/>
        <w:widowControl/>
      </w:pPr>
      <w:r w:rsidRPr="0038256A">
        <w:rPr>
          <w:b/>
          <w:i/>
        </w:rPr>
        <w:t>A 28. rendszer jogi kerete</w:t>
      </w:r>
    </w:p>
    <w:p w14:paraId="14712B1B" w14:textId="77777777" w:rsidR="00C545F3" w:rsidRPr="0038256A" w:rsidRDefault="00C545F3" w:rsidP="00E075D5">
      <w:pPr>
        <w:pStyle w:val="NormalHanging12a"/>
        <w:widowControl/>
      </w:pPr>
      <w:r w:rsidRPr="0038256A">
        <w:t>12.</w:t>
      </w:r>
      <w:r w:rsidRPr="0038256A">
        <w:tab/>
        <w:t>úgy véli, hogy a 28. rendszernek elsősorban a társasági jogi szabályokon kell alapulnia, és hogy csak a tőzsdén nem jegyzett korlátolt felelősségű társaságoknak kellene lehetővé tenni a rendszerben való részvételt; úgy véli, hogy a 28. rendszert olyan szabályrendszernek kell tekinteni, amelyet be kell építeni a meglévő vagy új nemzeti társasági formákba;</w:t>
      </w:r>
    </w:p>
    <w:p w14:paraId="548F797B" w14:textId="77777777" w:rsidR="00C545F3" w:rsidRPr="0038256A" w:rsidRDefault="00C545F3" w:rsidP="00E075D5">
      <w:pPr>
        <w:pStyle w:val="NormalHanging12a"/>
        <w:widowControl/>
      </w:pPr>
      <w:r w:rsidRPr="0038256A">
        <w:t>13.</w:t>
      </w:r>
      <w:r w:rsidRPr="0038256A">
        <w:tab/>
        <w:t>javasolja, hogy a 28. rendszer hatálya alá tartozó társasági forma „</w:t>
      </w:r>
      <w:proofErr w:type="spellStart"/>
      <w:r w:rsidRPr="0038256A">
        <w:t>Societas</w:t>
      </w:r>
      <w:proofErr w:type="spellEnd"/>
      <w:r w:rsidRPr="0038256A">
        <w:t xml:space="preserve"> </w:t>
      </w:r>
      <w:proofErr w:type="spellStart"/>
      <w:r w:rsidRPr="0038256A">
        <w:t>Europaea</w:t>
      </w:r>
      <w:proofErr w:type="spellEnd"/>
      <w:r w:rsidRPr="0038256A">
        <w:t xml:space="preserve"> </w:t>
      </w:r>
      <w:proofErr w:type="spellStart"/>
      <w:r w:rsidRPr="0038256A">
        <w:t>Unificata</w:t>
      </w:r>
      <w:proofErr w:type="spellEnd"/>
      <w:r w:rsidRPr="0038256A">
        <w:t>” (S.EU – egységes európai társaság) néven való elnevezését, ami maga után vonja az „S.EU” rövidítés hozzáadását a meglévő nemzeti társasági formák rövidítéseihez;</w:t>
      </w:r>
    </w:p>
    <w:p w14:paraId="1F345940" w14:textId="69B57EF3" w:rsidR="00C545F3" w:rsidRPr="0038256A" w:rsidRDefault="00C545F3" w:rsidP="00E075D5">
      <w:pPr>
        <w:pStyle w:val="NormalHanging12a"/>
        <w:widowControl/>
      </w:pPr>
      <w:r w:rsidRPr="0038256A">
        <w:t>14.</w:t>
      </w:r>
      <w:r w:rsidRPr="0038256A">
        <w:tab/>
        <w:t>hangsúlyozza, hogy a 28. rendszer nem érinti a munkaügyi és szociális jog területére vonatkozó uniós és nemzeti jogot, beleértve a 2001/86/EK irányelv 2. cikkének k) pontjában meghatározott munkavállalói részvételre vonatkozó szabályokat és a foglalkoztatás helyén alkalmazandó kollektív szerződésekre vonatkozó szabályokat; hangsúlyozza, hogy az S.EU-</w:t>
      </w:r>
      <w:proofErr w:type="spellStart"/>
      <w:r w:rsidRPr="0038256A">
        <w:t>kra</w:t>
      </w:r>
      <w:proofErr w:type="spellEnd"/>
      <w:r w:rsidRPr="0038256A">
        <w:t xml:space="preserve"> ugyanazoknak az uniós és nemzeti fizetésképtelenségi szabályoknak kell vonatkozniuk, és nem térhetnek el a fizetésképtelenségi eljárásokban a munkavállalók számára elsőbbségi védelmet biztosító szabályoktól;</w:t>
      </w:r>
    </w:p>
    <w:p w14:paraId="36509F80" w14:textId="77777777" w:rsidR="00C545F3" w:rsidRPr="0038256A" w:rsidRDefault="00C545F3" w:rsidP="00E075D5">
      <w:pPr>
        <w:pStyle w:val="NormalHanging12a"/>
        <w:widowControl/>
      </w:pPr>
      <w:r w:rsidRPr="0038256A">
        <w:lastRenderedPageBreak/>
        <w:t>15.</w:t>
      </w:r>
      <w:r w:rsidRPr="0038256A">
        <w:tab/>
        <w:t>kiemeli, hogy egyszerűsíteni és digitalizálni kell a cégalapítást és a cégbejegyzést; kéri, hogy csökkentsék az eljárások bonyolultságát, és hogy az S.EU-k létrehozására vonatkozó bejegyzési eljárást digitálisan 48 órán belül folytassák le, a jogbiztonság biztosítása mellett; kéri, hogy az S.EU teljes életciklusa alatt legyen kötelező a céges dokumentumok online történő benyújtására és az információk online közzétételére szolgáló digitális eszközök integrálása, és az S.EU-k bejegyzése és adminisztrációja során teljes mértékben alkalmazzák az egyszeri adatszolgáltatás elvét; kéri, hogy tegyék lehetővé a digitális eljárásokat, például a közgyűlések és az igazgatósági ülések online formában történő megtartását;</w:t>
      </w:r>
    </w:p>
    <w:p w14:paraId="4E03D4A1" w14:textId="77777777" w:rsidR="00C545F3" w:rsidRPr="0038256A" w:rsidRDefault="00C545F3" w:rsidP="00E075D5">
      <w:pPr>
        <w:pStyle w:val="NormalHanging12a"/>
        <w:widowControl/>
      </w:pPr>
      <w:r w:rsidRPr="0038256A">
        <w:t>16.</w:t>
      </w:r>
      <w:r w:rsidRPr="0038256A">
        <w:tab/>
        <w:t>hangsúlyozza, hogy az S.EU létrehozását teljes mértékben integrálni kell az európai üzleti tárca létrehozására irányuló kezdeményezésbe, amely észszerűsítheti és egyszerűsítheti a digitális azonosítást és hitelesítést, valamint az alapvető vállalati dokumentumok kezelését is, ezáltal biztosítva az S.EU-k számára a zökkenőmentes digitális interakciót a tagállamokban, és megkönnyítve a határokon átnyúló műveleteket; felszólít továbbá a digitális eszközöknek a társasági jogban történő használatára vonatkozó meglévő uniós jogszabályok, különösen az (EU) 2017/1132 és a 2009/102/EK irányelv teljes körű végrehajtására és értékelésére, valamint a hatóságoknak szóló jelentések további digitalizálására és automatizálására, amelynek az uniós szabályozás egyszerűsítésével kapcsolatos munka egyik fő prioritását kell képeznie;</w:t>
      </w:r>
    </w:p>
    <w:p w14:paraId="04010A3F" w14:textId="77777777" w:rsidR="00C545F3" w:rsidRPr="0038256A" w:rsidRDefault="00C545F3" w:rsidP="00E075D5">
      <w:pPr>
        <w:pStyle w:val="NormalHanging12a"/>
        <w:widowControl/>
        <w:rPr>
          <w:bCs/>
          <w:iCs/>
        </w:rPr>
      </w:pPr>
      <w:r w:rsidRPr="0038256A">
        <w:t>17.</w:t>
      </w:r>
      <w:r w:rsidRPr="0038256A">
        <w:tab/>
        <w:t xml:space="preserve">kéri egy egységes uniós szintű digitális portál létrehozását vagy a meglévő struktúrákba való beépítését, amely közvetlen belépési pontként szolgálna az S.EU-k számára, és amely kiegészítené és kiterjesztené az üzleti nyilvántartások összekapcsolására szolgáló jelenlegi rendszert (BRIS) azáltal, hogy harmonizált, egységes hozzáférésű interfészt biztosít a határokon átnyúló felhasználáshoz anélkül, hogy új különálló vagy párhuzamos nyilvántartást hozna létre; hangsúlyozza, hogy a digitális portál nem helyettesítheti a meglévő nemzeti cégbejegyzési szabályokat, hanem olyan közös portálként szolgál, ahol a befektetők számára szükséges valamennyi információt összesítenék; hangsúlyozza, hogy a digitális portálnak könnyen hozzáférhetőnek kell lennie, lehetővé téve a nemzeti cégnyilvántartásokhoz való zökkenőmentes hozzáférést, és a meglévő e-igazságügyi portálra kell épülnie, vagy adott esetben azt meg kell újítania; kéri, hogy a digitális portál olyan platformként szolgáljon, amely megkönnyíti a biztonságos digitális folyamatokat, képes a dokumentumok és a nemzeti tanúsítványok tárolására, amelyeket később valamennyi tagállamban el lehetne ismerni a tanúsítványok hordozhatóságának lehetővé tétele érdekében, támogatva az egyszeri adatszolgáltatás elvét; hangsúlyozza, hogy a digitális portálnak lehetővé kell tennie a hitelesítő adatok ellenőrizhetőségét és a dokumentumok digitális aláírását, a részesedések értékesítését és felosztását, a vezetőségi határozatok létrehozását és elfogadását, valamint az e-számlázási szolgáltatások nyújtását; hangsúlyozza, hogy a digitális portálnak többnyelvűnek kell lennie, és támogatnia kell a határokon átnyúló működőképességet; kiemeli, hogy ezek a digitális eszközök növelni fogják a jogbiztonságot, csökkenteni fogják az adminisztratív </w:t>
      </w:r>
      <w:proofErr w:type="spellStart"/>
      <w:r w:rsidRPr="0038256A">
        <w:t>terheket</w:t>
      </w:r>
      <w:proofErr w:type="spellEnd"/>
      <w:r w:rsidRPr="0038256A">
        <w:t>, és elő fogják mozdítani a vállalatok zökkenőmentes működését a belső piacon;</w:t>
      </w:r>
    </w:p>
    <w:p w14:paraId="36F2B9A0" w14:textId="77777777" w:rsidR="00C545F3" w:rsidRPr="0038256A" w:rsidRDefault="00C545F3" w:rsidP="00E075D5">
      <w:pPr>
        <w:pStyle w:val="NormalHanging12a"/>
        <w:widowControl/>
      </w:pPr>
      <w:r w:rsidRPr="0038256A">
        <w:t>18.</w:t>
      </w:r>
      <w:r w:rsidRPr="0038256A">
        <w:tab/>
        <w:t xml:space="preserve">kéri az egységes uniós cégazonosító továbbfejlesztését és kiigazítását a cégbejegyzés egyszerűsítése, az átláthatóság és a bizalom növelése, a cégazonosító ellenőrzésének megkönnyítése, valamint a csalás, a pénzmosás és az adócsalás elleni küzdelem érdekében; hangsúlyozza, hogy ez lehetővé tenné a vállalatok számára, hogy Unió-szerte biztonságosan tárolják és megosszák a hatóságokkal az ellenőrizhető hitelesítő </w:t>
      </w:r>
      <w:r w:rsidRPr="0038256A">
        <w:lastRenderedPageBreak/>
        <w:t xml:space="preserve">adatokat; ösztönzi a Bizottságot, hogy törekedjen a cégazonosítókra vonatkozó globális kezdeményezésekkel való </w:t>
      </w:r>
      <w:proofErr w:type="spellStart"/>
      <w:r w:rsidRPr="0038256A">
        <w:t>interoperabilitásra</w:t>
      </w:r>
      <w:proofErr w:type="spellEnd"/>
      <w:r w:rsidRPr="0038256A">
        <w:t>;</w:t>
      </w:r>
    </w:p>
    <w:p w14:paraId="18C80572" w14:textId="77777777" w:rsidR="00C545F3" w:rsidRPr="0038256A" w:rsidRDefault="00C545F3" w:rsidP="00E075D5">
      <w:pPr>
        <w:pStyle w:val="NormalHanging12a"/>
        <w:widowControl/>
      </w:pPr>
      <w:r w:rsidRPr="0038256A">
        <w:t>19.</w:t>
      </w:r>
      <w:r w:rsidRPr="0038256A">
        <w:tab/>
        <w:t>úgy véli, hogy az S.EU-ként történő bejegyzés lehetőségének figyelembe kell vennie az üzleti modellek sokszínűségét, és nem korlátozódhat az „innovatív vállalkozások” új kategóriájára vagy más korlátozó tényezőkre; figyelmeztet arra, hogy egy ilyen új kategória létrehozása szükségtelen bürokráciával járna; egyértelművé teszi, hogy csak az Unióban lakóhellyel vagy székhellyel rendelkező természetes vagy jogi személyek számára kell lehetővé tenni S.EU létrehozását;</w:t>
      </w:r>
    </w:p>
    <w:p w14:paraId="4C85A37B" w14:textId="77777777" w:rsidR="00C545F3" w:rsidRPr="0038256A" w:rsidRDefault="00C545F3" w:rsidP="00E075D5">
      <w:pPr>
        <w:pStyle w:val="NormalHanging12a"/>
        <w:widowControl/>
        <w:rPr>
          <w:szCs w:val="22"/>
        </w:rPr>
      </w:pPr>
      <w:r w:rsidRPr="0038256A">
        <w:t>20.</w:t>
      </w:r>
      <w:r w:rsidRPr="0038256A">
        <w:tab/>
        <w:t>úgy véli, hogy az S.EU-</w:t>
      </w:r>
      <w:proofErr w:type="spellStart"/>
      <w:r w:rsidRPr="0038256A">
        <w:t>nak</w:t>
      </w:r>
      <w:proofErr w:type="spellEnd"/>
      <w:r w:rsidRPr="0038256A">
        <w:t xml:space="preserve"> társasági formaként kell szolgálnia az egyedüli gazdasági egységek, valamint az egységes csoportirányítás számára, és úgy véli, hogy lehetővé kell tenni, hogy az S.EU-k anyavállalatként vagy egy S.EU anyavállalat leányvállalataként működjenek;</w:t>
      </w:r>
    </w:p>
    <w:p w14:paraId="3DDD80F2" w14:textId="77777777" w:rsidR="00C545F3" w:rsidRPr="0038256A" w:rsidRDefault="00C545F3" w:rsidP="00E075D5">
      <w:pPr>
        <w:pStyle w:val="NormalHanging12a"/>
        <w:widowControl/>
      </w:pPr>
      <w:r w:rsidRPr="0038256A">
        <w:t>21.</w:t>
      </w:r>
      <w:r w:rsidRPr="0038256A">
        <w:tab/>
        <w:t>hangsúlyozza, hogy a társaság bejegyzett székhelyének a 27 tagállam egyikében kell lennie ahhoz, hogy S.EU-ként történő bejegyzésre lehessen jogosult; hangsúlyozza, hogy a bejegyzett székhely és a bejegyzett iroda lehet különböző tagállamokban;</w:t>
      </w:r>
    </w:p>
    <w:p w14:paraId="75A8A6E4" w14:textId="77777777" w:rsidR="00C545F3" w:rsidRPr="0038256A" w:rsidRDefault="00C545F3" w:rsidP="00E075D5">
      <w:pPr>
        <w:pStyle w:val="NormalHanging12a"/>
        <w:widowControl/>
        <w:rPr>
          <w:b/>
          <w:bCs/>
          <w:i/>
          <w:iCs/>
        </w:rPr>
      </w:pPr>
      <w:r w:rsidRPr="0038256A">
        <w:rPr>
          <w:b/>
          <w:i/>
        </w:rPr>
        <w:t>Biztosítékok, köztük a hosszú távú stratégiák és a választható formák</w:t>
      </w:r>
    </w:p>
    <w:p w14:paraId="62177701" w14:textId="1622E580" w:rsidR="00C545F3" w:rsidRPr="0038256A" w:rsidRDefault="00C545F3" w:rsidP="00E075D5">
      <w:pPr>
        <w:pStyle w:val="NormalHanging12a"/>
        <w:widowControl/>
      </w:pPr>
      <w:r w:rsidRPr="0038256A">
        <w:t>22.</w:t>
      </w:r>
      <w:r w:rsidRPr="0038256A">
        <w:tab/>
        <w:t xml:space="preserve">kéri, hogy a </w:t>
      </w:r>
      <w:r w:rsidR="00E075D5" w:rsidRPr="0038256A">
        <w:t>28. rendszer</w:t>
      </w:r>
      <w:r w:rsidR="0000693C" w:rsidRPr="0038256A">
        <w:t xml:space="preserve">ről szóló </w:t>
      </w:r>
      <w:r w:rsidRPr="0038256A">
        <w:t xml:space="preserve">jogalkotási javaslatba foglalják bele a „steward </w:t>
      </w:r>
      <w:proofErr w:type="spellStart"/>
      <w:r w:rsidRPr="0038256A">
        <w:t>ownership</w:t>
      </w:r>
      <w:proofErr w:type="spellEnd"/>
      <w:r w:rsidRPr="0038256A">
        <w:t>” (felelős tulajdonosi modell szerint működő vállalkozás) választható formáit, a tőkelekötéseket („</w:t>
      </w:r>
      <w:proofErr w:type="spellStart"/>
      <w:r w:rsidRPr="0038256A">
        <w:t>asset</w:t>
      </w:r>
      <w:proofErr w:type="spellEnd"/>
      <w:r w:rsidRPr="0038256A">
        <w:t xml:space="preserve"> </w:t>
      </w:r>
      <w:proofErr w:type="spellStart"/>
      <w:r w:rsidRPr="0038256A">
        <w:t>locks</w:t>
      </w:r>
      <w:proofErr w:type="spellEnd"/>
      <w:r w:rsidRPr="0038256A">
        <w:t xml:space="preserve">”) és a különböző részvényosztályokat, különösen a hűségrészvényeket és a kettős osztályú részvénystruktúrákat, a vétójogot biztosító részvényeket is beleértve; hangsúlyozza, hogy az európai innovatív vállalatoknak, különösen a kkv-knak, az induló és a növekvő innovatív vállalkozásoknak alternatív útvonalakra van szükségük a </w:t>
      </w:r>
      <w:proofErr w:type="spellStart"/>
      <w:r w:rsidRPr="0038256A">
        <w:t>tőkéhez</w:t>
      </w:r>
      <w:proofErr w:type="spellEnd"/>
      <w:r w:rsidRPr="0038256A">
        <w:t xml:space="preserve"> való hozzáféréshez; hangsúlyozza, hogy alternatív finanszírozási modellekre van szükség egy S.EU életciklusának korai szakaszaiban; úgy véli, hogy az európai innovatív vállalkozók szándékában állhat megvédeni magukat a „gyilkos felvásárlásoktól” annak megakadályozása érdekében, hogy az innováció – amelyet gyakran az európai állami kutatási alapok támogatnak – az Unión kívülre kerüljön; úgy véli, hogy az összefonódásokra vonatkozó szabályozás nem elegendő e probléma kezelésére;</w:t>
      </w:r>
    </w:p>
    <w:p w14:paraId="393D5D12" w14:textId="77777777" w:rsidR="00C545F3" w:rsidRPr="0038256A" w:rsidRDefault="00C545F3" w:rsidP="00E075D5">
      <w:pPr>
        <w:pStyle w:val="NormalHanging12a"/>
        <w:widowControl/>
      </w:pPr>
      <w:r w:rsidRPr="0038256A">
        <w:t>23.</w:t>
      </w:r>
      <w:r w:rsidRPr="0038256A">
        <w:tab/>
        <w:t>hangsúlyozza, hogy nem szabad aláásni a meglévő uniós vagy nemzeti szintű normákat, és ezáltal elő kell mozdítani a jogbiztonságot és védve a közérdeket, például a pénzmosás megelőzését, az uniós szankciórendszerek tiszteletben tartását, valamint a munkavállalók, képviselőik és a szakszervezetek és más kiszolgáltatott felek védelmét a tagállamok nemzeti jogrendjében; megismétli, hogy minden S. EU-nak meg kell felelnie az uniós és nemzeti munkajogban meghatározott követelményeknek;</w:t>
      </w:r>
    </w:p>
    <w:p w14:paraId="0228511C" w14:textId="4CE8234F" w:rsidR="00C545F3" w:rsidRPr="0038256A" w:rsidRDefault="00C545F3" w:rsidP="00E075D5">
      <w:pPr>
        <w:pStyle w:val="NormalHanging12a"/>
        <w:widowControl/>
      </w:pPr>
      <w:r w:rsidRPr="0038256A">
        <w:t>24.</w:t>
      </w:r>
      <w:r w:rsidRPr="0038256A">
        <w:tab/>
        <w:t>úgy véli, hogy biztosítékokat kell bevezetni a munkavállalóknak, a munkavállalók képviselőinek vagy mindkettőnek a társaság ügyeiben való részvételére vonatkozóan; a részvételt a 2001/86/EK irányelv 2. cikkének k) pontjában meghatározottak szerint értelmezi; megismétli, hogy az S.EU-t a székhelye szerinti tagállamnak javasolt ugyanúgy kezelnie, mint a hasonló hazai társaságokat, a fogadó tagállamoknak pedig ugyanúgy, mint a hasonló uniós külföldi jog szerinti társaságokat, biztosítva ugyanakkor, hogy hatékonyan megakadályozzák, hogy az S.EU-t mesterséges módon a munkavállalói részvételre vonatkozóan a tagállamok jogában jelenleg fennálló védelmi szint megkerülésére használják; kiemeli, hogy az S.EU-</w:t>
      </w:r>
      <w:proofErr w:type="spellStart"/>
      <w:r w:rsidRPr="0038256A">
        <w:t>ra</w:t>
      </w:r>
      <w:proofErr w:type="spellEnd"/>
      <w:r w:rsidRPr="0038256A">
        <w:t xml:space="preserve"> vonatkozniuk kell a foglalkoztatás helye szerinti tagállam munkavállalói részvételre vonatkozó hatályos </w:t>
      </w:r>
      <w:r w:rsidRPr="0038256A">
        <w:lastRenderedPageBreak/>
        <w:t>szabályainak, ha vannak ilyenek; hangsúlyozza, hogy ennek megfelelően az S.EU-</w:t>
      </w:r>
      <w:proofErr w:type="spellStart"/>
      <w:r w:rsidRPr="0038256A">
        <w:t>nak</w:t>
      </w:r>
      <w:proofErr w:type="spellEnd"/>
      <w:r w:rsidRPr="0038256A">
        <w:t xml:space="preserve"> a foglalkoztatás helye szerinti alkalmazandó nemzeti joggal összhangban vezetőtestületi szintű munkavállalói képviseleti jogokat kell bevezetnie, amint </w:t>
      </w:r>
      <w:r w:rsidR="0000693C" w:rsidRPr="0038256A">
        <w:t xml:space="preserve">az S.EU </w:t>
      </w:r>
      <w:r w:rsidRPr="0038256A">
        <w:t>munkavállalóinak száma meghaladja a munkavégzés helye szerinti nemzeti jogban meghatározott, az adott tagállamban a vezetőtestületi szintű munkavállalói képviseleti jogok aktiválására vonatkozó küszöbértéket; úgy véli, hogy a 2001/86/EK irányelv 3–7. cikkében meghatározott egyeztetési eljárás tartalékmegoldás, feltéve, hogy a már megállapított munkavállalói részvételi jogokat nem kerülik meg;</w:t>
      </w:r>
    </w:p>
    <w:p w14:paraId="5FBC6348" w14:textId="009F7388" w:rsidR="00C545F3" w:rsidRPr="0038256A" w:rsidRDefault="00C545F3" w:rsidP="00E075D5">
      <w:pPr>
        <w:pStyle w:val="NormalHanging12a"/>
        <w:widowControl/>
        <w:rPr>
          <w:bCs/>
          <w:iCs/>
        </w:rPr>
      </w:pPr>
      <w:r w:rsidRPr="0038256A">
        <w:t>25.</w:t>
      </w:r>
      <w:r w:rsidRPr="0038256A">
        <w:tab/>
        <w:t>hangsúlyozza, hogy a 28. rendszer nem vezethet előre alapított S.EU-k létrehozásához vagy a postafiókcégek számának növekedéséhez, mivel az ilyen gyakorlatok aláássák a szabályozás integritását, torzítják a tisztességes versenyt, és aláássák a valódi gazdasági tevékenységet az Unión belül; hangsúlyozza, hogy a 28. rendszer nem sértheti a szakszervezetek és a munkáltatói szervezetek kollektív szerződésekkel kapcsolatos tárgyalásokhoz való jogát;</w:t>
      </w:r>
    </w:p>
    <w:p w14:paraId="59399F44" w14:textId="77777777" w:rsidR="00C545F3" w:rsidRPr="0038256A" w:rsidRDefault="00C545F3" w:rsidP="00E075D5">
      <w:pPr>
        <w:pStyle w:val="NormalHanging12a"/>
        <w:widowControl/>
      </w:pPr>
      <w:r w:rsidRPr="0038256A">
        <w:t>26.</w:t>
      </w:r>
      <w:r w:rsidRPr="0038256A">
        <w:tab/>
        <w:t xml:space="preserve">úgy véli, hogy azok a társaságok, amelyek esetében hivatalosan megállapították a csalásra, az adózásra, a társadalombiztosítási szabályok kijátszására vagy a munkavállalói részvételre vonatkozó kötelező szabályok megsértését, nem vehetnek részt a 28. rendszerben;  </w:t>
      </w:r>
    </w:p>
    <w:p w14:paraId="129FE9F1" w14:textId="77777777" w:rsidR="00C545F3" w:rsidRPr="0038256A" w:rsidRDefault="00C545F3" w:rsidP="00E075D5">
      <w:pPr>
        <w:pStyle w:val="NormalHanging12a"/>
        <w:widowControl/>
        <w:rPr>
          <w:b/>
          <w:bCs/>
          <w:i/>
          <w:iCs/>
        </w:rPr>
      </w:pPr>
      <w:r w:rsidRPr="0038256A">
        <w:rPr>
          <w:b/>
          <w:i/>
        </w:rPr>
        <w:t xml:space="preserve">A tehetségek vonzása és támogatása  </w:t>
      </w:r>
    </w:p>
    <w:p w14:paraId="1BDE8E28" w14:textId="001FD61E" w:rsidR="00C545F3" w:rsidRPr="0038256A" w:rsidRDefault="00C545F3" w:rsidP="00E075D5">
      <w:pPr>
        <w:pStyle w:val="NormalHanging12a"/>
        <w:widowControl/>
      </w:pPr>
      <w:r w:rsidRPr="0038256A">
        <w:t>27.</w:t>
      </w:r>
      <w:r w:rsidRPr="0038256A">
        <w:tab/>
        <w:t>hangsúlyozza, hogy az S.EU keretének partnerségeket kell előmozdítania az egyetemekkel, kutatóintézetekkel és technológiatranszfer-irodákkal a laboratóriumtól a piacig vezető folyamat felgyorsítása, a kutatási infrastruktúrához és szakértelemhez való hozzáférés biztosítása, valamint a kutatási eredmények kereskedelmi hasznosításának támogatása érdekében, erősítve ezáltal az innováció által vezérelt ökoszisztémákat;</w:t>
      </w:r>
    </w:p>
    <w:p w14:paraId="44005292" w14:textId="77777777" w:rsidR="00C545F3" w:rsidRPr="0038256A" w:rsidRDefault="00C545F3" w:rsidP="00E075D5">
      <w:pPr>
        <w:pStyle w:val="NormalHanging12a"/>
        <w:widowControl/>
      </w:pPr>
      <w:r w:rsidRPr="0038256A">
        <w:t>28.</w:t>
      </w:r>
      <w:r w:rsidRPr="0038256A">
        <w:tab/>
        <w:t xml:space="preserve">kiemeli, hogy az S.EU keretének meg kell könnyítenie az Unión belüli szabad mozgást anélkül, hogy közvetítőkre lenne szükség az adminisztratív folyamatokban, tiszteletben tartva ugyanakkor a munkajogra és a szociális jogra vonatkozó uniós és nemzeti szabályokat; </w:t>
      </w:r>
    </w:p>
    <w:p w14:paraId="5B6C9429" w14:textId="77777777" w:rsidR="00C545F3" w:rsidRPr="0038256A" w:rsidRDefault="00C545F3" w:rsidP="00E075D5">
      <w:pPr>
        <w:pStyle w:val="NormalHanging12a"/>
        <w:widowControl/>
        <w:rPr>
          <w:bCs/>
          <w:iCs/>
        </w:rPr>
      </w:pPr>
      <w:r w:rsidRPr="0038256A">
        <w:t>29.</w:t>
      </w:r>
      <w:r w:rsidRPr="0038256A">
        <w:tab/>
        <w:t>hangsúlyozza, hogy a legkiválóbb tehetségek vonzása elengedhetetlen az Unión belüli növekedéshez és innovációhoz, és hogy a kkv-k, az induló és a növekvő innovatív vállalkozások gyakran nehézségekbe ütköznek az egységes piacon a képzett szakemberek vonzása és megtartása érdekében nyújtott megfelelő versenyképes pénzügyi ösztönzők – például részvények vagy nyereségelosztás – nyújtása terén; hangsúlyozza, hogy a termelékenység növekedésének, az innovációnak és a társadalmi befogadásnak kéz a kézben kell járnia; úgy véli, hogy fontolóra kell venni a munkavállalók pénzügyi részvételére vonatkozó szabályok harmonizálását, különösen a munkavállalói részvénytulajdonosi tervek (ESOP-ok) és a munkavállalói részvényopciók (ESO-k) létrehozása révén;</w:t>
      </w:r>
    </w:p>
    <w:p w14:paraId="6F7CE306" w14:textId="77777777" w:rsidR="00C545F3" w:rsidRPr="0038256A" w:rsidRDefault="00C545F3" w:rsidP="00E075D5">
      <w:pPr>
        <w:pStyle w:val="NormalHanging12a"/>
        <w:widowControl/>
        <w:rPr>
          <w:bCs/>
          <w:iCs/>
        </w:rPr>
      </w:pPr>
      <w:r w:rsidRPr="0038256A">
        <w:t>30.</w:t>
      </w:r>
      <w:r w:rsidRPr="0038256A">
        <w:tab/>
        <w:t xml:space="preserve">hangsúlyozza, hogy a munkavállalók pénzügyi részvételére vonatkozó harmonizált szabályok azon vállalkozók kulcsfontosságú igényei közé tartoznak, akik számára nehézséget jelent, hogy a belső piacon egyenlő juttatásokat biztosítsanak munkavállalóik számára; kiemeli, hogy a harmonizált szabályok nem sérthetik a költségvetési politikát, hanem inkább lehetővé kell tenniük a munkavállalók számára, hogy progresszív részvényopciókkal rendelkezzenek; úgy véli, hogy az ilyen harmonizált szabályok lehetővé tennék a munkavállalók számára, hogy tulajdonosi </w:t>
      </w:r>
      <w:r w:rsidRPr="0038256A">
        <w:lastRenderedPageBreak/>
        <w:t xml:space="preserve">érdekeltséget szerezzenek, és közvetlenül profitáljanak vállalatuk sikeréből, előmozdítva a hosszú távú lojalitást, az innovációt és a növekedés méltányosabb elosztását; hangsúlyozza annak fontosságát, hogy a Bizottság iránymutatásokat dolgozzon ki a saját tőke értékelésére és a megszolgálási időszakokra vonatkozóan; ezzel összefüggésben megjegyzi, hogy az adózással kapcsolatos kérdések, amelyek adózási szempontból vonzóvá teszik a munkavállalók pénzügyi részvételét, érzékenyek és kritikusak a legkiválóbb tehetségek vonzásának sikere szempontjából, és ezért felhívja a Bizottságot, hogy a 28. rendszerre vonatkozó csomag részeként foglalkozzon ezekkel a kérdésekkel a jogi koherencia és a határokon átnyúló alkalmazhatóság biztosítása érdekében; </w:t>
      </w:r>
    </w:p>
    <w:p w14:paraId="251E603B" w14:textId="77777777" w:rsidR="00C545F3" w:rsidRPr="0038256A" w:rsidRDefault="00C545F3" w:rsidP="00E075D5">
      <w:pPr>
        <w:pStyle w:val="NormalHanging12a"/>
        <w:widowControl/>
        <w:rPr>
          <w:bCs/>
          <w:iCs/>
        </w:rPr>
      </w:pPr>
      <w:r w:rsidRPr="0038256A">
        <w:t>31.</w:t>
      </w:r>
      <w:r w:rsidRPr="0038256A">
        <w:tab/>
        <w:t xml:space="preserve">kitart amellett, hogy a munkavállalói pénzügyi részvételi rendszerekre vonatkozó harmonizált szabályokat úgy kell kialakítani, hogy azok kedvezőbb munkakörnyezetet teremtsenek, és megkülönböztetésmentesek legyenek; hangsúlyozza, hogy az ilyen rendszerek nem helyettesíthetik vagy csökkenthetik a javadalmazást, és a munkavállalók számára alacsony küszöbértéket kell biztosítani az ezekhez való hozzáféréshez; </w:t>
      </w:r>
    </w:p>
    <w:p w14:paraId="195E8570" w14:textId="77777777" w:rsidR="00C545F3" w:rsidRPr="0038256A" w:rsidRDefault="00C545F3" w:rsidP="00E075D5">
      <w:pPr>
        <w:pStyle w:val="NormalHanging12a"/>
        <w:widowControl/>
        <w:rPr>
          <w:b/>
          <w:i/>
        </w:rPr>
      </w:pPr>
      <w:r w:rsidRPr="0038256A">
        <w:rPr>
          <w:b/>
          <w:i/>
        </w:rPr>
        <w:t xml:space="preserve">A </w:t>
      </w:r>
      <w:proofErr w:type="spellStart"/>
      <w:r w:rsidRPr="0038256A">
        <w:rPr>
          <w:b/>
          <w:i/>
        </w:rPr>
        <w:t>tőkéhez</w:t>
      </w:r>
      <w:proofErr w:type="spellEnd"/>
      <w:r w:rsidRPr="0038256A">
        <w:rPr>
          <w:b/>
          <w:i/>
        </w:rPr>
        <w:t xml:space="preserve"> való hozzáférés</w:t>
      </w:r>
    </w:p>
    <w:p w14:paraId="5A31D089" w14:textId="5B342925" w:rsidR="00C545F3" w:rsidRPr="0038256A" w:rsidRDefault="00C545F3" w:rsidP="00E075D5">
      <w:pPr>
        <w:pStyle w:val="NormalHanging12a"/>
        <w:widowControl/>
        <w:rPr>
          <w:bCs/>
          <w:iCs/>
        </w:rPr>
      </w:pPr>
      <w:r w:rsidRPr="0038256A">
        <w:t>32.</w:t>
      </w:r>
      <w:r w:rsidRPr="0038256A">
        <w:tab/>
        <w:t xml:space="preserve">kiemeli, hogy az S.EU-k létrehozására irányuló 28. rendszerre vonatkozó </w:t>
      </w:r>
      <w:r w:rsidR="0000693C" w:rsidRPr="0038256A">
        <w:t xml:space="preserve">jogalkotási </w:t>
      </w:r>
      <w:r w:rsidRPr="0038256A">
        <w:t xml:space="preserve">javaslatnak összességében egyértelmű helyzetet kell teremtenie az európai és külföldi befektetők számára annak érdekében, hogy harmonizált szabályok alapján, határokon átnyúló beruházásokat tudjanak végrehajtani; </w:t>
      </w:r>
    </w:p>
    <w:p w14:paraId="4419F01C" w14:textId="6065E8BB" w:rsidR="00C545F3" w:rsidRPr="0038256A" w:rsidRDefault="00C545F3" w:rsidP="00E075D5">
      <w:pPr>
        <w:pStyle w:val="NormalHanging12a"/>
        <w:widowControl/>
      </w:pPr>
      <w:r w:rsidRPr="0038256A">
        <w:t>33.</w:t>
      </w:r>
      <w:r w:rsidRPr="0038256A">
        <w:tab/>
        <w:t>kéri, hogy a jogi egyértelműség, a határokon átnyúló felhasználás és a befektetők ismereteinek biztosítása érdekében a részvényesi megállapodásokra és az alapszabályokra vonatkozóan dolgozzanak ki az S.EU-k által az Unió egészében használandó egységesített többnyelvű mintadokumentumokat, és kéri, hogy a 17. pontban említett digitális portál révén kövessék nyomon e mintadokumentumok, valamint a kifejezetten az S.EU-</w:t>
      </w:r>
      <w:proofErr w:type="spellStart"/>
      <w:r w:rsidRPr="0038256A">
        <w:t>kra</w:t>
      </w:r>
      <w:proofErr w:type="spellEnd"/>
      <w:r w:rsidRPr="0038256A">
        <w:t xml:space="preserve"> </w:t>
      </w:r>
      <w:r w:rsidRPr="0038256A">
        <w:rPr>
          <w:shd w:val="clear" w:color="auto" w:fill="FFFFFF"/>
        </w:rPr>
        <w:t>szabott más alapvető és operatív sablonok használatát és azoknak való megfelelést; javasolja, hogy ezek a mintadokumentumok szolgáljanak opcionális alapértelmezett sablonként az S.EU-k bejegyzési folyamatában;</w:t>
      </w:r>
      <w:r w:rsidR="0000693C" w:rsidRPr="0038256A">
        <w:rPr>
          <w:shd w:val="clear" w:color="auto" w:fill="FFFFFF"/>
        </w:rPr>
        <w:t xml:space="preserve"> </w:t>
      </w:r>
      <w:r w:rsidRPr="0038256A">
        <w:rPr>
          <w:shd w:val="clear" w:color="auto" w:fill="FFFFFF"/>
        </w:rPr>
        <w:t>javasolja a mintadokumentumoktól való eltérés lehetővé tételét a sajátos üzleti követelmények figyelembevétele érdekében;</w:t>
      </w:r>
      <w:r w:rsidRPr="0038256A">
        <w:t xml:space="preserve"> </w:t>
      </w:r>
    </w:p>
    <w:p w14:paraId="321D41EE" w14:textId="5F193DDA" w:rsidR="00C545F3" w:rsidRPr="0038256A" w:rsidRDefault="00C545F3" w:rsidP="00E075D5">
      <w:pPr>
        <w:pStyle w:val="NormalHanging12a"/>
        <w:widowControl/>
      </w:pPr>
      <w:r w:rsidRPr="0038256A">
        <w:t>34.</w:t>
      </w:r>
      <w:r w:rsidRPr="0038256A">
        <w:tab/>
        <w:t>úgy véli, hogy a</w:t>
      </w:r>
      <w:r w:rsidR="0000693C" w:rsidRPr="0038256A">
        <w:t xml:space="preserve"> 28. rendszerről szóló</w:t>
      </w:r>
      <w:r w:rsidRPr="0038256A">
        <w:t xml:space="preserve"> jogalkotási javaslatnak harmonizált szabályokat kell tartalmaznia a részvényjellegű, hitelviszonyt megtestesítő instrumentumokra, valamint az ezen instrumentumokhoz kapcsolódó fizetésképtelenségi szabályokra vonatkozóan, lehetővé téve a befektetők számára, hogy a társaság feletti ellenőrzési jog megszerzése nélkül fektessenek be egy társaságba;</w:t>
      </w:r>
    </w:p>
    <w:p w14:paraId="2777268C" w14:textId="77777777" w:rsidR="00C545F3" w:rsidRPr="0038256A" w:rsidRDefault="00C545F3" w:rsidP="00E075D5">
      <w:pPr>
        <w:pStyle w:val="NormalHanging12a"/>
        <w:widowControl/>
        <w:rPr>
          <w:shd w:val="clear" w:color="auto" w:fill="FFFFFF"/>
        </w:rPr>
      </w:pPr>
      <w:r w:rsidRPr="0038256A">
        <w:rPr>
          <w:shd w:val="clear" w:color="auto" w:fill="FFFFFF"/>
        </w:rPr>
        <w:t>35.</w:t>
      </w:r>
      <w:r w:rsidRPr="0038256A">
        <w:rPr>
          <w:shd w:val="clear" w:color="auto" w:fill="FFFFFF"/>
        </w:rPr>
        <w:tab/>
        <w:t xml:space="preserve">megismétli, hogy a </w:t>
      </w:r>
      <w:proofErr w:type="spellStart"/>
      <w:r w:rsidRPr="0038256A">
        <w:rPr>
          <w:shd w:val="clear" w:color="auto" w:fill="FFFFFF"/>
        </w:rPr>
        <w:t>tőkéhez</w:t>
      </w:r>
      <w:proofErr w:type="spellEnd"/>
      <w:r w:rsidRPr="0038256A">
        <w:rPr>
          <w:shd w:val="clear" w:color="auto" w:fill="FFFFFF"/>
        </w:rPr>
        <w:t xml:space="preserve"> való szükséges hozzáférés biztosítása érdekében a finanszírozáshoz való hozzáférés nem korlátozódhat a kockázati tőkére, hanem más típusú befektetésekre is ki kell terjednie, beleértve a tőkebefektetéseket és a szociális hatású befektetéseket, a nyugdíjrendszereket és az állami befektetési alapokat; </w:t>
      </w:r>
    </w:p>
    <w:p w14:paraId="210E8F98" w14:textId="409E3D3D" w:rsidR="00C545F3" w:rsidRPr="0038256A" w:rsidRDefault="00C545F3" w:rsidP="00E075D5">
      <w:pPr>
        <w:pStyle w:val="NormalHanging12a"/>
        <w:widowControl/>
        <w:rPr>
          <w:shd w:val="clear" w:color="auto" w:fill="FFFFFF"/>
        </w:rPr>
      </w:pPr>
      <w:r w:rsidRPr="0038256A">
        <w:rPr>
          <w:shd w:val="clear" w:color="auto" w:fill="FFFFFF"/>
        </w:rPr>
        <w:t>36.</w:t>
      </w:r>
      <w:r w:rsidRPr="0038256A">
        <w:rPr>
          <w:shd w:val="clear" w:color="auto" w:fill="FFFFFF"/>
        </w:rPr>
        <w:tab/>
        <w:t>úgy véli, hogy rendelkezést kell hozni a kkv-k, az induló és növekvő innovatív vállalkozások kutatóintézetekkel való együttműködésének megkönnyítésére a spin-</w:t>
      </w:r>
      <w:proofErr w:type="spellStart"/>
      <w:r w:rsidRPr="0038256A">
        <w:rPr>
          <w:shd w:val="clear" w:color="auto" w:fill="FFFFFF"/>
        </w:rPr>
        <w:t>off</w:t>
      </w:r>
      <w:proofErr w:type="spellEnd"/>
      <w:r w:rsidRPr="0038256A">
        <w:rPr>
          <w:shd w:val="clear" w:color="auto" w:fill="FFFFFF"/>
        </w:rPr>
        <w:t xml:space="preserve"> vállalkozások és a tudástranszfer támogatása érdekében; kiemeli, hogy e célból az S.EU létrehozását teljes mértékben integrálni kell az uniós kezdeményezésekbe a kutatással összefüggésben az adatokhoz való jobb hozzáférés előmozdítása érdekében;</w:t>
      </w:r>
    </w:p>
    <w:p w14:paraId="46A77FAD" w14:textId="77777777" w:rsidR="00C545F3" w:rsidRPr="0038256A" w:rsidRDefault="00C545F3" w:rsidP="00E075D5">
      <w:pPr>
        <w:pStyle w:val="NormalHanging12a"/>
        <w:widowControl/>
        <w:rPr>
          <w:b/>
          <w:i/>
        </w:rPr>
      </w:pPr>
      <w:r w:rsidRPr="0038256A">
        <w:rPr>
          <w:b/>
          <w:i/>
        </w:rPr>
        <w:lastRenderedPageBreak/>
        <w:t>Vitarendezés</w:t>
      </w:r>
    </w:p>
    <w:p w14:paraId="22D9F84D" w14:textId="77777777" w:rsidR="00C545F3" w:rsidRPr="0038256A" w:rsidRDefault="00C545F3" w:rsidP="00E075D5">
      <w:pPr>
        <w:pStyle w:val="NormalHanging12a"/>
        <w:widowControl/>
      </w:pPr>
      <w:r w:rsidRPr="0038256A">
        <w:t>37.</w:t>
      </w:r>
      <w:r w:rsidRPr="0038256A">
        <w:tab/>
        <w:t>úgy véli, hogy a gyors és szakosodott vitarendezés biztosítása érdekében alternatív vitarendezési mechanizmust kell létrehozni az S.EU-</w:t>
      </w:r>
      <w:proofErr w:type="spellStart"/>
      <w:r w:rsidRPr="0038256A">
        <w:t>kkal</w:t>
      </w:r>
      <w:proofErr w:type="spellEnd"/>
      <w:r w:rsidRPr="0038256A">
        <w:t xml:space="preserve"> kapcsolatos viták rendezéséhez; úgy véli továbbá, hogy a tagállamoknak fontolóra kell venniük egy, a vállalkozások közötti, S.EU‑</w:t>
      </w:r>
      <w:proofErr w:type="spellStart"/>
      <w:r w:rsidRPr="0038256A">
        <w:t>kkal</w:t>
      </w:r>
      <w:proofErr w:type="spellEnd"/>
      <w:r w:rsidRPr="0038256A">
        <w:t xml:space="preserve"> kapcsolatos vitákkal foglalkozó különbizottság létrehozását nemzeti bíróságaikon belül, és lehetővé kell tenni, hogy az ilyen különbizottságok a vitarendezést angol nyelven folytassák le; </w:t>
      </w:r>
    </w:p>
    <w:p w14:paraId="1F175D65" w14:textId="77777777" w:rsidR="00C545F3" w:rsidRPr="0038256A" w:rsidRDefault="00C545F3" w:rsidP="00E075D5">
      <w:pPr>
        <w:pStyle w:val="NormalHanging12a"/>
        <w:widowControl/>
        <w:rPr>
          <w:b/>
          <w:i/>
        </w:rPr>
      </w:pPr>
      <w:r w:rsidRPr="0038256A">
        <w:rPr>
          <w:b/>
          <w:i/>
        </w:rPr>
        <w:t>Hatásvizsgálat, felülvizsgálat és értékelés</w:t>
      </w:r>
    </w:p>
    <w:p w14:paraId="5E66A0BD" w14:textId="77777777" w:rsidR="00C545F3" w:rsidRPr="0038256A" w:rsidRDefault="00C545F3" w:rsidP="00E075D5">
      <w:pPr>
        <w:pStyle w:val="NormalHanging12a"/>
        <w:widowControl/>
      </w:pPr>
      <w:r w:rsidRPr="0038256A">
        <w:t>38.</w:t>
      </w:r>
      <w:r w:rsidRPr="0038256A">
        <w:tab/>
        <w:t xml:space="preserve">sürgeti a Bizottságot a 28. rendszerrel kapcsolatos bármely új jogalkotási javaslat átfogó és átlátható hatásvizsgálatára és annak közzétételére, a harmonizációs intézkedéseknek a társaságokra gyakorolt hatására és a társadalmi, adóügyi és jogi következményekre, valamint a nemzeti védelmi normák gyengítésének kockázatára összpontosítva; </w:t>
      </w:r>
    </w:p>
    <w:p w14:paraId="22316394" w14:textId="77777777" w:rsidR="00C545F3" w:rsidRPr="0038256A" w:rsidRDefault="00C545F3" w:rsidP="00E075D5">
      <w:pPr>
        <w:pStyle w:val="NormalHanging12a"/>
        <w:widowControl/>
      </w:pPr>
      <w:r w:rsidRPr="0038256A">
        <w:t>39.</w:t>
      </w:r>
      <w:r w:rsidRPr="0038256A">
        <w:tab/>
        <w:t>felhívja továbbá a Bizottságot a 28. rendszer rendszeres időközönként történő átfogó felülvizsgálatának és szükség esetén módosításának biztosítására, beleértve annak értékelését, hogy a vállalkozások – különösen a kkv-k, az induló és a növekvő innovatív vállalkozások – körében milyen arányban alkalmazzák a rendszert, az igazodik-e a változó üzleti és társadalmi igényekhez, általában véve megfelel-e a céljának, és milyen hatása van az Unió versenyképességére; felhívja a Bizottságot, hogy értékelje az új jogalkotási aktusnak a kkv-k fejlődésére és gazdasági növekedésére gyakorolt lehetséges hatását, és erről tegyen jelentést az Európai Parlamentnek, a Tanácsnak és az Európai Gazdasági és Szociális Bizottságnak; úgy véli, hogy a felülvizsgálati ciklusra négyévente kell sort keríteni az új kihívásokhoz való alkalmazkodóképesség biztosítása érdekében;</w:t>
      </w:r>
    </w:p>
    <w:p w14:paraId="5BC5F457" w14:textId="77777777" w:rsidR="00C545F3" w:rsidRPr="0038256A" w:rsidRDefault="00C545F3" w:rsidP="00E075D5">
      <w:pPr>
        <w:pStyle w:val="NormalHanging12a"/>
        <w:widowControl/>
        <w:rPr>
          <w:b/>
          <w:i/>
        </w:rPr>
      </w:pPr>
      <w:r w:rsidRPr="0038256A">
        <w:rPr>
          <w:b/>
          <w:i/>
        </w:rPr>
        <w:t>Záró rendelkezések</w:t>
      </w:r>
    </w:p>
    <w:p w14:paraId="543B83B2" w14:textId="77777777" w:rsidR="00C545F3" w:rsidRPr="0038256A" w:rsidRDefault="00C545F3" w:rsidP="00E075D5">
      <w:pPr>
        <w:pStyle w:val="NormalHanging12a"/>
        <w:widowControl/>
      </w:pPr>
      <w:r w:rsidRPr="0038256A">
        <w:t>40.</w:t>
      </w:r>
      <w:r w:rsidRPr="0038256A">
        <w:tab/>
        <w:t>kéri a Bizottságot, hogy az EUMSZ 50. és 114. cikke alapján 2026 első negyedévéig nyújtson be egy irányelvre vonatkozó javaslatot az ezen indítvány mellékletében foglalt ajánlásoknak megfelelően;</w:t>
      </w:r>
    </w:p>
    <w:p w14:paraId="0A38388E" w14:textId="77777777" w:rsidR="00C545F3" w:rsidRPr="0038256A" w:rsidRDefault="00C545F3" w:rsidP="00E075D5">
      <w:pPr>
        <w:pStyle w:val="NormalHanging12a"/>
        <w:widowControl/>
      </w:pPr>
      <w:r w:rsidRPr="0038256A">
        <w:t>41.</w:t>
      </w:r>
      <w:r w:rsidRPr="0038256A">
        <w:tab/>
        <w:t>úgy véli, hogy a kért javaslat pénzügyi vonatkozásait szilárd költségvetési forrásokból kell fedezni;</w:t>
      </w:r>
    </w:p>
    <w:p w14:paraId="29DE60DA" w14:textId="77777777" w:rsidR="00C545F3" w:rsidRPr="0038256A" w:rsidRDefault="00C545F3" w:rsidP="00E075D5">
      <w:pPr>
        <w:pStyle w:val="NormalHanging12a"/>
        <w:widowControl/>
      </w:pPr>
      <w:r w:rsidRPr="0038256A">
        <w:t>42.</w:t>
      </w:r>
      <w:r w:rsidRPr="0038256A">
        <w:tab/>
        <w:t>utasítja elnökét, hogy továbbítsa ezt az állásfoglalást és a mellékelt ajánlásokat a Bizottságnak és a Tanácsnak.</w:t>
      </w:r>
    </w:p>
    <w:p w14:paraId="533646B0" w14:textId="77777777" w:rsidR="00C545F3" w:rsidRPr="0038256A" w:rsidRDefault="00C545F3" w:rsidP="00E075D5">
      <w:pPr>
        <w:widowControl/>
        <w:spacing w:after="240"/>
        <w:ind w:left="567" w:hanging="567"/>
      </w:pPr>
    </w:p>
    <w:p w14:paraId="6442B051" w14:textId="77777777" w:rsidR="00C545F3" w:rsidRPr="0038256A" w:rsidRDefault="00C545F3" w:rsidP="00C545F3">
      <w:pPr>
        <w:widowControl/>
        <w:sectPr w:rsidR="00C545F3" w:rsidRPr="0038256A" w:rsidSect="008149DC">
          <w:footerReference w:type="even" r:id="rId9"/>
          <w:footerReference w:type="first" r:id="rId10"/>
          <w:footnotePr>
            <w:numRestart w:val="eachSect"/>
          </w:footnotePr>
          <w:endnotePr>
            <w:numFmt w:val="decimal"/>
          </w:endnotePr>
          <w:pgSz w:w="11906" w:h="16838"/>
          <w:pgMar w:top="1134" w:right="1418" w:bottom="1418" w:left="1418" w:header="1134" w:footer="567" w:gutter="0"/>
          <w:cols w:space="720"/>
          <w:docGrid w:linePitch="326"/>
        </w:sectPr>
      </w:pPr>
    </w:p>
    <w:p w14:paraId="75B35928" w14:textId="11A01F6F" w:rsidR="00E075D5" w:rsidRPr="0038256A" w:rsidRDefault="00C545F3" w:rsidP="00E075D5">
      <w:pPr>
        <w:pStyle w:val="PageHeading"/>
        <w:jc w:val="right"/>
        <w:rPr>
          <w:rFonts w:ascii="Times New Roman" w:hAnsi="Times New Roman" w:cs="Times New Roman"/>
          <w:b w:val="0"/>
          <w:bCs/>
        </w:rPr>
      </w:pPr>
      <w:bookmarkStart w:id="8" w:name="_Toc216878123"/>
      <w:bookmarkStart w:id="9" w:name="_Toc219371383"/>
      <w:r w:rsidRPr="0038256A">
        <w:rPr>
          <w:rFonts w:ascii="Times New Roman" w:hAnsi="Times New Roman" w:cs="Times New Roman"/>
          <w:b w:val="0"/>
          <w:bCs/>
        </w:rPr>
        <w:lastRenderedPageBreak/>
        <w:t>MELLÉKLET AZ ÁLLÁSFOGLALÁSHOZ</w:t>
      </w:r>
    </w:p>
    <w:p w14:paraId="6D730038" w14:textId="7C7045A5" w:rsidR="00C545F3" w:rsidRPr="0038256A" w:rsidRDefault="00C545F3" w:rsidP="00E075D5">
      <w:pPr>
        <w:pStyle w:val="PageHeading"/>
        <w:rPr>
          <w:rFonts w:ascii="Times New Roman" w:hAnsi="Times New Roman" w:cs="Times New Roman"/>
        </w:rPr>
      </w:pPr>
      <w:r w:rsidRPr="0038256A">
        <w:rPr>
          <w:rFonts w:ascii="Times New Roman" w:hAnsi="Times New Roman" w:cs="Times New Roman"/>
        </w:rPr>
        <w:t>A KÉRT JAVASLAT TARTALMÁRA VONATKOZÓ AJÁNLÁSOK</w:t>
      </w:r>
      <w:bookmarkEnd w:id="8"/>
      <w:bookmarkEnd w:id="9"/>
    </w:p>
    <w:p w14:paraId="738EB1AD" w14:textId="77777777" w:rsidR="00C545F3" w:rsidRPr="0038256A" w:rsidRDefault="00C545F3" w:rsidP="00C545F3">
      <w:pPr>
        <w:pStyle w:val="NormalHanging12a"/>
        <w:rPr>
          <w:b/>
          <w:bCs/>
        </w:rPr>
      </w:pPr>
      <w:r w:rsidRPr="0038256A">
        <w:rPr>
          <w:b/>
        </w:rPr>
        <w:t>1.</w:t>
      </w:r>
      <w:r w:rsidRPr="0038256A">
        <w:rPr>
          <w:b/>
        </w:rPr>
        <w:tab/>
        <w:t>Általános elvek és jogalap</w:t>
      </w:r>
    </w:p>
    <w:p w14:paraId="4443212D" w14:textId="4EEC4F7B" w:rsidR="00C545F3" w:rsidRPr="0038256A" w:rsidRDefault="00C545F3" w:rsidP="00C545F3">
      <w:pPr>
        <w:pStyle w:val="NormalHanging12a"/>
        <w:ind w:left="0" w:firstLine="0"/>
      </w:pPr>
      <w:r w:rsidRPr="0038256A">
        <w:t>A Parlament javasolja, hogy a 28. rendszer hatálya alá tartozó társasági forma „</w:t>
      </w:r>
      <w:proofErr w:type="spellStart"/>
      <w:r w:rsidRPr="0038256A">
        <w:t>Societas</w:t>
      </w:r>
      <w:proofErr w:type="spellEnd"/>
      <w:r w:rsidRPr="0038256A">
        <w:t xml:space="preserve"> </w:t>
      </w:r>
      <w:proofErr w:type="spellStart"/>
      <w:r w:rsidRPr="0038256A">
        <w:t>Europaea</w:t>
      </w:r>
      <w:proofErr w:type="spellEnd"/>
      <w:r w:rsidRPr="0038256A">
        <w:t xml:space="preserve"> </w:t>
      </w:r>
      <w:proofErr w:type="spellStart"/>
      <w:r w:rsidRPr="0038256A">
        <w:t>Unificata</w:t>
      </w:r>
      <w:proofErr w:type="spellEnd"/>
      <w:r w:rsidRPr="0038256A">
        <w:t>” (S.EU – egységes európai társaság) néven legyen elnevezve. Az S.EU-</w:t>
      </w:r>
      <w:proofErr w:type="spellStart"/>
      <w:r w:rsidRPr="0038256A">
        <w:t>ra</w:t>
      </w:r>
      <w:proofErr w:type="spellEnd"/>
      <w:r w:rsidRPr="0038256A">
        <w:t xml:space="preserve"> vonatkozó szabályoknak minden tagállamban azonosnak kell lenniük, és a belső piac széttagoltságának leküzdése érdekében a tagállamok nem tarthatnak fenn és nem vezethetnek be nemzeti jogukba az e szabályoktól eltérő rendelkezéseket. Egy szilárd, ambiciózus és átfogó szabályozási keret biztosítása érdekében a Parlament ragaszkodik ahhoz, hogy az S.EU-t olyan jogalap alapján fogadják el, amely a Tanácsban minősített többségi szavazást megkövetelő rendes jogalkotási eljárást ír elő. A Parlament ezért ellenzi az EUMSZ 352. cikke (1) bekezdésének jogalapként való alkalmazását. A Parlament aggodalmának ad hangot a megerősített együttműködés alkalmazása miatt, mivel a 28. rendszer ebben az esetben csak a tagállamok egy alcsoportjában lenne alkalmazandó, ami ahelyett, hogy megszüntetné a belső piac széttagoltságát, tovább tagolná azt, és aláásná az S.EU-k </w:t>
      </w:r>
      <w:proofErr w:type="spellStart"/>
      <w:r w:rsidRPr="0038256A">
        <w:t>vonzerejét</w:t>
      </w:r>
      <w:proofErr w:type="spellEnd"/>
      <w:r w:rsidRPr="0038256A">
        <w:t>, amelyeket ebben az esetben nem ismernének el az egész Unióban. Előfordulhat, hogy az S.EU-t létrehozó 28. rendszert több jog</w:t>
      </w:r>
      <w:r w:rsidR="0000693C" w:rsidRPr="0038256A">
        <w:t>alkotás</w:t>
      </w:r>
      <w:r w:rsidRPr="0038256A">
        <w:t>i aktussal kell elfogadni, nem pedig egyetlen átfogó jog</w:t>
      </w:r>
      <w:r w:rsidR="0000693C" w:rsidRPr="0038256A">
        <w:t>alkotás</w:t>
      </w:r>
      <w:r w:rsidRPr="0038256A">
        <w:t>i eszközzel. Ebben az esetben minden egyes külön jogalkotási javaslatnak ugyanazokat a biztosítékokat kell nyújtania a közérdekek, például a munkajog, valamint a munkavállalói és szakszervezeti jogok védelme tekintetében. A rendszer társasági jogi elemeit az EUMSZ 50. cikke és 114. cikkének (1) bekezdése alapján kell elfogadni, amelyek a társasági jog területén a rendes jogalkotási eljárást a Tanácsban minősített többségi szavazással előíró jog</w:t>
      </w:r>
      <w:r w:rsidR="0000693C" w:rsidRPr="0038256A">
        <w:t>alkotás</w:t>
      </w:r>
      <w:r w:rsidRPr="0038256A">
        <w:t>i aktusok egyetlen jogalapját képezik; az EUMSZ 50. cikke azonban csak irányelvek elfogadását teszi lehetővé. Ennek megfelelően az S.EU nem lenne önálló társasági forma, hanem egy minden tagállamban létrehozható nemzeti társasági formáról lenne szó, amelynek az uniós jog által harmonizált alapvető elemekből kell állnia annak érdekében, hogy elkerülhető legyen a túlzott átültetés és a nemzeti S.EU-k sokfélesége, ami ellentétes lenne a 28. rendszer célkitűzésével. A</w:t>
      </w:r>
      <w:r w:rsidR="00A15ED2">
        <w:t>z</w:t>
      </w:r>
      <w:r w:rsidRPr="0038256A">
        <w:t xml:space="preserve"> „S.EU” rövidítést javasolt felvenni a már meglévő nemzeti társasági formák rövidítései közé.</w:t>
      </w:r>
    </w:p>
    <w:p w14:paraId="5E5C8167" w14:textId="25F3E0AB" w:rsidR="00C545F3" w:rsidRPr="0038256A" w:rsidRDefault="00C545F3" w:rsidP="00C545F3">
      <w:pPr>
        <w:pStyle w:val="NormalHanging12a"/>
        <w:ind w:left="0" w:firstLine="0"/>
      </w:pPr>
      <w:r w:rsidRPr="0038256A">
        <w:t>A</w:t>
      </w:r>
      <w:r w:rsidR="006277E5" w:rsidRPr="0038256A">
        <w:t>z</w:t>
      </w:r>
      <w:r w:rsidRPr="0038256A">
        <w:t xml:space="preserve"> S.EU-</w:t>
      </w:r>
      <w:proofErr w:type="spellStart"/>
      <w:r w:rsidRPr="0038256A">
        <w:t>nak</w:t>
      </w:r>
      <w:proofErr w:type="spellEnd"/>
      <w:r w:rsidRPr="0038256A">
        <w:t xml:space="preserve"> a nemzeti jog alapján létrehozott társasági formákra javasolt épülnie. A tagállamok számára javasolt lehetővé tenni, hogy szabadon döntsenek arról, hogy engedélyezik-e a meglévő nemzeti társasági formák S.EU-</w:t>
      </w:r>
      <w:proofErr w:type="spellStart"/>
      <w:r w:rsidRPr="0038256A">
        <w:t>vá</w:t>
      </w:r>
      <w:proofErr w:type="spellEnd"/>
      <w:r w:rsidRPr="0038256A">
        <w:t xml:space="preserve"> történő átalakítását, vagy új nemzeti társasági formát hoznak létre. A nemzeti társasági forma alapítói vagy tulajdonosai számára javasolt lehetővé tenni, hogy önkéntesen csatlakozzanak az új rendszerhez, amely lehetővé tenné az „S.EU” társasági megjelölés használatát.</w:t>
      </w:r>
    </w:p>
    <w:p w14:paraId="1DDD4641" w14:textId="2E155250" w:rsidR="00C545F3" w:rsidRPr="0038256A" w:rsidRDefault="00C545F3" w:rsidP="00C545F3">
      <w:pPr>
        <w:pStyle w:val="NormalHanging12a"/>
        <w:ind w:left="0" w:firstLine="0"/>
      </w:pPr>
      <w:r w:rsidRPr="0038256A">
        <w:t>A</w:t>
      </w:r>
      <w:r w:rsidR="0000693C" w:rsidRPr="0038256A">
        <w:t>z</w:t>
      </w:r>
      <w:r w:rsidRPr="0038256A">
        <w:t xml:space="preserve"> S.EU-</w:t>
      </w:r>
      <w:proofErr w:type="spellStart"/>
      <w:r w:rsidRPr="0038256A">
        <w:t>kat</w:t>
      </w:r>
      <w:proofErr w:type="spellEnd"/>
      <w:r w:rsidRPr="0038256A">
        <w:t xml:space="preserve"> valamennyi tagállam nemzeti jogrendjének automatikusan korlátolt felelősségű társaságként célszerű elismernie. </w:t>
      </w:r>
    </w:p>
    <w:p w14:paraId="4CDCEC6D" w14:textId="2180B851" w:rsidR="00C545F3" w:rsidRPr="0038256A" w:rsidRDefault="00C545F3" w:rsidP="00C545F3">
      <w:pPr>
        <w:pStyle w:val="NormalHanging12a"/>
        <w:ind w:left="0" w:firstLine="0"/>
      </w:pPr>
      <w:r w:rsidRPr="0038256A">
        <w:t>A</w:t>
      </w:r>
      <w:r w:rsidR="006277E5" w:rsidRPr="0038256A">
        <w:t>z</w:t>
      </w:r>
      <w:r w:rsidRPr="0038256A">
        <w:t xml:space="preserve"> S.EU létrehozása tekintetében azon tagállam jogát javasolt alkalmazandó jognak tekinteni, amelyben a szóban forgó társaság bejegyzésre kerül. Az említett elvtől eltérve és az előre meghatározott közérdekek védelme érdekében javasolt lehetővé tenni az alkalmazandó jognak a cégbejegyzés helye helyett egy nyomós kapcsoló elv révén történő meghatározását.</w:t>
      </w:r>
    </w:p>
    <w:p w14:paraId="5266F002" w14:textId="77777777" w:rsidR="00C545F3" w:rsidRPr="0038256A" w:rsidRDefault="00C545F3" w:rsidP="00C545F3">
      <w:pPr>
        <w:pStyle w:val="NormalHanging12a"/>
        <w:ind w:left="0" w:firstLine="0"/>
      </w:pPr>
      <w:r w:rsidRPr="0038256A">
        <w:t xml:space="preserve">Az S.EU létesítő elemeit érintő jogbiztonság érdekében az EUMSZ 50. cikke és 114. </w:t>
      </w:r>
      <w:r w:rsidRPr="0038256A">
        <w:lastRenderedPageBreak/>
        <w:t>cikkének (1) bekezdése alapján elfogadott irányelvnek maximális harmonizációt biztosító irányelvnek kell lennie.</w:t>
      </w:r>
    </w:p>
    <w:p w14:paraId="52125178" w14:textId="7098F873" w:rsidR="00C545F3" w:rsidRPr="0038256A" w:rsidRDefault="00C545F3" w:rsidP="00C545F3">
      <w:pPr>
        <w:pStyle w:val="NormalHanging12a"/>
        <w:ind w:left="0" w:firstLine="0"/>
      </w:pPr>
      <w:r w:rsidRPr="0038256A">
        <w:t>A Parlament tudatában van annak a kockázatnak, hogy egy S.EU automatikus elismerése a munkavállalókat, képviselőiket és szakszervezeteiket, valamint a más kiszolgáltatott feleket és más közérdekeket védő, kötelező nemzeti szabályok megkerüléséhez vezethet. Az S.EU társasági szabályai ezért nem érinthetik az egyéni és a kollektív munkajog területén alkalmazott uniós és nemzeti jogot, többek között a társaság ügyeiben való munkavállalói részvétel szabályait, és olyan biztosítékokat kell tartalmazniuk, amelyek ténylegesen megakadályozzák a</w:t>
      </w:r>
      <w:r w:rsidR="00A15ED2">
        <w:t>z</w:t>
      </w:r>
      <w:r w:rsidRPr="0038256A">
        <w:t xml:space="preserve"> S.EU visszaélésszerű használatát.</w:t>
      </w:r>
    </w:p>
    <w:p w14:paraId="709E7127" w14:textId="77777777" w:rsidR="00C545F3" w:rsidRPr="0038256A" w:rsidRDefault="00C545F3" w:rsidP="00C545F3">
      <w:pPr>
        <w:pStyle w:val="NormalHanging12a"/>
        <w:rPr>
          <w:b/>
        </w:rPr>
      </w:pPr>
      <w:r w:rsidRPr="0038256A">
        <w:rPr>
          <w:b/>
        </w:rPr>
        <w:t>2.</w:t>
      </w:r>
      <w:r w:rsidRPr="0038256A">
        <w:rPr>
          <w:b/>
        </w:rPr>
        <w:tab/>
        <w:t>Hatály</w:t>
      </w:r>
    </w:p>
    <w:p w14:paraId="0967E6A6" w14:textId="37804538" w:rsidR="00C545F3" w:rsidRPr="0038256A" w:rsidRDefault="00C545F3" w:rsidP="00C545F3">
      <w:pPr>
        <w:pStyle w:val="NormalHanging12a"/>
        <w:ind w:left="0" w:firstLine="0"/>
        <w:rPr>
          <w:b/>
          <w:bCs/>
        </w:rPr>
      </w:pPr>
      <w:r w:rsidRPr="0038256A">
        <w:t>A tagállamoknak nemzeti jogrendjükben olyan szabályokat javasolt előírniuk, amelyek betartásuk esetén lehetővé teszik, hogy a nemzeti társasági formában működő társaság a nevében feltüntesse a</w:t>
      </w:r>
      <w:r w:rsidR="00A15ED2">
        <w:t>z</w:t>
      </w:r>
      <w:r w:rsidRPr="0038256A">
        <w:t xml:space="preserve"> „S.EU” rövidítést. A</w:t>
      </w:r>
      <w:r w:rsidR="006277E5" w:rsidRPr="0038256A">
        <w:t>z</w:t>
      </w:r>
      <w:r w:rsidRPr="0038256A">
        <w:t xml:space="preserve"> S.EU-ként való bejegyzéshez a nemzeti társasági formának a következőknek javasolt megfelelnie: </w:t>
      </w:r>
    </w:p>
    <w:p w14:paraId="72081CFB" w14:textId="77777777" w:rsidR="00C545F3" w:rsidRPr="0038256A" w:rsidRDefault="00C545F3" w:rsidP="00C545F3">
      <w:pPr>
        <w:pStyle w:val="NormalHanging12a"/>
        <w:ind w:left="360" w:hanging="360"/>
      </w:pPr>
      <w:r w:rsidRPr="0038256A">
        <w:rPr>
          <w:rFonts w:ascii="Museo Sans Cond 100" w:hAnsi="Museo Sans Cond 100"/>
        </w:rPr>
        <w:t>–</w:t>
      </w:r>
      <w:r w:rsidRPr="0038256A">
        <w:rPr>
          <w:rFonts w:ascii="Museo Sans Cond 100" w:hAnsi="Museo Sans Cond 100"/>
        </w:rPr>
        <w:tab/>
      </w:r>
      <w:r w:rsidRPr="0038256A">
        <w:t>olyan jogképességgel rendelkező jogi személynek kell lennie, amelyet a bejegyzés napján minden tagállamban automatikusan elismernek;</w:t>
      </w:r>
    </w:p>
    <w:p w14:paraId="3C4CCF9B" w14:textId="77777777" w:rsidR="00C545F3" w:rsidRPr="0038256A" w:rsidRDefault="00C545F3" w:rsidP="00C545F3">
      <w:pPr>
        <w:pStyle w:val="NormalHanging12a"/>
        <w:ind w:left="360" w:hanging="360"/>
      </w:pPr>
      <w:r w:rsidRPr="0038256A">
        <w:rPr>
          <w:rFonts w:ascii="Museo Sans Cond 100" w:hAnsi="Museo Sans Cond 100"/>
        </w:rPr>
        <w:t>–</w:t>
      </w:r>
      <w:r w:rsidRPr="0038256A">
        <w:rPr>
          <w:rFonts w:ascii="Museo Sans Cond 100" w:hAnsi="Museo Sans Cond 100"/>
        </w:rPr>
        <w:tab/>
      </w:r>
      <w:r w:rsidRPr="0038256A">
        <w:t xml:space="preserve">korlátolt felelősségű társaságnak kell lennie, amelyben a tulajdonosok felelőssége a társaság tartozásaiért a hozzájárulásuk összegére korlátozódik; </w:t>
      </w:r>
    </w:p>
    <w:p w14:paraId="69C5420D" w14:textId="030388A1" w:rsidR="00C545F3" w:rsidRPr="0038256A" w:rsidRDefault="00C545F3" w:rsidP="00C545F3">
      <w:pPr>
        <w:pStyle w:val="NormalHanging12a"/>
        <w:ind w:left="360" w:hanging="360"/>
      </w:pPr>
      <w:r w:rsidRPr="0038256A">
        <w:rPr>
          <w:rFonts w:ascii="Museo Sans Cond 100" w:hAnsi="Museo Sans Cond 100"/>
        </w:rPr>
        <w:t>–</w:t>
      </w:r>
      <w:r w:rsidRPr="0038256A">
        <w:rPr>
          <w:rFonts w:ascii="Museo Sans Cond 100" w:hAnsi="Museo Sans Cond 100"/>
        </w:rPr>
        <w:tab/>
      </w:r>
      <w:r w:rsidRPr="0038256A">
        <w:t>nem lehet tőzsdén jegyzett társaság;</w:t>
      </w:r>
    </w:p>
    <w:p w14:paraId="4F83D745" w14:textId="399D397E" w:rsidR="00C545F3" w:rsidRPr="0038256A" w:rsidRDefault="00C545F3" w:rsidP="00C545F3">
      <w:pPr>
        <w:pStyle w:val="NormalHanging12a"/>
        <w:ind w:left="360" w:hanging="360"/>
      </w:pPr>
      <w:r w:rsidRPr="0038256A">
        <w:rPr>
          <w:rFonts w:ascii="Museo Sans Cond 100" w:hAnsi="Museo Sans Cond 100"/>
        </w:rPr>
        <w:t>–</w:t>
      </w:r>
      <w:r w:rsidRPr="0038256A">
        <w:rPr>
          <w:rFonts w:ascii="Museo Sans Cond 100" w:hAnsi="Museo Sans Cond 100"/>
        </w:rPr>
        <w:tab/>
      </w:r>
      <w:r w:rsidRPr="0038256A">
        <w:t>egy vagy több olyan természetes vagy jogi személynek kell létrehoznia, aki valamely uniós tagállamban lakóhellyel rendelkezik vagy ott letelepedett;</w:t>
      </w:r>
    </w:p>
    <w:p w14:paraId="0FE65726" w14:textId="77777777" w:rsidR="00C545F3" w:rsidRPr="0038256A" w:rsidRDefault="00C545F3" w:rsidP="00C545F3">
      <w:pPr>
        <w:pStyle w:val="NormalHanging12a"/>
        <w:ind w:left="360" w:hanging="360"/>
      </w:pPr>
      <w:r w:rsidRPr="0038256A">
        <w:rPr>
          <w:rFonts w:ascii="Museo Sans Cond 100" w:hAnsi="Museo Sans Cond 100"/>
        </w:rPr>
        <w:t>–</w:t>
      </w:r>
      <w:r w:rsidRPr="0038256A">
        <w:rPr>
          <w:rFonts w:ascii="Museo Sans Cond 100" w:hAnsi="Museo Sans Cond 100"/>
        </w:rPr>
        <w:tab/>
      </w:r>
      <w:r w:rsidRPr="0038256A">
        <w:t xml:space="preserve">lehetségesnek kell lennie, hogy önálló vállalatként vagy egy S.EU anyavállalat leányvállalataként </w:t>
      </w:r>
      <w:proofErr w:type="spellStart"/>
      <w:r w:rsidRPr="0038256A">
        <w:t>működjön</w:t>
      </w:r>
      <w:proofErr w:type="spellEnd"/>
      <w:r w:rsidRPr="0038256A">
        <w:t>;</w:t>
      </w:r>
    </w:p>
    <w:p w14:paraId="12AA018F" w14:textId="77777777" w:rsidR="00C545F3" w:rsidRPr="0038256A" w:rsidRDefault="00C545F3" w:rsidP="00C545F3">
      <w:pPr>
        <w:pStyle w:val="NormalHanging12a"/>
        <w:ind w:left="360" w:hanging="360"/>
      </w:pPr>
      <w:r w:rsidRPr="0038256A">
        <w:rPr>
          <w:rFonts w:ascii="Museo Sans Cond 100" w:hAnsi="Museo Sans Cond 100"/>
        </w:rPr>
        <w:t>–</w:t>
      </w:r>
      <w:r w:rsidRPr="0038256A">
        <w:rPr>
          <w:rFonts w:ascii="Museo Sans Cond 100" w:hAnsi="Museo Sans Cond 100"/>
        </w:rPr>
        <w:tab/>
      </w:r>
      <w:r w:rsidRPr="0038256A">
        <w:t>bejegyzett székhelyének a tagállamok egyikében kell lennie;</w:t>
      </w:r>
    </w:p>
    <w:p w14:paraId="1F0A79A2" w14:textId="5FB368AC" w:rsidR="00C545F3" w:rsidRPr="0038256A" w:rsidRDefault="00C545F3" w:rsidP="00C545F3">
      <w:pPr>
        <w:pStyle w:val="NormalHanging12a"/>
        <w:ind w:left="360" w:hanging="360"/>
        <w:rPr>
          <w:rFonts w:ascii="Museo Sans Cond 100" w:hAnsi="Museo Sans Cond 100"/>
        </w:rPr>
      </w:pPr>
      <w:r w:rsidRPr="0038256A">
        <w:rPr>
          <w:rFonts w:ascii="Museo Sans Cond 100" w:hAnsi="Museo Sans Cond 100"/>
        </w:rPr>
        <w:t>–</w:t>
      </w:r>
      <w:r w:rsidRPr="0038256A">
        <w:rPr>
          <w:rFonts w:ascii="Museo Sans Cond 100" w:hAnsi="Museo Sans Cond 100"/>
        </w:rPr>
        <w:tab/>
        <w:t xml:space="preserve">jogosultnak kell lennie arra, hogy bejegyzett székhelyét egy másik tagállamba helyezze át anélkül, hogy a jogi személyiség folytonosságát biztosító harmonizált eljárásoknak megfelelően szükség lenne megszüntetésére vagy </w:t>
      </w:r>
      <w:proofErr w:type="spellStart"/>
      <w:r w:rsidRPr="0038256A">
        <w:rPr>
          <w:rFonts w:ascii="Museo Sans Cond 100" w:hAnsi="Museo Sans Cond 100"/>
        </w:rPr>
        <w:t>újralétesítésére</w:t>
      </w:r>
      <w:proofErr w:type="spellEnd"/>
      <w:r w:rsidR="0000693C" w:rsidRPr="0038256A">
        <w:rPr>
          <w:rFonts w:ascii="Museo Sans Cond 100" w:hAnsi="Museo Sans Cond 100"/>
        </w:rPr>
        <w:t>.</w:t>
      </w:r>
    </w:p>
    <w:p w14:paraId="6FE8F58B" w14:textId="77777777" w:rsidR="00C545F3" w:rsidRPr="0038256A" w:rsidRDefault="00C545F3" w:rsidP="00C545F3">
      <w:pPr>
        <w:pStyle w:val="NormalHanging12a"/>
        <w:ind w:left="0" w:firstLine="0"/>
      </w:pPr>
      <w:r w:rsidRPr="0038256A">
        <w:t>Az S.EU-ként történő bejegyzésre jogosult társaság alapításához a társaság bejegyzése céljából azonnal befizetendő minimális tőkére vonatkozó követelményt 1 EUR-ban kell megállapítani, függetlenül a szóban forgó nemzeti jog által egyébként előírt minimális tőkétől.</w:t>
      </w:r>
    </w:p>
    <w:p w14:paraId="5720D074" w14:textId="77777777" w:rsidR="00C545F3" w:rsidRPr="0038256A" w:rsidRDefault="00C545F3" w:rsidP="00C545F3">
      <w:pPr>
        <w:pStyle w:val="NormalHanging12a"/>
        <w:ind w:left="0" w:firstLine="0"/>
      </w:pPr>
      <w:r w:rsidRPr="0038256A">
        <w:t>A hitelezők védelmének biztosítása érdekében a Bizottságnak olyan átfogó jogi keretet javasolt előterjesztenie, amely alternatív mechanizmusokat, például fizetőképességi teszteket foglal magában. Ezeknek az alternatív mechanizmusoknak arányosnak és átláthatónak kell lenniük, és egyértelmű kritériumokat kell tartalmazniuk a társaságok pénzügyi helyzetének értékelésére és a hitelezőket érintő kockázatok csökkentésére vonatkozóan.</w:t>
      </w:r>
    </w:p>
    <w:p w14:paraId="20E9CED4" w14:textId="77777777" w:rsidR="00C545F3" w:rsidRPr="0038256A" w:rsidRDefault="00C545F3" w:rsidP="00C545F3">
      <w:pPr>
        <w:pStyle w:val="paragraph"/>
        <w:spacing w:before="0" w:beforeAutospacing="0" w:after="0" w:afterAutospacing="0"/>
        <w:textAlignment w:val="baseline"/>
      </w:pPr>
      <w:r w:rsidRPr="0038256A">
        <w:rPr>
          <w:rStyle w:val="normaltextrun"/>
        </w:rPr>
        <w:t>Az egyszerűsítés érdekében</w:t>
      </w:r>
      <w:r w:rsidRPr="0038256A">
        <w:t xml:space="preserve"> az S.EU-ként történő bejegyzés lehetősége nem korlátozódhat az „innovatív vállalkozások” új kategóriájára vagy kapcsolódhat más korlátozó tényezőkhöz, mivel ez további bürokráciát és szükségtelen bürokratikus terhet jelentene. </w:t>
      </w:r>
    </w:p>
    <w:p w14:paraId="3EB6BBCB" w14:textId="77777777" w:rsidR="00C545F3" w:rsidRPr="0038256A" w:rsidRDefault="00C545F3" w:rsidP="00C545F3">
      <w:pPr>
        <w:pStyle w:val="NormalHanging12a"/>
        <w:ind w:left="0" w:firstLine="0"/>
      </w:pPr>
      <w:r w:rsidRPr="0038256A">
        <w:lastRenderedPageBreak/>
        <w:t>Amennyiben egy S.EU jegyeztetni kívánja magát a tőzsdén, javasolt előírni, hogy az uniós vagy a nemzeti jog szerint alakuljon át az uniós vagy a nemzeti átalakulási szabályokkal összhangban nyilvánosan működő részvénytársasággá.</w:t>
      </w:r>
    </w:p>
    <w:p w14:paraId="1105CBA4" w14:textId="77777777" w:rsidR="00C545F3" w:rsidRPr="0038256A" w:rsidRDefault="00C545F3" w:rsidP="00C545F3">
      <w:pPr>
        <w:pStyle w:val="paragraph"/>
        <w:spacing w:before="0" w:beforeAutospacing="0" w:after="0" w:afterAutospacing="0"/>
        <w:textAlignment w:val="baseline"/>
        <w:rPr>
          <w:b/>
          <w:bCs/>
        </w:rPr>
      </w:pPr>
      <w:r w:rsidRPr="0038256A">
        <w:rPr>
          <w:b/>
        </w:rPr>
        <w:t>3.</w:t>
      </w:r>
      <w:r w:rsidRPr="0038256A">
        <w:rPr>
          <w:b/>
        </w:rPr>
        <w:tab/>
        <w:t>A társasági forma létrehozása</w:t>
      </w:r>
    </w:p>
    <w:p w14:paraId="26620ED3" w14:textId="77777777" w:rsidR="00C545F3" w:rsidRPr="0038256A" w:rsidRDefault="00C545F3" w:rsidP="00C545F3">
      <w:pPr>
        <w:pStyle w:val="NormalHanging12a"/>
        <w:ind w:left="0" w:firstLine="0"/>
      </w:pPr>
      <w:r w:rsidRPr="0038256A">
        <w:t>Az S.EU létrehozásának és nyilvántartásba vételének javasolt teljes mértékben digitálisan történnie, és megfelelnie az egyszeri adatszolgáltatás elvének, amely szerint az egyik tagállamban valamely dokumentumot benyújtó társaságoknak nem kell azt újra benyújtaniuk egy másik tagállamban. Egy S.EU létrehozását 48 órán belül véglegesíteni kell.</w:t>
      </w:r>
    </w:p>
    <w:p w14:paraId="1ADF80A2" w14:textId="77777777" w:rsidR="00C545F3" w:rsidRPr="0038256A" w:rsidRDefault="00C545F3" w:rsidP="00C545F3">
      <w:pPr>
        <w:pStyle w:val="NormalHanging12a"/>
        <w:ind w:left="0" w:firstLine="0"/>
      </w:pPr>
      <w:r w:rsidRPr="0038256A">
        <w:t>A bejegyzés egyszerűsítése, az átláthatóság és a bizalom növelése, a cégazonosító ellenőrzésének megkönnyítése, valamint a csalás, a pénzmosás és az adócsalás elleni küzdelem érdekében a létrehozásakor az S.EU-hoz egy egységes digitális azonosítót és cégazonosítót célszerű rendelni.</w:t>
      </w:r>
    </w:p>
    <w:p w14:paraId="0B568160" w14:textId="77777777" w:rsidR="00C545F3" w:rsidRPr="0038256A" w:rsidRDefault="00C545F3" w:rsidP="00C545F3">
      <w:pPr>
        <w:pStyle w:val="NormalHanging12a"/>
        <w:ind w:left="0" w:firstLine="0"/>
      </w:pPr>
      <w:r w:rsidRPr="0038256A">
        <w:t xml:space="preserve">E célkitűzések elérésének megkönnyítése érdekében javasolt létrehozni, vagy a meglévő struktúrákba beépíteni egy egységes uniós szintű digitális portált, amely közvetlen belépési pontként szolgál az S.EU-k számára, és amelyet a Bizottság működtet. Ez a portál kiegészítené és kiterjesztené az üzleti nyilvántartások összekapcsolására szolgáló jelenlegi rendszert (BRIS) azáltal, hogy harmonizált, egységes hozzáférésű felületet biztosít a határokon átnyúló felhasználáshoz anélkül, hogy új különálló vagy párhuzamos nyilvántartást hozna létre. A digitális portál nem lépne a meglévő nemzeti cégbejegyzési szabályok helyébe, hanem olyan közös platformként szolgál, ahol a befektetők számára szükséges valamennyi releváns információt összesítenék. A tagállamoknak ezért automatikusan továbbítaniuk kellene a dokumentumokat a portál részére, biztosítva az elismerést és az érdekelt felek általi zökkenőmentes hozzáférést. A platformnak emellett javasolt tájékoztatást nyújtania a nemzeti eljárásokról és erőforrásokról, valamint hozzáférést biztosítania az S.EU-k számára a befektetői mintadokumentumokhoz, továbbá lehetővé tennie a hitelesítő adatok ellenőrzését, a dokumentumok elektronikus aláírását, a részesedések értékesítését és felosztását, az igazgatótanácsi határozatok létrehozását és elfogadását, valamint az e-számlázási szolgáltatások nyújtását. Amikor a digitális portált használja S.EU bejegyzéséhez, a társaságnak a bejegyzés helyeként ki kell választania egy tagállamot, kiválasztva ezáltal a bejegyzésre alkalmazandó nemzeti jogot is. </w:t>
      </w:r>
    </w:p>
    <w:p w14:paraId="10ADEE09" w14:textId="7B863D5A" w:rsidR="00C545F3" w:rsidRPr="0038256A" w:rsidRDefault="00C545F3" w:rsidP="00C545F3">
      <w:pPr>
        <w:pStyle w:val="NormalHanging12a"/>
        <w:ind w:left="0" w:firstLine="0"/>
      </w:pPr>
      <w:r w:rsidRPr="0038256A">
        <w:t>A társaságoknak szóló uniós szintű digitális portálnak lehetővé kell tennie az S.EU-ként való nyilvántartásba vételt és az S.EU-ként nyilvántartásba vett társaságokra való keresést. A nyilvántartásba vételre, a beadványok benyújtására és a frissítések adminisztrációjára csak egyszer, a digitális portálon keresztül kerülne sor, amelynek a</w:t>
      </w:r>
      <w:r w:rsidR="00A15ED2">
        <w:t xml:space="preserve"> </w:t>
      </w:r>
      <w:r w:rsidR="0000693C" w:rsidRPr="0038256A">
        <w:t>910/2014</w:t>
      </w:r>
      <w:r w:rsidR="00A15ED2">
        <w:t>/EU</w:t>
      </w:r>
      <w:r w:rsidR="0000693C" w:rsidRPr="0038256A">
        <w:t xml:space="preserve"> </w:t>
      </w:r>
      <w:r w:rsidRPr="0038256A">
        <w:t>rendelet szerinti többnyelvű interfész és harmonizált azonosítási szabványok alapján valamennyi tagállamban hozzáférhetőnek kell lennie. A digitális portál használhat engedélyezett megosztott főkönyvi (DLT) hálózatot, amely a társasággal kapcsolatos legfontosabb eseményeket, például a bejegyzést vagy a részesedések átruházását megváltoztathatatlan időbélyegekkel rögzíti.</w:t>
      </w:r>
    </w:p>
    <w:p w14:paraId="7B917E8C" w14:textId="77777777" w:rsidR="00C545F3" w:rsidRPr="0038256A" w:rsidRDefault="00C545F3" w:rsidP="00C545F3">
      <w:pPr>
        <w:pStyle w:val="NormalHanging12a"/>
        <w:ind w:left="0" w:firstLine="0"/>
      </w:pPr>
      <w:r w:rsidRPr="0038256A">
        <w:t>Javasolt lehetővé tenni, hogy a társaság létrehozásához szükséges pénzbeli hozzájárulásokat a bankszámlanyitást megelőző időszakban egy állami vagyonkezelő ügynökséghez lehessen folyósítani. A bankszámla megnyitását követően a vagyonkezelő ügynökség átutalná a pénzbeli hozzájárulásokat erre a bankszámlára.</w:t>
      </w:r>
    </w:p>
    <w:p w14:paraId="70B50E1C" w14:textId="77777777" w:rsidR="00C545F3" w:rsidRPr="0038256A" w:rsidRDefault="00C545F3" w:rsidP="00C545F3">
      <w:pPr>
        <w:pStyle w:val="NormalHanging12a"/>
        <w:ind w:left="0" w:firstLine="0"/>
        <w:rPr>
          <w:b/>
          <w:bCs/>
          <w:szCs w:val="22"/>
        </w:rPr>
      </w:pPr>
      <w:r w:rsidRPr="0038256A">
        <w:rPr>
          <w:b/>
        </w:rPr>
        <w:t>4.</w:t>
      </w:r>
      <w:r w:rsidRPr="0038256A">
        <w:rPr>
          <w:b/>
        </w:rPr>
        <w:tab/>
        <w:t>Biztosítékok</w:t>
      </w:r>
    </w:p>
    <w:p w14:paraId="6CEB35B7" w14:textId="77777777" w:rsidR="00C545F3" w:rsidRPr="0038256A" w:rsidRDefault="00C545F3" w:rsidP="00C545F3">
      <w:pPr>
        <w:pStyle w:val="NormalHanging12a"/>
        <w:ind w:left="0" w:firstLine="0"/>
      </w:pPr>
      <w:r w:rsidRPr="0038256A">
        <w:t>Az S.EU-</w:t>
      </w:r>
      <w:proofErr w:type="spellStart"/>
      <w:r w:rsidRPr="0038256A">
        <w:t>kra</w:t>
      </w:r>
      <w:proofErr w:type="spellEnd"/>
      <w:r w:rsidRPr="0038256A">
        <w:t xml:space="preserve"> vonatkozó szabályok nem sérthetik az uniós és a nemzeti munkajogot, beleértve </w:t>
      </w:r>
      <w:r w:rsidRPr="0038256A">
        <w:lastRenderedPageBreak/>
        <w:t>a munkavállalóknak, a munkavállalók képviselőinek vagy mindkettőnek a társaságok ügyeiben való részvételére vonatkozóan a 2001/86/EK irányelv 2. cikkének k) pontjában meghatározott szabályokat. Főszabály szerint az S.EU-t a székhelye szerinti tagállamnak javasolt ugyanúgy kezelnie, mint azt annak alapjául szolgáló nemzeti jog szerinti korlátolt felelősségű társasági formát, a fogadó tagállamoknak pedig ugyanúgy, mint a hasonló uniós külföldi jog szerinti társaságokat, biztosítva ugyanakkor annak hatékony megakadályozását, hogy az S.EU-t mesterséges módon a munkavállalói részvételre vonatkozóan a tagállamok jogában jelenleg fennálló védelmi szint megkerülésére használják.</w:t>
      </w:r>
    </w:p>
    <w:p w14:paraId="16789CE7" w14:textId="269A88FF" w:rsidR="00C545F3" w:rsidRPr="0038256A" w:rsidRDefault="00C545F3" w:rsidP="00C545F3">
      <w:pPr>
        <w:pStyle w:val="NormalHanging12a"/>
        <w:ind w:left="0" w:firstLine="0"/>
      </w:pPr>
      <w:r w:rsidRPr="0038256A">
        <w:t>Az egyéni munkaszerződésekre alkalmazandó jog továbbra is kizárólag az 593/2008/EK rendelet 8. cikke alapján, az egyéni munkaszerződésekre vonatkozó joghatóság pedig továbbra is az 1215/2012/E</w:t>
      </w:r>
      <w:r w:rsidR="00F215BD">
        <w:t>U</w:t>
      </w:r>
      <w:r w:rsidRPr="0038256A">
        <w:t xml:space="preserve"> rendelet II. fejezetének 5. szakasza alapján kerül meghatározásra, az Európai Unió Bíróságának vonatkozó ítélkezési gyakorlatára is tekintettel. Következésképpen a felek választása nem foszthatja meg a munkavállalókat az olyan kötelező rendelkezések által biztosított védelemtől, amelyektől megállapodás útján nem lehet eltérni.</w:t>
      </w:r>
    </w:p>
    <w:p w14:paraId="2C28014B" w14:textId="77777777" w:rsidR="00C545F3" w:rsidRPr="0038256A" w:rsidRDefault="00C545F3" w:rsidP="00C545F3">
      <w:pPr>
        <w:pStyle w:val="NormalHanging12a"/>
        <w:ind w:left="0" w:firstLine="0"/>
      </w:pPr>
      <w:r w:rsidRPr="0038256A">
        <w:t>Ami a munkavállalói részvételt illeti, az S.EU-</w:t>
      </w:r>
      <w:proofErr w:type="spellStart"/>
      <w:r w:rsidRPr="0038256A">
        <w:t>ra</w:t>
      </w:r>
      <w:proofErr w:type="spellEnd"/>
      <w:r w:rsidRPr="0038256A">
        <w:t xml:space="preserve"> vonatkozniuk kell a bejegyzett székhely szerinti tagállam munkavállalói részvételre vonatkozó hatályos szabályainak, ha vannak ilyenek. Ha azonban egy S.EU egy másik tagállamban fióktelep, képviselet vagy leányvállalat létrehozása nélkül végez munkavállalással járó gazdasági tevékenységet, az S.EU-</w:t>
      </w:r>
      <w:proofErr w:type="spellStart"/>
      <w:r w:rsidRPr="0038256A">
        <w:t>ra</w:t>
      </w:r>
      <w:proofErr w:type="spellEnd"/>
      <w:r w:rsidRPr="0038256A">
        <w:t xml:space="preserve"> a foglalkoztatás helye szerinti tagállam munkavállalói részvételre vonatkozó hatályos szabályait kell alkalmazni, ha vannak ilyenek, feltéve, hogy az S.EU létesítő okirat szerinti székhelyének jogrendje nem biztosít legalább ugyanolyan szintű munkavállalói képviseleti jogokat a vezetőtestület szintjén, mint amelyet a foglalkoztatás helye szerinti jog előír. Szükség esetén az S.EU-</w:t>
      </w:r>
      <w:proofErr w:type="spellStart"/>
      <w:r w:rsidRPr="0038256A">
        <w:t>nak</w:t>
      </w:r>
      <w:proofErr w:type="spellEnd"/>
      <w:r w:rsidRPr="0038256A">
        <w:t xml:space="preserve"> ennek megfelelően ki kell igazítania alapszabályát.</w:t>
      </w:r>
    </w:p>
    <w:p w14:paraId="15C656A4" w14:textId="442D7679" w:rsidR="00C545F3" w:rsidRPr="0038256A" w:rsidRDefault="00C545F3" w:rsidP="00C545F3">
      <w:pPr>
        <w:pStyle w:val="NormalHanging12a"/>
        <w:ind w:left="0" w:firstLine="0"/>
      </w:pPr>
      <w:r w:rsidRPr="0038256A">
        <w:t xml:space="preserve">Amennyiben az alkalmazandó jog nem határozható meg az előző bekezdésben meghatározott elvekkel összhangban, tartalékmegoldásként a 2001/86/EK irányelv 3–7. cikkében előírtakkal egyenértékű egyeztetési eljárást kell kezdeményezni, amint a munkavállalók száma legalább egy tagállamban eléri a vezetőtestületi szintű munkavállalói képviseleti jogokat maga után vonó küszöbértéket abban a tagállamban, </w:t>
      </w:r>
      <w:r w:rsidR="0000693C" w:rsidRPr="0038256A">
        <w:t xml:space="preserve">feltéve, hogy </w:t>
      </w:r>
      <w:r w:rsidRPr="0038256A">
        <w:t xml:space="preserve">az S.EU még nem vezette be a munkavállalói részvételt, vagy </w:t>
      </w:r>
      <w:r w:rsidR="0000693C" w:rsidRPr="0038256A">
        <w:t xml:space="preserve">feltéve, hogy </w:t>
      </w:r>
      <w:r w:rsidRPr="0038256A">
        <w:t xml:space="preserve">a küszöbérték elérése a meglévő munkavállalói részvétel megváltozását vonja maga után. </w:t>
      </w:r>
    </w:p>
    <w:p w14:paraId="74F6947C" w14:textId="77777777" w:rsidR="00C545F3" w:rsidRPr="0038256A" w:rsidRDefault="00C545F3" w:rsidP="00C545F3">
      <w:pPr>
        <w:pStyle w:val="NormalHanging12a"/>
        <w:ind w:left="0" w:firstLine="0"/>
      </w:pPr>
      <w:r w:rsidRPr="0038256A">
        <w:t>Ha egy meglévő nemzeti társaság S.EU-</w:t>
      </w:r>
      <w:proofErr w:type="spellStart"/>
      <w:r w:rsidRPr="0038256A">
        <w:t>vá</w:t>
      </w:r>
      <w:proofErr w:type="spellEnd"/>
      <w:r w:rsidRPr="0038256A">
        <w:t xml:space="preserve"> alakul át, az (EU) 2017/1132 irányelv 86l., 133. és 160l. cikkét értelemszerűen alkalmazni kell, feltéve, hogy a már meglévő munkavállalói részvételi jogokat nem kerülik meg.</w:t>
      </w:r>
    </w:p>
    <w:p w14:paraId="73B99057" w14:textId="77777777" w:rsidR="00C545F3" w:rsidRPr="0038256A" w:rsidRDefault="00C545F3" w:rsidP="00C545F3">
      <w:pPr>
        <w:pStyle w:val="NormalHanging12a"/>
        <w:ind w:left="0" w:firstLine="0"/>
        <w:rPr>
          <w:b/>
          <w:bCs/>
        </w:rPr>
      </w:pPr>
      <w:r w:rsidRPr="0038256A">
        <w:rPr>
          <w:b/>
        </w:rPr>
        <w:t>5.</w:t>
      </w:r>
      <w:r w:rsidRPr="0038256A">
        <w:rPr>
          <w:b/>
        </w:rPr>
        <w:tab/>
        <w:t>A hosszú távú stratégiák és a választható formák ösztönzése</w:t>
      </w:r>
    </w:p>
    <w:p w14:paraId="30E34EA5" w14:textId="77777777" w:rsidR="00C545F3" w:rsidRPr="0038256A" w:rsidRDefault="00C545F3" w:rsidP="00C545F3">
      <w:pPr>
        <w:pStyle w:val="NormalHanging12a"/>
        <w:ind w:left="0" w:firstLine="0"/>
      </w:pPr>
      <w:r w:rsidRPr="0038256A">
        <w:t xml:space="preserve">Az európai innovatív vállalkozások ösztönzése, a beruházások vonzása, a </w:t>
      </w:r>
      <w:proofErr w:type="spellStart"/>
      <w:r w:rsidRPr="0038256A">
        <w:t>tőkéhez</w:t>
      </w:r>
      <w:proofErr w:type="spellEnd"/>
      <w:r w:rsidRPr="0038256A">
        <w:t xml:space="preserve"> és a finanszírozási modellekhez való hozzáférés alternatív lehetőségeinek megteremtése, valamint az innováció – amelynek létrehozását gyakran európai állami kutatási alapok támogatják – Unión kívülre történő áthelyezésének megakadályozása érdekében, a tagállamoknak olyan szabályokat javasolt bevezetniük, amelyek lehetővé teszik a vállalkozások számára, hogy visszavonhatatlanul további jogi védelmi rendszereket válasszanak. Az ilyen kiegészítő jogi védelmi rendszerek célja, hogy segítsék azokat az európai társaságokat, amelyek esetleg meg akarják védeni magukat a „gyilkos felvásárlásokkal” és az áthelyezésekkel szemben. Ezek a rendszerek a következőket foglalhatják magukban:</w:t>
      </w:r>
    </w:p>
    <w:p w14:paraId="1B4CDF4B" w14:textId="77777777" w:rsidR="00C545F3" w:rsidRPr="0038256A" w:rsidRDefault="00C545F3" w:rsidP="00C545F3">
      <w:pPr>
        <w:pStyle w:val="NormalHanging12a"/>
        <w:ind w:left="360" w:hanging="360"/>
      </w:pPr>
      <w:r w:rsidRPr="0038256A">
        <w:rPr>
          <w:rFonts w:ascii="Symbol" w:hAnsi="Symbol"/>
        </w:rPr>
        <w:sym w:font="Symbol" w:char="F02D"/>
      </w:r>
      <w:r w:rsidRPr="0038256A">
        <w:rPr>
          <w:rFonts w:ascii="Symbol" w:hAnsi="Symbol"/>
        </w:rPr>
        <w:tab/>
      </w:r>
      <w:r w:rsidRPr="0038256A">
        <w:t xml:space="preserve">a szavazati jogok és a gazdasági jogok szétválasztása a különböző részvényosztályokon </w:t>
      </w:r>
      <w:r w:rsidRPr="0038256A">
        <w:lastRenderedPageBreak/>
        <w:t>keresztül, beleértve a kettős osztályú részvényeket, a vétójogot biztosító részvényeket és az elsőbbségi részvényeket;</w:t>
      </w:r>
    </w:p>
    <w:p w14:paraId="6F1F016E" w14:textId="77777777" w:rsidR="00C545F3" w:rsidRPr="0038256A" w:rsidRDefault="00C545F3" w:rsidP="00C545F3">
      <w:pPr>
        <w:pStyle w:val="NormalHanging12a"/>
        <w:ind w:left="360" w:hanging="360"/>
      </w:pPr>
      <w:r w:rsidRPr="0038256A">
        <w:rPr>
          <w:rFonts w:ascii="Symbol" w:hAnsi="Symbol"/>
        </w:rPr>
        <w:sym w:font="Symbol" w:char="F02D"/>
      </w:r>
      <w:r w:rsidRPr="0038256A">
        <w:rPr>
          <w:rFonts w:ascii="Symbol" w:hAnsi="Symbol"/>
        </w:rPr>
        <w:tab/>
      </w:r>
      <w:r w:rsidRPr="0038256A">
        <w:t>a szavazati jogok átruházhatatlanná és örökölhetetlenné minősítése;</w:t>
      </w:r>
    </w:p>
    <w:p w14:paraId="1386DA37" w14:textId="77777777" w:rsidR="00C545F3" w:rsidRPr="0038256A" w:rsidRDefault="00C545F3" w:rsidP="00C545F3">
      <w:pPr>
        <w:pStyle w:val="NormalHanging12a"/>
        <w:ind w:left="360" w:hanging="360"/>
      </w:pPr>
      <w:r w:rsidRPr="0038256A">
        <w:rPr>
          <w:rFonts w:ascii="Symbol" w:hAnsi="Symbol"/>
        </w:rPr>
        <w:sym w:font="Symbol" w:char="F02D"/>
      </w:r>
      <w:r w:rsidRPr="0038256A">
        <w:rPr>
          <w:rFonts w:ascii="Symbol" w:hAnsi="Symbol"/>
        </w:rPr>
        <w:tab/>
      </w:r>
      <w:r w:rsidRPr="0038256A">
        <w:t xml:space="preserve">a befektetők vagy a gazdasági jogok jogosultjai részére történő nyereségelosztás időbeli vagy </w:t>
      </w:r>
      <w:proofErr w:type="spellStart"/>
      <w:r w:rsidRPr="0038256A">
        <w:t>összegbeli</w:t>
      </w:r>
      <w:proofErr w:type="spellEnd"/>
      <w:r w:rsidRPr="0038256A">
        <w:t xml:space="preserve"> korlátozása szerződéses megállapodás alapján, amelyet bármelyik fél bármikor megszüntethet;</w:t>
      </w:r>
    </w:p>
    <w:p w14:paraId="376E3032" w14:textId="1F26E0D7" w:rsidR="00C545F3" w:rsidRPr="0038256A" w:rsidRDefault="00C545F3" w:rsidP="00C545F3">
      <w:pPr>
        <w:pStyle w:val="NormalHanging12a"/>
        <w:ind w:left="360" w:hanging="360"/>
      </w:pPr>
      <w:r w:rsidRPr="0038256A">
        <w:rPr>
          <w:rFonts w:ascii="Symbol" w:hAnsi="Symbol"/>
        </w:rPr>
        <w:sym w:font="Symbol" w:char="F02D"/>
      </w:r>
      <w:r w:rsidRPr="0038256A">
        <w:rPr>
          <w:rFonts w:ascii="Symbol" w:hAnsi="Symbol"/>
        </w:rPr>
        <w:tab/>
      </w:r>
      <w:r w:rsidRPr="0038256A">
        <w:t>a kiegészítő jogi védelmi rendszert választó jogalanyokká történő, határokon átnyúló átalakulás korlátozása, különösen a tőkelekötések esetében</w:t>
      </w:r>
      <w:r w:rsidR="00F34C46" w:rsidRPr="0038256A">
        <w:t>.</w:t>
      </w:r>
    </w:p>
    <w:p w14:paraId="193BBB31" w14:textId="77777777" w:rsidR="00C545F3" w:rsidRPr="0038256A" w:rsidRDefault="00C545F3" w:rsidP="00C545F3">
      <w:pPr>
        <w:pStyle w:val="NormalHanging12a"/>
        <w:ind w:left="0" w:firstLine="0"/>
      </w:pPr>
      <w:r w:rsidRPr="0038256A">
        <w:t>Azoknak a vállalkozásoknak, amelyek ilyen kiegészítő jogi védelmi rendszereket választottak, lehetővé kell tenni, hogy a „steward-</w:t>
      </w:r>
      <w:proofErr w:type="spellStart"/>
      <w:r w:rsidRPr="0038256A">
        <w:t>owned</w:t>
      </w:r>
      <w:proofErr w:type="spellEnd"/>
      <w:r w:rsidRPr="0038256A">
        <w:t>” (felelős tulajdonosi modell szerint működő) megjelölést a vállalat nevében feltüntessék.</w:t>
      </w:r>
    </w:p>
    <w:p w14:paraId="23891627" w14:textId="77777777" w:rsidR="00C545F3" w:rsidRPr="0038256A" w:rsidRDefault="00C545F3" w:rsidP="00C545F3">
      <w:pPr>
        <w:pStyle w:val="NormalHanging12a"/>
        <w:ind w:left="0" w:firstLine="0"/>
      </w:pPr>
      <w:r w:rsidRPr="0038256A">
        <w:t xml:space="preserve">A határokon átnyúló átalakulásokra, egyesülésekre és szétválásokra vonatkozó (EU) 2017/1132 irányelvet módosítani javasolt annak érdekében, hogy azok a tagállamok, amelyek úgy döntöttek, hogy bevezetik a „felelős tulajdonosi modell szerint működő vállalkozás” („steward </w:t>
      </w:r>
      <w:proofErr w:type="spellStart"/>
      <w:r w:rsidRPr="0038256A">
        <w:t>ownership</w:t>
      </w:r>
      <w:proofErr w:type="spellEnd"/>
      <w:r w:rsidRPr="0038256A">
        <w:t>”) saját nemzeti társasági formáját, korlátozhassák az ilyen nemzeti társasági forma határokon átnyúló átalakulását más olyan tagállamok társasági formáivá, amelyek a „felelős tulajdonosi modell szerint működő vállalkozás” hasonló formáit is előírják.</w:t>
      </w:r>
    </w:p>
    <w:p w14:paraId="397258F3" w14:textId="77777777" w:rsidR="00C545F3" w:rsidRPr="0038256A" w:rsidRDefault="00C545F3" w:rsidP="00C545F3">
      <w:pPr>
        <w:pStyle w:val="NormalHanging12a"/>
        <w:rPr>
          <w:b/>
        </w:rPr>
      </w:pPr>
      <w:r w:rsidRPr="0038256A">
        <w:rPr>
          <w:b/>
        </w:rPr>
        <w:t>6.</w:t>
      </w:r>
      <w:r w:rsidRPr="0038256A">
        <w:rPr>
          <w:b/>
        </w:rPr>
        <w:tab/>
        <w:t xml:space="preserve">A tehetségek vonzása és támogatása </w:t>
      </w:r>
    </w:p>
    <w:p w14:paraId="72CB226A" w14:textId="77777777" w:rsidR="00C545F3" w:rsidRPr="0038256A" w:rsidRDefault="00C545F3" w:rsidP="00C545F3">
      <w:pPr>
        <w:pStyle w:val="NormalHanging12a"/>
        <w:ind w:left="0" w:firstLine="0"/>
      </w:pPr>
      <w:r w:rsidRPr="0038256A">
        <w:t>A képzett és innovatív tehetségek vonzása elengedhetetlen a gazdasági növekedés ösztönzéséhez, az innováció előmozdításához és a versenyképesség fenntartásához a gyorsan változó globális piacon. A termelékenység növekedésének, az innovációnak és a társadalmi befogadásnak kéz a kézben kell járnia. Az S.EU-</w:t>
      </w:r>
      <w:proofErr w:type="spellStart"/>
      <w:r w:rsidRPr="0038256A">
        <w:t>ra</w:t>
      </w:r>
      <w:proofErr w:type="spellEnd"/>
      <w:r w:rsidRPr="0038256A">
        <w:t xml:space="preserve"> vonatkozó keretnek javasolt megkönnyítenie az Unión belüli szabad mozgást úgy, hogy az adminisztratív folyamatokban ne legyen szükség közvetítőkre, tiszteletben tartva ugyanakkor a munkajogra és a szociális jogra vonatkozó uniós és nemzeti szabályokat. Az S.EU-</w:t>
      </w:r>
      <w:proofErr w:type="spellStart"/>
      <w:r w:rsidRPr="0038256A">
        <w:t>knak</w:t>
      </w:r>
      <w:proofErr w:type="spellEnd"/>
      <w:r w:rsidRPr="0038256A">
        <w:t xml:space="preserve"> Unió-szerte opcionális harmonizált szabályokat javasolt előírniuk a munkavállalói pénzügyi részvételi programokra vonatkozóan, különös tekintettel a munkavállalói részvénytulajdonosi programok (ESOP-k) strukturálására, amelyet egy külön jogalany segít elő, valamint a munkavállalói részvényopciós tervek (ESO-k) létrehozására. Ez nemcsak azt teszi lehetővé a kkv-k, az induló innovatív vállalkozások és a növekvő innovatív vállalkozások számára, hogy vonzzák a tehetségeket, ösztönözzék a hosszú távú kötelezettségvállalást és megkönnyítsék működésüket a már meglévő különálló keretekkel rendelkező, különböző nemzeti piacokon, hanem azt is, hogy előmozdítsák a munkavállalók teljes körű és méltányos részesedését abban az értékben, amelyet munkájuk és szellemi tőkéjük révén teremtenek. Az opcionális ESOP-okra és ESO-</w:t>
      </w:r>
      <w:proofErr w:type="spellStart"/>
      <w:r w:rsidRPr="0038256A">
        <w:t>kra</w:t>
      </w:r>
      <w:proofErr w:type="spellEnd"/>
      <w:r w:rsidRPr="0038256A">
        <w:t xml:space="preserve"> vonatkozó harmonizált szabályoknak a munkavállalók pénzügyi részvételére vonatkozó tervek kulcsfontosságú társasági jogi elemeinek, keretének és strukturális jellemzőinek harmonizálására célszerű összpontosítaniuk, a költségvetési szabályok sérelme nélkül. Az S.EU keretében a harmonizált szabályok kidolgozásakor a következő elveket javasolt figyelembe venni: </w:t>
      </w:r>
    </w:p>
    <w:p w14:paraId="75F428ED" w14:textId="318C6CA0" w:rsidR="00C545F3" w:rsidRPr="0038256A" w:rsidRDefault="00C545F3" w:rsidP="00C545F3">
      <w:pPr>
        <w:pStyle w:val="NormalHanging12a"/>
        <w:ind w:left="360" w:hanging="360"/>
      </w:pPr>
      <w:r w:rsidRPr="0038256A">
        <w:rPr>
          <w:rFonts w:ascii="Symbol" w:hAnsi="Symbol"/>
        </w:rPr>
        <w:sym w:font="Symbol" w:char="F02D"/>
      </w:r>
      <w:r w:rsidRPr="0038256A">
        <w:rPr>
          <w:rFonts w:ascii="Symbol" w:hAnsi="Symbol"/>
        </w:rPr>
        <w:tab/>
      </w:r>
      <w:r w:rsidRPr="0038256A">
        <w:t xml:space="preserve">előfeltételként az ilyen rendszerek semmilyen körülmények között nem helyettesíthetik vagy csökkenthetik a rendes alapbért, sem pedig a hozzájárulások egyéb formáit, például a társadalombiztosítási járulékokat, hanem juttatásként ki kell egészíteniük az összes </w:t>
      </w:r>
      <w:r w:rsidRPr="0038256A">
        <w:lastRenderedPageBreak/>
        <w:t>szociális és szerződéses jogot;</w:t>
      </w:r>
    </w:p>
    <w:p w14:paraId="32D30602" w14:textId="73300BC4" w:rsidR="00C545F3" w:rsidRPr="0038256A" w:rsidRDefault="00C545F3" w:rsidP="00C545F3">
      <w:pPr>
        <w:pStyle w:val="NormalHanging12a"/>
        <w:ind w:left="360" w:hanging="360"/>
      </w:pPr>
      <w:r w:rsidRPr="0038256A">
        <w:rPr>
          <w:rFonts w:ascii="Symbol" w:hAnsi="Symbol"/>
        </w:rPr>
        <w:sym w:font="Symbol" w:char="F02D"/>
      </w:r>
      <w:r w:rsidRPr="0038256A">
        <w:rPr>
          <w:rFonts w:ascii="Symbol" w:hAnsi="Symbol"/>
        </w:rPr>
        <w:tab/>
      </w:r>
      <w:r w:rsidRPr="0038256A">
        <w:t>az átláthatóságnak és a demokratikus kormányzásnak kulcsfontosságú alapelveknek kell lenniük az ilyen rendszerek kialakítása és végrehajtása során;</w:t>
      </w:r>
    </w:p>
    <w:p w14:paraId="649A4295" w14:textId="77777777" w:rsidR="00C545F3" w:rsidRPr="0038256A" w:rsidRDefault="00C545F3" w:rsidP="00C545F3">
      <w:pPr>
        <w:pStyle w:val="NormalHanging12a"/>
        <w:ind w:left="360" w:hanging="360"/>
      </w:pPr>
      <w:r w:rsidRPr="0038256A">
        <w:rPr>
          <w:rFonts w:ascii="Symbol" w:hAnsi="Symbol"/>
        </w:rPr>
        <w:sym w:font="Symbol" w:char="F02D"/>
      </w:r>
      <w:r w:rsidRPr="0038256A">
        <w:rPr>
          <w:rFonts w:ascii="Symbol" w:hAnsi="Symbol"/>
        </w:rPr>
        <w:tab/>
      </w:r>
      <w:r w:rsidRPr="0038256A">
        <w:t>az ilyen rendszerekben való részvételnek megkülönböztetésmentesnek, és minden munkavállaló számára nyitottnak és kizárólagosnak kell lennie;</w:t>
      </w:r>
    </w:p>
    <w:p w14:paraId="0CF92F64" w14:textId="77777777" w:rsidR="00C545F3" w:rsidRPr="0038256A" w:rsidRDefault="00C545F3" w:rsidP="00C545F3">
      <w:pPr>
        <w:pStyle w:val="NormalHanging12a"/>
        <w:ind w:left="360" w:hanging="360"/>
      </w:pPr>
      <w:r w:rsidRPr="0038256A">
        <w:rPr>
          <w:rFonts w:ascii="Symbol" w:hAnsi="Symbol"/>
        </w:rPr>
        <w:sym w:font="Symbol" w:char="F02D"/>
      </w:r>
      <w:r w:rsidRPr="0038256A">
        <w:rPr>
          <w:rFonts w:ascii="Symbol" w:hAnsi="Symbol"/>
        </w:rPr>
        <w:tab/>
      </w:r>
      <w:r w:rsidRPr="0038256A">
        <w:t xml:space="preserve">az ilyen rendszerekben való részvételnek továbbra is önkéntesnek kell maradnia a munkavállalók számára, valamint az ilyen rendszerek létrehozásának továbbra is opcionálisnak kell maradnia az S:EU-k számára; </w:t>
      </w:r>
    </w:p>
    <w:p w14:paraId="4E9BB9F6" w14:textId="77777777" w:rsidR="00C545F3" w:rsidRPr="0038256A" w:rsidRDefault="00C545F3" w:rsidP="00C545F3">
      <w:pPr>
        <w:pStyle w:val="NormalHanging12a"/>
        <w:ind w:left="360" w:hanging="360"/>
      </w:pPr>
      <w:r w:rsidRPr="0038256A">
        <w:rPr>
          <w:rFonts w:ascii="Symbol" w:hAnsi="Symbol"/>
        </w:rPr>
        <w:sym w:font="Symbol" w:char="F02D"/>
      </w:r>
      <w:r w:rsidRPr="0038256A">
        <w:rPr>
          <w:rFonts w:ascii="Symbol" w:hAnsi="Symbol"/>
        </w:rPr>
        <w:tab/>
      </w:r>
      <w:r w:rsidRPr="0038256A">
        <w:t>az ilyen rendszereket olyan mechanizmusoknak kell kísérniük, amelyek megvédik a munkavállalókat az észszerűtlen pénzügyi kockázatoktól.</w:t>
      </w:r>
    </w:p>
    <w:p w14:paraId="4739F9C5" w14:textId="77777777" w:rsidR="00C545F3" w:rsidRPr="0038256A" w:rsidRDefault="00C545F3" w:rsidP="00C545F3">
      <w:pPr>
        <w:pStyle w:val="NormalHanging12a"/>
        <w:ind w:left="0" w:firstLine="0"/>
      </w:pPr>
      <w:r w:rsidRPr="0038256A">
        <w:t>A Bizottságnak a szociális partnerekkel és az érintett érdekelt felekkel konzultálva és a bevált gyakorlatok alapján iránymutatást javasolt kidolgoznia az S.EU-k számára a végrehajtás megkönnyítése, a munkavállalók pénzügyi részvételével kapcsolatos tudatosság növelése és a munkavállalói pénzügyi részvételi rendszerek tagállamok közötti konvergenciájának biztosítása érdekében. Az iránymutatásoknak célszerű tartalmazniuk a munkavállalókat érintő pénzügyi kockázatokra vonatkozó információkat, meghatározniuk a munkavállalók kivásárlási lehetőségeit és a demokratikus kormányzást, és figyelembe venniük a munkavállalókra gyakorolt hatást.  </w:t>
      </w:r>
    </w:p>
    <w:p w14:paraId="162FC785" w14:textId="77777777" w:rsidR="00C545F3" w:rsidRPr="0038256A" w:rsidRDefault="00C545F3" w:rsidP="00C545F3">
      <w:pPr>
        <w:pStyle w:val="NormalHanging12a"/>
        <w:ind w:left="0" w:firstLine="0"/>
      </w:pPr>
      <w:r w:rsidRPr="0038256A">
        <w:t xml:space="preserve">Emellett a jogi koherencia és a határokon átnyúló alkalmazhatóság biztosítása érdekében a Bizottságnak a 28. rendszerre vonatkozó csomag részeként ajánlott foglalkoznia a munkavállalók pénzügyi részvételének adózás szempontjából történő kezelésével kapcsolatos kérdésekkel. Az uniós szintű harmonizáció eléréséig a tagállamokat célszerű határozottan ösztönözni arra, hogy proaktívan fogadjanak el a munkavállalók pénzügyi részvételét támogató, az S.EU célkitűzéseivel összhangban álló intézkedéseket annak érdekében, hogy azt mind a munkáltatók, mind a munkavállalók számára vonzóvá tegyék, előmozdítva a határokon átnyúló mobilitást és a </w:t>
      </w:r>
      <w:proofErr w:type="spellStart"/>
      <w:r w:rsidRPr="0038256A">
        <w:t>méltányosságot</w:t>
      </w:r>
      <w:proofErr w:type="spellEnd"/>
      <w:r w:rsidRPr="0038256A">
        <w:t>.</w:t>
      </w:r>
    </w:p>
    <w:p w14:paraId="420601B3" w14:textId="77777777" w:rsidR="00C545F3" w:rsidRPr="0038256A" w:rsidRDefault="00C545F3" w:rsidP="00C545F3">
      <w:pPr>
        <w:pStyle w:val="NormalHanging12a"/>
        <w:ind w:left="0" w:firstLine="0"/>
      </w:pPr>
      <w:r w:rsidRPr="0038256A">
        <w:t>Az S.EU-k innovációs kapacitásának megerősítése és a kutatási eredmények kereskedelmi hasznosításának felgyorsítása érdekében a jogalkotási javaslatot olyan intézkedéseknek javasolt kísérniük, amelyek előmozdítják és elősegítik az S.EU-k és az egyetemek, kutatóintézetek és technológiatranszfer-irodák közötti strukturált partnerségeket. A Bizottságnak iránymutatásokat és együttműködési megállapodásmintákat javasolt kidolgoznia az ilyen partnerségekre vonatkozóan, biztosítva, hogy azok egyszerűek, átláthatóak és valamennyi érintett fél számára méltányosak legyenek.</w:t>
      </w:r>
    </w:p>
    <w:p w14:paraId="5D7FBEC1" w14:textId="77777777" w:rsidR="00C545F3" w:rsidRPr="0038256A" w:rsidRDefault="00C545F3" w:rsidP="00C545F3">
      <w:pPr>
        <w:pStyle w:val="NormalHanging12a"/>
        <w:ind w:left="0" w:firstLine="0"/>
        <w:rPr>
          <w:b/>
        </w:rPr>
      </w:pPr>
      <w:r w:rsidRPr="0038256A">
        <w:rPr>
          <w:b/>
        </w:rPr>
        <w:t>7.</w:t>
      </w:r>
      <w:r w:rsidRPr="0038256A">
        <w:rPr>
          <w:b/>
        </w:rPr>
        <w:tab/>
        <w:t>A tőke vonzása</w:t>
      </w:r>
    </w:p>
    <w:p w14:paraId="08C5DC24" w14:textId="77777777" w:rsidR="00C545F3" w:rsidRPr="0038256A" w:rsidRDefault="00C545F3" w:rsidP="00C545F3">
      <w:pPr>
        <w:pStyle w:val="NormalHanging12a"/>
        <w:ind w:left="0" w:firstLine="0"/>
      </w:pPr>
      <w:r w:rsidRPr="0038256A">
        <w:t>A tagállamoknak olyan harmonizált, részvényjellegű, hitelviszonyt megtestesítő instrumentumot javasolt bevezetniük, amely lehetővé teszi a befektetők számára, hogy vállalkozásokba fektessenek be anélkül, hogy ellenőrzési jogot szereznének azok felett, ideértve például a nyereségrészesedési jogokat, a csendes részesedéseket vagy nyereséghez kötött kölcsönöket. Az ilyen részvényjellegű, hitelviszonyt megtestesítő instrumentumoknak célszerű megfelelniük az alábbi követelményeknek:</w:t>
      </w:r>
    </w:p>
    <w:p w14:paraId="299B0561" w14:textId="77777777" w:rsidR="00C545F3" w:rsidRPr="0038256A" w:rsidRDefault="00C545F3" w:rsidP="00C545F3">
      <w:pPr>
        <w:pStyle w:val="NormalHanging12a"/>
        <w:ind w:left="360" w:hanging="360"/>
      </w:pPr>
      <w:r w:rsidRPr="0038256A">
        <w:rPr>
          <w:rFonts w:ascii="Symbol" w:hAnsi="Symbol"/>
        </w:rPr>
        <w:sym w:font="Symbol" w:char="F02D"/>
      </w:r>
      <w:r w:rsidRPr="0038256A">
        <w:rPr>
          <w:rFonts w:ascii="Symbol" w:hAnsi="Symbol"/>
        </w:rPr>
        <w:tab/>
      </w:r>
      <w:r w:rsidRPr="0038256A">
        <w:t xml:space="preserve">a társaság és a befektető között tőke-hozzájárulásra vonatkozó szerződéses megállapodás </w:t>
      </w:r>
      <w:r w:rsidRPr="0038256A">
        <w:lastRenderedPageBreak/>
        <w:t>megkötésével jönnek létre; az ilyen megállapodásnak meg kell határoznia a befektetett tőkeösszeget, tartalmaznia kell egy meghatározott törlesztési időpontot, és elő kell írnia a rögzített vagy változó kamat vagy nyereségrészesedés formájában nyújtott ellentételezést;</w:t>
      </w:r>
    </w:p>
    <w:p w14:paraId="3B2A2BD6" w14:textId="77777777" w:rsidR="00C545F3" w:rsidRPr="0038256A" w:rsidRDefault="00C545F3" w:rsidP="00C545F3">
      <w:pPr>
        <w:pStyle w:val="NormalHanging12a"/>
        <w:ind w:left="360" w:hanging="360"/>
      </w:pPr>
      <w:r w:rsidRPr="0038256A">
        <w:rPr>
          <w:rFonts w:ascii="Symbol" w:hAnsi="Symbol"/>
        </w:rPr>
        <w:sym w:font="Symbol" w:char="F02D"/>
      </w:r>
      <w:r w:rsidRPr="0038256A">
        <w:rPr>
          <w:rFonts w:ascii="Symbol" w:hAnsi="Symbol"/>
        </w:rPr>
        <w:tab/>
      </w:r>
      <w:r w:rsidRPr="0038256A">
        <w:t>alárendeltek a rendes követelésekhez képest;</w:t>
      </w:r>
    </w:p>
    <w:p w14:paraId="5BE08329" w14:textId="77777777" w:rsidR="00C545F3" w:rsidRPr="0038256A" w:rsidRDefault="00C545F3" w:rsidP="00C545F3">
      <w:pPr>
        <w:pStyle w:val="NormalHanging12a"/>
        <w:ind w:left="360" w:hanging="360"/>
      </w:pPr>
      <w:r w:rsidRPr="0038256A">
        <w:rPr>
          <w:rFonts w:ascii="Symbol" w:hAnsi="Symbol"/>
        </w:rPr>
        <w:sym w:font="Symbol" w:char="F02D"/>
      </w:r>
      <w:r w:rsidRPr="0038256A">
        <w:rPr>
          <w:rFonts w:ascii="Symbol" w:hAnsi="Symbol"/>
        </w:rPr>
        <w:tab/>
      </w:r>
      <w:r w:rsidRPr="0038256A">
        <w:t>szabályozási és számviteli célokból saját tőkének vagy saját tőke finanszírozására szolgáló eszköznek kell tekinteni.</w:t>
      </w:r>
    </w:p>
    <w:p w14:paraId="4F14B49A" w14:textId="77777777" w:rsidR="00C545F3" w:rsidRPr="0038256A" w:rsidRDefault="00C545F3" w:rsidP="00C545F3">
      <w:pPr>
        <w:pStyle w:val="NormalHanging12a"/>
        <w:ind w:left="0" w:firstLine="0"/>
      </w:pPr>
      <w:r w:rsidRPr="0038256A">
        <w:t>A belső piac 27 nemzeti joghatósága közötti jogbiztonság növelése, valamint az S:EU‑kba történő befektetések akadályainak csökkentése érdekében a Bizottságnak javasolt elősegítenie többnyelvű egységesített alapszabályminták, részvényesimegállapodás-minták és az S.EU‑</w:t>
      </w:r>
      <w:proofErr w:type="spellStart"/>
      <w:r w:rsidRPr="0038256A">
        <w:t>kra</w:t>
      </w:r>
      <w:proofErr w:type="spellEnd"/>
      <w:r w:rsidRPr="0038256A">
        <w:t xml:space="preserve"> vonatkozó valamennyi egyéb releváns dokumentumminta kidolgozását, és javasolt létrehoznia egy platformot, amelyen az említett mintadokumentumok és gyakorlati információk az Unió valamennyi hivatalos nyelvén rendelkezésre állnak. </w:t>
      </w:r>
    </w:p>
    <w:p w14:paraId="686169AF" w14:textId="77777777" w:rsidR="00C545F3" w:rsidRPr="0038256A" w:rsidRDefault="00C545F3" w:rsidP="00C545F3">
      <w:pPr>
        <w:pStyle w:val="NormalHanging12a"/>
        <w:ind w:left="0" w:firstLine="0"/>
      </w:pPr>
      <w:r w:rsidRPr="0038256A">
        <w:t>A Bizottságnak célszerű kineveznie egy szakértői csoportot, amelynek feladata az egységesített, kiváló minőségű, az S.EU-</w:t>
      </w:r>
      <w:proofErr w:type="spellStart"/>
      <w:r w:rsidRPr="0038256A">
        <w:t>kra</w:t>
      </w:r>
      <w:proofErr w:type="spellEnd"/>
      <w:r w:rsidRPr="0038256A">
        <w:t xml:space="preserve"> vonatkozó harmonizált követelményeknek megfelelő alapszabályminták kidolgozása. E szakértői csoportnak többek között az alapítók képviselőiből, befektetőkből és szakszervezetekből javasolt állnia.</w:t>
      </w:r>
    </w:p>
    <w:p w14:paraId="7C20546F" w14:textId="77777777" w:rsidR="00C545F3" w:rsidRPr="0038256A" w:rsidRDefault="00C545F3" w:rsidP="00C545F3">
      <w:pPr>
        <w:pStyle w:val="NormalHanging12a"/>
        <w:ind w:left="0" w:firstLine="0"/>
      </w:pPr>
      <w:r w:rsidRPr="0038256A">
        <w:t>A Bizottságnak javasolt kineveznie egy további szakértői csoportot, amelynek feladata az egységesített, tisztességes és kiváló minőségű részvényesimegállapodás-minták kidolgozása. Az ilyen részvényesimegállapodás-mintáknak egyensúlyt kell teremteniük az alapítók és a befektetők érdekei között. E szakértői csoportnak többek között az alapítók képviselőiből és kockázatitőke-befektetőkből javasolt állnia.</w:t>
      </w:r>
    </w:p>
    <w:p w14:paraId="7F541BCF" w14:textId="77777777" w:rsidR="00C545F3" w:rsidRPr="0038256A" w:rsidRDefault="00C545F3" w:rsidP="00C545F3">
      <w:pPr>
        <w:pStyle w:val="NormalHanging12a"/>
        <w:ind w:left="0" w:firstLine="0"/>
      </w:pPr>
      <w:r w:rsidRPr="0038256A">
        <w:t>A Bizottságnak javasolt támogatnia az európai és összehasonlító társasági joggal kapcsolatos kutatásokat és tájékoztatást, és építenie az ezzel kapcsolatos meglévő kezdeményezésekre, hogy a tagállamokban az Unió valamennyi hivatalos nyelvén hozzáférhető és összehasonlítható információkat nyújtson a vállalkozások szabályozásáról.</w:t>
      </w:r>
    </w:p>
    <w:p w14:paraId="37BC5195" w14:textId="77777777" w:rsidR="00C545F3" w:rsidRPr="0038256A" w:rsidRDefault="00C545F3" w:rsidP="00C545F3">
      <w:pPr>
        <w:pStyle w:val="NormalHanging12a"/>
        <w:rPr>
          <w:b/>
        </w:rPr>
      </w:pPr>
      <w:r w:rsidRPr="0038256A">
        <w:rPr>
          <w:b/>
        </w:rPr>
        <w:t>8.</w:t>
      </w:r>
      <w:r w:rsidRPr="0038256A">
        <w:rPr>
          <w:b/>
        </w:rPr>
        <w:tab/>
        <w:t>Szakosodott vitarendezés</w:t>
      </w:r>
    </w:p>
    <w:p w14:paraId="4E92871D" w14:textId="77777777" w:rsidR="00C545F3" w:rsidRPr="0038256A" w:rsidRDefault="00C545F3" w:rsidP="00C545F3">
      <w:pPr>
        <w:pStyle w:val="NormalHanging12a"/>
        <w:ind w:left="0" w:firstLine="0"/>
      </w:pPr>
      <w:r w:rsidRPr="0038256A">
        <w:t>Az S.EU-</w:t>
      </w:r>
      <w:proofErr w:type="spellStart"/>
      <w:r w:rsidRPr="0038256A">
        <w:t>kkal</w:t>
      </w:r>
      <w:proofErr w:type="spellEnd"/>
      <w:r w:rsidRPr="0038256A">
        <w:t xml:space="preserve"> kapcsolatos vitarendezés felgyorsítása érdekében alternatív, szakosodott vitarendezési mechanizmust javasolt létrehozni. Az e mechanizmusban való részvételhez az érintett felek beleegyezése szükséges. Az egyéni és kollektív munkaügyi jogvitákat javasolt kizárni ebből a mechanizmusból, és ilyen esetekben a joghatóságot az 1215/2012/EU rendelet 20–23. cikkével összhangban kell meghatározni.</w:t>
      </w:r>
    </w:p>
    <w:p w14:paraId="66563009" w14:textId="77777777" w:rsidR="00C545F3" w:rsidRPr="0038256A" w:rsidRDefault="00C545F3" w:rsidP="00C545F3">
      <w:pPr>
        <w:pStyle w:val="NormalHanging12a"/>
        <w:ind w:left="0" w:firstLine="0"/>
      </w:pPr>
      <w:r w:rsidRPr="0038256A">
        <w:t>A tagállamoknak továbbá javasolt megfontolniuk egy különbizottság létrehozását nemzeti bíróságaikon belül – egy konkrét nemzeti szintű bíróságon belüli különbizottság, vagy minden egyes szövetségi egységen belül egy-egy különbizottság formájában, a szóban forgó nemzeti igazságszolgáltatási rendszertől függően. Az ilyen különbizottságok létrehozásának célja az S.EU társasági formával kapcsolatos, a társaságok közötti polgári jogi jogviták, az S.EU-k vagy az S.EU-</w:t>
      </w:r>
      <w:proofErr w:type="spellStart"/>
      <w:r w:rsidRPr="0038256A">
        <w:t>kban</w:t>
      </w:r>
      <w:proofErr w:type="spellEnd"/>
      <w:r w:rsidRPr="0038256A">
        <w:t xml:space="preserve"> való részesedés megszerzéséből eredő vagy azzal kapcsolatos viták, valamint az S.EU és az annak vezetői vagy felügyelő testületének tagjai közötti viták rendezése. A tagállamoknak célszerű gondoskodniuk arról, hogy az ilyen különbizottságok előtti eljárások angol nyelven folyjanak, feltéve, hogy az érintett felek ebbe beleegyeznek.</w:t>
      </w:r>
    </w:p>
    <w:p w14:paraId="137DB492" w14:textId="63D3EB73" w:rsidR="00C545F3" w:rsidRPr="0038256A" w:rsidRDefault="00C545F3" w:rsidP="00E075D5">
      <w:pPr>
        <w:pStyle w:val="NormalHanging12a"/>
        <w:rPr>
          <w:b/>
        </w:rPr>
      </w:pPr>
      <w:r w:rsidRPr="0038256A">
        <w:rPr>
          <w:b/>
        </w:rPr>
        <w:t>9.</w:t>
      </w:r>
      <w:r w:rsidR="00E075D5" w:rsidRPr="0038256A">
        <w:rPr>
          <w:b/>
        </w:rPr>
        <w:tab/>
      </w:r>
      <w:r w:rsidRPr="0038256A">
        <w:rPr>
          <w:b/>
        </w:rPr>
        <w:t xml:space="preserve">Hatásvizsgálat, felülvizsgálat és értékelés </w:t>
      </w:r>
    </w:p>
    <w:p w14:paraId="5884FCB6" w14:textId="77777777" w:rsidR="00C545F3" w:rsidRPr="0038256A" w:rsidRDefault="00C545F3" w:rsidP="00E075D5">
      <w:pPr>
        <w:pStyle w:val="NormalHanging12a"/>
        <w:ind w:left="0" w:firstLine="0"/>
      </w:pPr>
      <w:r w:rsidRPr="0038256A">
        <w:lastRenderedPageBreak/>
        <w:t xml:space="preserve">Folyamatosan javasolt </w:t>
      </w:r>
      <w:proofErr w:type="spellStart"/>
      <w:r w:rsidRPr="0038256A">
        <w:t>nyomonkövetni</w:t>
      </w:r>
      <w:proofErr w:type="spellEnd"/>
      <w:r w:rsidRPr="0038256A">
        <w:t xml:space="preserve">, hogy a 28. rendszer mennyire hatékony az innováció előmozdításában, a versenyképesség fokozásában, a jogbiztonság megőrzésében és az uniós és nemzeti szociális és munkaügyi normák megkerülésének megelőzésében. </w:t>
      </w:r>
    </w:p>
    <w:p w14:paraId="1F984A65" w14:textId="77777777" w:rsidR="00C545F3" w:rsidRPr="0038256A" w:rsidRDefault="00C545F3" w:rsidP="00E075D5">
      <w:pPr>
        <w:pStyle w:val="NormalHanging12a"/>
        <w:ind w:left="0" w:firstLine="0"/>
      </w:pPr>
      <w:r w:rsidRPr="0038256A">
        <w:t xml:space="preserve">A Bizottságnak a 28. rendszerrel kapcsolatos bármely új jogalkotási javaslattal egyidejűleg átfogó és átlátható hatásvizsgálatot javasolt végeznie és </w:t>
      </w:r>
      <w:proofErr w:type="spellStart"/>
      <w:r w:rsidRPr="0038256A">
        <w:t>közzétennie</w:t>
      </w:r>
      <w:proofErr w:type="spellEnd"/>
      <w:r w:rsidRPr="0038256A">
        <w:t xml:space="preserve">, különös tekintettel a társadalmi, adóügyi és jogi következményekre, valamint az uniós és nemzeti védelmi normák gyengítésének kockázatára. A jogbiztonság és a koherencia biztosítása érdekében a Bizottságnak célszerű értékelnie a meglévő nemzeti modelleket és bevált gyakorlatokat is, például a nemzeti cégnyilvántartások működését, valamint a cégalapítást megkönnyítő automatizált digitális folyamatokat, az átláthatóság és az elszámoltathatóság magas szintjének fenntartása mellett. A Bizottságnak javasolt kifejezetten megvizsgálnia, hogy miként lehetne optimalizálni az eljárásokat annak biztosítása érdekében, hogy a teljes nyilvántartásba vételi folyamatot – beleértve a kiegészítő ellenőrzéseket és a megfelelőségi ellenőrzéseket is – 48 órán belül le lehessen zárni, a jogbiztonság sérelme nélkül és az eljárási biztosítékokkal összhangban. </w:t>
      </w:r>
    </w:p>
    <w:p w14:paraId="0A8F76A2" w14:textId="77777777" w:rsidR="00C545F3" w:rsidRPr="0038256A" w:rsidRDefault="00C545F3" w:rsidP="00E075D5">
      <w:pPr>
        <w:pStyle w:val="NormalHanging12a"/>
        <w:ind w:left="0" w:firstLine="0"/>
      </w:pPr>
      <w:r w:rsidRPr="0038256A">
        <w:t xml:space="preserve">A Bizottságnak továbbá javasolt biztosítania a 28. rendszer rendszeres </w:t>
      </w:r>
      <w:proofErr w:type="spellStart"/>
      <w:r w:rsidRPr="0038256A">
        <w:t>időközönkénti</w:t>
      </w:r>
      <w:proofErr w:type="spellEnd"/>
      <w:r w:rsidRPr="0038256A">
        <w:t xml:space="preserve"> átfogó felülvizsgálatát és szükség esetén módosítását, beleértve annak értékelését, hogy a vállalkozások – különösen a kkv-k, az induló és a növekvő innovatív vállalkozások – körében milyen arányban alkalmazzák a rendszert, az igazodik-e a változó üzleti és társadalmi igényekhez, az Unió versenyképességéhez, szociális védelméhez és foglalkoztatásához, valamint általában véve megfelel-e a céljának.</w:t>
      </w:r>
    </w:p>
    <w:p w14:paraId="33111401" w14:textId="5D6D260A" w:rsidR="008149DC" w:rsidRPr="008149DC" w:rsidRDefault="00C545F3" w:rsidP="00E075D5">
      <w:pPr>
        <w:pStyle w:val="NormalHanging12a"/>
        <w:ind w:left="0" w:firstLine="0"/>
      </w:pPr>
      <w:r w:rsidRPr="0038256A">
        <w:t>A Bizottságnak az új kihívásokhoz való alkalmazkodóképesség biztosítása érdekében javasolt négyévente értékelnie a jogalkotási aktusnak a kkv-k fejlődésére és gazdasági növekedésére gyakorolt lehetséges hatását, valamint az uniós és nemzeti munkajogi és a munkavállalók védelmét szolgáló normáknak való megfelelést és az azokra gyakorolt hatást, és erről javasolt jelentést tennie az Európai Parlamentnek, a Tanácsnak és az Európai Gazdasági és Szociális Bizottságnak. A jelentést adott esetben felülvizsgálatra irányuló jogalkotási javaslatnak javasolt kísérnie.</w:t>
      </w:r>
      <w:r w:rsidRPr="00E075D5">
        <w:t xml:space="preserve"> </w:t>
      </w:r>
    </w:p>
    <w:sectPr w:rsidR="008149DC" w:rsidRPr="008149DC" w:rsidSect="008149DC">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2A125A" w14:textId="77777777" w:rsidR="004E41ED" w:rsidRPr="008149DC" w:rsidRDefault="004E41ED">
      <w:r w:rsidRPr="008149DC">
        <w:separator/>
      </w:r>
    </w:p>
  </w:endnote>
  <w:endnote w:type="continuationSeparator" w:id="0">
    <w:p w14:paraId="0202B964" w14:textId="77777777" w:rsidR="004E41ED" w:rsidRPr="008149DC" w:rsidRDefault="004E41ED">
      <w:r w:rsidRPr="008149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default"/>
  </w:font>
  <w:font w:name="Museo Sans Cond 100">
    <w:altName w:val="Times New Roman"/>
    <w:panose1 w:val="00000000000000000000"/>
    <w:charset w:val="00"/>
    <w:family w:val="modern"/>
    <w:notTrueType/>
    <w:pitch w:val="variable"/>
    <w:sig w:usb0="00000007" w:usb1="00000001"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6CA7C" w14:textId="77777777" w:rsidR="00C545F3" w:rsidRPr="008149DC" w:rsidRDefault="00C545F3" w:rsidP="001C5C1F">
    <w:pPr>
      <w:pStyle w:val="EPFooter"/>
    </w:pPr>
    <w:r w:rsidRPr="008149DC">
      <w:t>PE</w:t>
    </w:r>
    <w:r w:rsidRPr="008149DC">
      <w:rPr>
        <w:rStyle w:val="HideTWBExt"/>
      </w:rPr>
      <w:t>&lt;NoPE&gt;</w:t>
    </w:r>
    <w:r w:rsidRPr="008149DC">
      <w:t>773.199</w:t>
    </w:r>
    <w:r w:rsidRPr="008149DC">
      <w:rPr>
        <w:rStyle w:val="HideTWBExt"/>
      </w:rPr>
      <w:t>&lt;/NoPE&gt;&lt;Version&gt;</w:t>
    </w:r>
    <w:r w:rsidRPr="008149DC">
      <w:t>v02-00</w:t>
    </w:r>
    <w:r w:rsidRPr="008149DC">
      <w:rPr>
        <w:rStyle w:val="HideTWBExt"/>
      </w:rPr>
      <w:t>&lt;/Version&gt;</w:t>
    </w:r>
    <w:r w:rsidRPr="008149DC">
      <w:tab/>
    </w:r>
    <w:r w:rsidRPr="008149DC">
      <w:fldChar w:fldCharType="begin"/>
    </w:r>
    <w:r w:rsidRPr="008149DC">
      <w:instrText xml:space="preserve"> PAGE  \* MERGEFORMAT </w:instrText>
    </w:r>
    <w:r w:rsidRPr="008149DC">
      <w:fldChar w:fldCharType="separate"/>
    </w:r>
    <w:r w:rsidRPr="008149DC">
      <w:rPr>
        <w:noProof/>
      </w:rPr>
      <w:t>36</w:t>
    </w:r>
    <w:r w:rsidRPr="008149DC">
      <w:fldChar w:fldCharType="end"/>
    </w:r>
    <w:r w:rsidRPr="008149DC">
      <w:t>/</w:t>
    </w:r>
    <w:fldSimple w:instr=" NUMPAGES  \* MERGEFORMAT ">
      <w:r w:rsidRPr="008149DC">
        <w:rPr>
          <w:noProof/>
        </w:rPr>
        <w:t>36</w:t>
      </w:r>
    </w:fldSimple>
    <w:r w:rsidRPr="008149DC">
      <w:tab/>
    </w:r>
    <w:r w:rsidRPr="008149DC">
      <w:rPr>
        <w:rStyle w:val="HideTWBExt"/>
      </w:rPr>
      <w:t>&lt;PathFdR&gt;</w:t>
    </w:r>
    <w:r w:rsidRPr="008149DC">
      <w:t>RR\1334435HU.docx</w:t>
    </w:r>
    <w:r w:rsidRPr="008149DC">
      <w:rPr>
        <w:rStyle w:val="HideTWBExt"/>
      </w:rPr>
      <w:t>&lt;/PathFdR&gt;</w:t>
    </w:r>
  </w:p>
  <w:p w14:paraId="7502E078" w14:textId="77777777" w:rsidR="00C545F3" w:rsidRPr="008149DC" w:rsidRDefault="00C545F3" w:rsidP="001C5C1F">
    <w:pPr>
      <w:pStyle w:val="EPFooter2"/>
    </w:pPr>
    <w:r w:rsidRPr="008149DC">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8E017" w14:textId="77777777" w:rsidR="00C545F3" w:rsidRPr="008149DC" w:rsidRDefault="00C545F3" w:rsidP="001C5C1F">
    <w:pPr>
      <w:pStyle w:val="EPFooter"/>
    </w:pPr>
    <w:r w:rsidRPr="008149DC">
      <w:rPr>
        <w:rStyle w:val="HideTWBExt"/>
      </w:rPr>
      <w:t>&lt;PathFdR&gt;</w:t>
    </w:r>
    <w:r w:rsidRPr="008149DC">
      <w:t>RR\1334435HU.docx</w:t>
    </w:r>
    <w:r w:rsidRPr="008149DC">
      <w:rPr>
        <w:rStyle w:val="HideTWBExt"/>
      </w:rPr>
      <w:t>&lt;/PathFdR&gt;</w:t>
    </w:r>
    <w:r w:rsidRPr="008149DC">
      <w:tab/>
    </w:r>
    <w:r w:rsidRPr="008149DC">
      <w:tab/>
      <w:t>PE</w:t>
    </w:r>
    <w:r w:rsidRPr="008149DC">
      <w:rPr>
        <w:rStyle w:val="HideTWBExt"/>
      </w:rPr>
      <w:t>&lt;NoPE&gt;</w:t>
    </w:r>
    <w:r w:rsidRPr="008149DC">
      <w:t>773.199</w:t>
    </w:r>
    <w:r w:rsidRPr="008149DC">
      <w:rPr>
        <w:rStyle w:val="HideTWBExt"/>
      </w:rPr>
      <w:t>&lt;/NoPE&gt;&lt;Version&gt;</w:t>
    </w:r>
    <w:r w:rsidRPr="008149DC">
      <w:t>v02-00</w:t>
    </w:r>
    <w:r w:rsidRPr="008149DC">
      <w:rPr>
        <w:rStyle w:val="HideTWBExt"/>
      </w:rPr>
      <w:t>&lt;/Version&gt;</w:t>
    </w:r>
  </w:p>
  <w:p w14:paraId="1299CE37" w14:textId="77777777" w:rsidR="00C545F3" w:rsidRPr="008149DC" w:rsidRDefault="00C545F3" w:rsidP="001C5C1F">
    <w:pPr>
      <w:pStyle w:val="EPFooter2"/>
    </w:pPr>
    <w:r w:rsidRPr="008149DC">
      <w:t>HU</w:t>
    </w:r>
    <w:r w:rsidRPr="008149DC">
      <w:tab/>
    </w:r>
    <w:r w:rsidRPr="008149DC">
      <w:rPr>
        <w:b w:val="0"/>
        <w:i/>
        <w:color w:val="C0C0C0"/>
        <w:sz w:val="22"/>
      </w:rPr>
      <w:t>Egyesülve a sokféleségben</w:t>
    </w:r>
    <w:r w:rsidRPr="008149DC">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D78CC" w14:textId="77777777" w:rsidR="00064002" w:rsidRPr="008149DC"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5EF59" w14:textId="77777777" w:rsidR="00064002" w:rsidRPr="008149DC"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053DD" w14:textId="77777777" w:rsidR="00064002" w:rsidRPr="008149D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540143" w14:textId="77777777" w:rsidR="004E41ED" w:rsidRPr="008149DC" w:rsidRDefault="004E41ED">
      <w:r w:rsidRPr="008149DC">
        <w:separator/>
      </w:r>
    </w:p>
  </w:footnote>
  <w:footnote w:type="continuationSeparator" w:id="0">
    <w:p w14:paraId="6415B82C" w14:textId="77777777" w:rsidR="004E41ED" w:rsidRPr="008149DC" w:rsidRDefault="004E41ED">
      <w:r w:rsidRPr="008149DC">
        <w:continuationSeparator/>
      </w:r>
    </w:p>
  </w:footnote>
  <w:footnote w:id="1">
    <w:p w14:paraId="6F455D47" w14:textId="529F751D" w:rsidR="00C545F3" w:rsidRPr="008149DC" w:rsidRDefault="00C545F3" w:rsidP="008149DC">
      <w:pPr>
        <w:pStyle w:val="FootnoteText"/>
        <w:ind w:left="567" w:hanging="567"/>
        <w:rPr>
          <w:sz w:val="24"/>
          <w:szCs w:val="24"/>
          <w:lang w:val="hu-HU"/>
        </w:rPr>
      </w:pPr>
      <w:r w:rsidRPr="008149DC">
        <w:rPr>
          <w:rStyle w:val="FootnoteReference"/>
          <w:sz w:val="24"/>
          <w:szCs w:val="24"/>
          <w:lang w:val="hu-HU"/>
        </w:rPr>
        <w:footnoteRef/>
      </w:r>
      <w:r w:rsidR="008149DC" w:rsidRPr="008149DC">
        <w:rPr>
          <w:sz w:val="24"/>
          <w:lang w:val="hu-HU"/>
        </w:rPr>
        <w:t xml:space="preserve"> </w:t>
      </w:r>
      <w:r w:rsidR="008149DC" w:rsidRPr="008149DC">
        <w:rPr>
          <w:sz w:val="24"/>
          <w:lang w:val="hu-HU"/>
        </w:rPr>
        <w:tab/>
      </w:r>
      <w:r w:rsidRPr="008149DC">
        <w:rPr>
          <w:sz w:val="24"/>
          <w:lang w:val="hu-HU"/>
        </w:rPr>
        <w:t>HL L 177., 2008.7.4., 6. o., ELI: </w:t>
      </w:r>
      <w:hyperlink r:id="rId1" w:tooltip="Az ELI (európai jogszabály-azonosító) URI-hivatkozása révén biztosít hozzáférést a dokumentumhoz." w:history="1">
        <w:r w:rsidRPr="008149DC">
          <w:rPr>
            <w:rStyle w:val="Hyperlink"/>
            <w:sz w:val="24"/>
            <w:lang w:val="hu-HU"/>
          </w:rPr>
          <w:t>http://data.europa.eu/eli/reg/2008/593/oj</w:t>
        </w:r>
      </w:hyperlink>
      <w:r w:rsidRPr="008149DC">
        <w:rPr>
          <w:sz w:val="24"/>
          <w:lang w:val="hu-HU"/>
        </w:rPr>
        <w:t>.</w:t>
      </w:r>
    </w:p>
  </w:footnote>
  <w:footnote w:id="2">
    <w:p w14:paraId="53186F51" w14:textId="3200F53E" w:rsidR="00C545F3" w:rsidRPr="008149DC" w:rsidRDefault="00C545F3" w:rsidP="008149DC">
      <w:pPr>
        <w:ind w:left="567" w:hanging="567"/>
        <w:rPr>
          <w:iCs/>
          <w:szCs w:val="24"/>
        </w:rPr>
      </w:pPr>
      <w:r w:rsidRPr="008149DC">
        <w:rPr>
          <w:rStyle w:val="FootnoteReference"/>
          <w:szCs w:val="24"/>
        </w:rPr>
        <w:footnoteRef/>
      </w:r>
      <w:r w:rsidR="008149DC" w:rsidRPr="008149DC">
        <w:t xml:space="preserve"> </w:t>
      </w:r>
      <w:r w:rsidR="008149DC" w:rsidRPr="008149DC">
        <w:tab/>
      </w:r>
      <w:r w:rsidRPr="008149DC">
        <w:t xml:space="preserve">HL L 351., 2012.12.20., 1. o., ELI: </w:t>
      </w:r>
      <w:hyperlink r:id="rId2" w:history="1">
        <w:r w:rsidRPr="008149DC">
          <w:rPr>
            <w:rStyle w:val="Hyperlink"/>
          </w:rPr>
          <w:t>http://data.europa.eu/eli/reg/2012/1215/oj</w:t>
        </w:r>
      </w:hyperlink>
      <w:r w:rsidRPr="008149DC">
        <w:t>.</w:t>
      </w:r>
    </w:p>
  </w:footnote>
  <w:footnote w:id="3">
    <w:p w14:paraId="6B736072" w14:textId="7B285499" w:rsidR="00C545F3" w:rsidRPr="008149DC" w:rsidRDefault="00C545F3" w:rsidP="008149DC">
      <w:pPr>
        <w:pStyle w:val="FootnoteText"/>
        <w:ind w:left="567" w:hanging="567"/>
        <w:rPr>
          <w:sz w:val="24"/>
          <w:szCs w:val="24"/>
          <w:lang w:val="hu-HU"/>
        </w:rPr>
      </w:pPr>
      <w:r w:rsidRPr="008149DC">
        <w:rPr>
          <w:rStyle w:val="FootnoteReference"/>
          <w:sz w:val="24"/>
          <w:szCs w:val="24"/>
          <w:lang w:val="hu-HU"/>
        </w:rPr>
        <w:footnoteRef/>
      </w:r>
      <w:r w:rsidR="008149DC" w:rsidRPr="008149DC">
        <w:rPr>
          <w:sz w:val="24"/>
          <w:lang w:val="hu-HU"/>
        </w:rPr>
        <w:t xml:space="preserve"> </w:t>
      </w:r>
      <w:r w:rsidR="008149DC" w:rsidRPr="008149DC">
        <w:rPr>
          <w:sz w:val="24"/>
          <w:lang w:val="hu-HU"/>
        </w:rPr>
        <w:tab/>
      </w:r>
      <w:r w:rsidRPr="008149DC">
        <w:rPr>
          <w:sz w:val="24"/>
          <w:lang w:val="hu-HU"/>
        </w:rPr>
        <w:t>HL L 257., 2014.8.28., 73. o., ELI: </w:t>
      </w:r>
      <w:hyperlink r:id="rId3" w:tooltip="Az ELI (európai jogszabály-azonosító) URI-hivatkozása révén biztosít hozzáférést a dokumentumhoz." w:history="1">
        <w:r w:rsidRPr="008149DC">
          <w:rPr>
            <w:rStyle w:val="Hyperlink"/>
            <w:sz w:val="24"/>
            <w:lang w:val="hu-HU"/>
          </w:rPr>
          <w:t>http://data.europa.eu/eli/reg/2014/910/oj</w:t>
        </w:r>
      </w:hyperlink>
      <w:r w:rsidRPr="008149DC">
        <w:rPr>
          <w:sz w:val="24"/>
          <w:lang w:val="hu-HU"/>
        </w:rPr>
        <w:t>.</w:t>
      </w:r>
    </w:p>
  </w:footnote>
  <w:footnote w:id="4">
    <w:p w14:paraId="17C61ECD" w14:textId="3EBF42B1" w:rsidR="00C545F3" w:rsidRPr="008149DC" w:rsidRDefault="00C545F3" w:rsidP="008149DC">
      <w:pPr>
        <w:pStyle w:val="FootnoteText"/>
        <w:ind w:left="567" w:hanging="567"/>
        <w:rPr>
          <w:sz w:val="24"/>
          <w:szCs w:val="24"/>
          <w:lang w:val="hu-HU"/>
        </w:rPr>
      </w:pPr>
      <w:r w:rsidRPr="008149DC">
        <w:rPr>
          <w:rStyle w:val="FootnoteReference"/>
          <w:sz w:val="24"/>
          <w:szCs w:val="24"/>
          <w:lang w:val="hu-HU"/>
        </w:rPr>
        <w:footnoteRef/>
      </w:r>
      <w:r w:rsidR="008149DC" w:rsidRPr="008149DC">
        <w:rPr>
          <w:sz w:val="24"/>
          <w:lang w:val="hu-HU"/>
        </w:rPr>
        <w:t xml:space="preserve"> </w:t>
      </w:r>
      <w:r w:rsidR="008149DC" w:rsidRPr="008149DC">
        <w:rPr>
          <w:sz w:val="24"/>
          <w:lang w:val="hu-HU"/>
        </w:rPr>
        <w:tab/>
      </w:r>
      <w:r w:rsidRPr="008149DC">
        <w:rPr>
          <w:sz w:val="24"/>
          <w:lang w:val="hu-HU"/>
        </w:rPr>
        <w:t>HL L 258., 2009.10.1., 20. o., ELI: </w:t>
      </w:r>
      <w:hyperlink r:id="rId4" w:tooltip="Az ELI (európai jogszabály-azonosító) URI-hivatkozása révén biztosít hozzáférést a dokumentumhoz." w:history="1">
        <w:r w:rsidRPr="008149DC">
          <w:rPr>
            <w:rStyle w:val="Hyperlink"/>
            <w:sz w:val="24"/>
            <w:lang w:val="hu-HU"/>
          </w:rPr>
          <w:t>http://data.europa.eu/eli/dir/2009/102/oj</w:t>
        </w:r>
      </w:hyperlink>
      <w:r w:rsidRPr="008149DC">
        <w:rPr>
          <w:sz w:val="24"/>
          <w:lang w:val="hu-HU"/>
        </w:rPr>
        <w:t>.</w:t>
      </w:r>
    </w:p>
  </w:footnote>
  <w:footnote w:id="5">
    <w:p w14:paraId="75BC1025" w14:textId="77777777" w:rsidR="00E075D5" w:rsidRPr="008149DC" w:rsidRDefault="00E075D5" w:rsidP="00E075D5">
      <w:pPr>
        <w:pStyle w:val="FootnoteText"/>
        <w:ind w:left="567" w:hanging="567"/>
        <w:rPr>
          <w:sz w:val="24"/>
          <w:szCs w:val="24"/>
          <w:lang w:val="hu-HU"/>
        </w:rPr>
      </w:pPr>
      <w:r w:rsidRPr="008149DC">
        <w:rPr>
          <w:rStyle w:val="FootnoteReference"/>
          <w:sz w:val="24"/>
          <w:szCs w:val="24"/>
          <w:lang w:val="hu-HU"/>
        </w:rPr>
        <w:footnoteRef/>
      </w:r>
      <w:r w:rsidRPr="008149DC">
        <w:rPr>
          <w:sz w:val="24"/>
          <w:lang w:val="hu-HU"/>
        </w:rPr>
        <w:t xml:space="preserve"> </w:t>
      </w:r>
      <w:r w:rsidRPr="008149DC">
        <w:rPr>
          <w:sz w:val="24"/>
          <w:lang w:val="hu-HU"/>
        </w:rPr>
        <w:tab/>
        <w:t xml:space="preserve">HL L 169., 2017.6.30., 46. o., ELI: </w:t>
      </w:r>
      <w:hyperlink r:id="rId5" w:history="1">
        <w:r w:rsidRPr="008149DC">
          <w:rPr>
            <w:rStyle w:val="Hyperlink"/>
            <w:sz w:val="24"/>
            <w:lang w:val="hu-HU"/>
          </w:rPr>
          <w:t>http://data.europa.eu/eli/dir/2017/1132/oj</w:t>
        </w:r>
      </w:hyperlink>
      <w:r w:rsidRPr="008149DC">
        <w:rPr>
          <w:sz w:val="24"/>
          <w:lang w:val="hu-HU"/>
        </w:rPr>
        <w:t>.</w:t>
      </w:r>
    </w:p>
  </w:footnote>
  <w:footnote w:id="6">
    <w:p w14:paraId="26985878" w14:textId="084274B5" w:rsidR="00C545F3" w:rsidRPr="008149DC" w:rsidRDefault="00C545F3" w:rsidP="008149DC">
      <w:pPr>
        <w:pStyle w:val="FootnoteText"/>
        <w:ind w:left="567" w:hanging="567"/>
        <w:rPr>
          <w:sz w:val="24"/>
          <w:szCs w:val="24"/>
          <w:lang w:val="hu-HU"/>
        </w:rPr>
      </w:pPr>
      <w:r w:rsidRPr="008149DC">
        <w:rPr>
          <w:rStyle w:val="FootnoteReference"/>
          <w:sz w:val="24"/>
          <w:szCs w:val="24"/>
          <w:lang w:val="hu-HU"/>
        </w:rPr>
        <w:footnoteRef/>
      </w:r>
      <w:r w:rsidR="008149DC" w:rsidRPr="008149DC">
        <w:rPr>
          <w:sz w:val="24"/>
          <w:lang w:val="hu-HU"/>
        </w:rPr>
        <w:t xml:space="preserve"> </w:t>
      </w:r>
      <w:r w:rsidR="008149DC" w:rsidRPr="008149DC">
        <w:rPr>
          <w:sz w:val="24"/>
          <w:lang w:val="hu-HU"/>
        </w:rPr>
        <w:tab/>
      </w:r>
      <w:r w:rsidRPr="008149DC">
        <w:rPr>
          <w:sz w:val="24"/>
          <w:lang w:val="hu-HU"/>
        </w:rPr>
        <w:t>HL L 321., 2019.12.12., 1. o., ELI: </w:t>
      </w:r>
      <w:hyperlink r:id="rId6" w:tooltip="Az ELI (európai jogszabály-azonosító) URI-hivatkozása révén biztosít hozzáférést a dokumentumhoz." w:history="1">
        <w:r w:rsidRPr="008149DC">
          <w:rPr>
            <w:rStyle w:val="Hyperlink"/>
            <w:sz w:val="24"/>
            <w:lang w:val="hu-HU"/>
          </w:rPr>
          <w:t>http://data.europa.eu/eli/dir/2019/2121/oj</w:t>
        </w:r>
      </w:hyperlink>
      <w:r w:rsidRPr="008149DC">
        <w:rPr>
          <w:sz w:val="24"/>
          <w:lang w:val="hu-HU"/>
        </w:rPr>
        <w:t>.</w:t>
      </w:r>
    </w:p>
  </w:footnote>
  <w:footnote w:id="7">
    <w:p w14:paraId="3D86BDB3" w14:textId="7BA1ADBB" w:rsidR="00C545F3" w:rsidRPr="008149DC" w:rsidRDefault="00C545F3" w:rsidP="008149DC">
      <w:pPr>
        <w:pStyle w:val="FootnoteText"/>
        <w:ind w:left="567" w:hanging="567"/>
        <w:rPr>
          <w:sz w:val="24"/>
          <w:szCs w:val="24"/>
          <w:lang w:val="hu-HU"/>
        </w:rPr>
      </w:pPr>
      <w:r w:rsidRPr="008149DC">
        <w:rPr>
          <w:rStyle w:val="FootnoteReference"/>
          <w:sz w:val="24"/>
          <w:szCs w:val="24"/>
          <w:lang w:val="hu-HU"/>
        </w:rPr>
        <w:footnoteRef/>
      </w:r>
      <w:r w:rsidR="008149DC" w:rsidRPr="008149DC">
        <w:rPr>
          <w:sz w:val="24"/>
          <w:lang w:val="hu-HU"/>
        </w:rPr>
        <w:t xml:space="preserve"> </w:t>
      </w:r>
      <w:r w:rsidR="008149DC" w:rsidRPr="008149DC">
        <w:rPr>
          <w:sz w:val="24"/>
          <w:lang w:val="hu-HU"/>
        </w:rPr>
        <w:tab/>
      </w:r>
      <w:r w:rsidRPr="008149DC">
        <w:rPr>
          <w:sz w:val="24"/>
          <w:lang w:val="hu-HU"/>
        </w:rPr>
        <w:t>HL L, 2025/25, 2025.1.10., ELI: </w:t>
      </w:r>
      <w:hyperlink r:id="rId7" w:tgtFrame="_blank" w:tooltip="Az ELI (európai jogszabály-azonosító) URI-hivatkozása révén biztosít hozzáférést a dokumentumhoz." w:history="1">
        <w:r w:rsidRPr="008149DC">
          <w:rPr>
            <w:rStyle w:val="Hyperlink"/>
            <w:sz w:val="24"/>
            <w:lang w:val="hu-HU"/>
          </w:rPr>
          <w:t>http://data.europa.eu/eli/dir/2025/25/oj</w:t>
        </w:r>
      </w:hyperlink>
      <w:r w:rsidRPr="008149DC">
        <w:rPr>
          <w:rStyle w:val="Hyperlink"/>
          <w:sz w:val="24"/>
          <w:lang w:val="hu-HU"/>
        </w:rPr>
        <w:t>.</w:t>
      </w:r>
    </w:p>
  </w:footnote>
  <w:footnote w:id="8">
    <w:p w14:paraId="75284827" w14:textId="15404FA6" w:rsidR="00C545F3" w:rsidRPr="008149DC" w:rsidRDefault="00C545F3" w:rsidP="008149DC">
      <w:pPr>
        <w:pStyle w:val="FootnoteText"/>
        <w:ind w:left="567" w:hanging="567"/>
        <w:rPr>
          <w:sz w:val="24"/>
          <w:szCs w:val="24"/>
          <w:lang w:val="hu-HU"/>
        </w:rPr>
      </w:pPr>
      <w:r w:rsidRPr="008149DC">
        <w:rPr>
          <w:rStyle w:val="FootnoteReference"/>
          <w:sz w:val="24"/>
          <w:lang w:val="hu-HU"/>
        </w:rPr>
        <w:footnoteRef/>
      </w:r>
      <w:r w:rsidR="008149DC" w:rsidRPr="008149DC">
        <w:rPr>
          <w:sz w:val="24"/>
          <w:lang w:val="hu-HU"/>
        </w:rPr>
        <w:t xml:space="preserve"> </w:t>
      </w:r>
      <w:r w:rsidR="008149DC" w:rsidRPr="008149DC">
        <w:rPr>
          <w:sz w:val="24"/>
          <w:lang w:val="hu-HU"/>
        </w:rPr>
        <w:tab/>
      </w:r>
      <w:r w:rsidRPr="008149DC">
        <w:rPr>
          <w:sz w:val="24"/>
          <w:lang w:val="hu-HU"/>
        </w:rPr>
        <w:t>HL L 294., 2001.11.10., 22. o.</w:t>
      </w:r>
      <w:r w:rsidR="00E075D5">
        <w:rPr>
          <w:sz w:val="24"/>
          <w:lang w:val="hu-HU"/>
        </w:rPr>
        <w:t xml:space="preserve">, </w:t>
      </w:r>
      <w:r w:rsidRPr="008149DC">
        <w:rPr>
          <w:sz w:val="24"/>
          <w:lang w:val="hu-HU"/>
        </w:rPr>
        <w:t>ELI: </w:t>
      </w:r>
      <w:hyperlink r:id="rId8" w:history="1">
        <w:r w:rsidRPr="008149DC">
          <w:rPr>
            <w:rStyle w:val="Hyperlink"/>
            <w:sz w:val="24"/>
            <w:lang w:val="hu-HU"/>
          </w:rPr>
          <w:t>http://data.europa.eu/eli/dir/2001/86/oj</w:t>
        </w:r>
      </w:hyperlink>
      <w:r w:rsidRPr="008149DC">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F2411" w14:textId="77777777" w:rsidR="00064002" w:rsidRPr="008149D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8AA72" w14:textId="77777777" w:rsidR="00064002" w:rsidRPr="008149D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8B887" w14:textId="77777777" w:rsidR="00064002" w:rsidRPr="008149D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74890575">
    <w:abstractNumId w:val="9"/>
  </w:num>
  <w:num w:numId="2" w16cid:durableId="1791509604">
    <w:abstractNumId w:val="9"/>
  </w:num>
  <w:num w:numId="3" w16cid:durableId="338580967">
    <w:abstractNumId w:val="7"/>
  </w:num>
  <w:num w:numId="4" w16cid:durableId="533150984">
    <w:abstractNumId w:val="7"/>
  </w:num>
  <w:num w:numId="5" w16cid:durableId="960039329">
    <w:abstractNumId w:val="6"/>
  </w:num>
  <w:num w:numId="6" w16cid:durableId="382564406">
    <w:abstractNumId w:val="6"/>
  </w:num>
  <w:num w:numId="7" w16cid:durableId="2037652506">
    <w:abstractNumId w:val="5"/>
  </w:num>
  <w:num w:numId="8" w16cid:durableId="1195195788">
    <w:abstractNumId w:val="5"/>
  </w:num>
  <w:num w:numId="9" w16cid:durableId="1798835486">
    <w:abstractNumId w:val="4"/>
  </w:num>
  <w:num w:numId="10" w16cid:durableId="672608351">
    <w:abstractNumId w:val="4"/>
  </w:num>
  <w:num w:numId="11" w16cid:durableId="290017794">
    <w:abstractNumId w:val="8"/>
  </w:num>
  <w:num w:numId="12" w16cid:durableId="1944725606">
    <w:abstractNumId w:val="8"/>
  </w:num>
  <w:num w:numId="13" w16cid:durableId="1177883710">
    <w:abstractNumId w:val="3"/>
  </w:num>
  <w:num w:numId="14" w16cid:durableId="1721200336">
    <w:abstractNumId w:val="3"/>
  </w:num>
  <w:num w:numId="15" w16cid:durableId="2046520554">
    <w:abstractNumId w:val="2"/>
  </w:num>
  <w:num w:numId="16" w16cid:durableId="39088100">
    <w:abstractNumId w:val="2"/>
  </w:num>
  <w:num w:numId="17" w16cid:durableId="343750764">
    <w:abstractNumId w:val="1"/>
  </w:num>
  <w:num w:numId="18" w16cid:durableId="1458452202">
    <w:abstractNumId w:val="1"/>
  </w:num>
  <w:num w:numId="19" w16cid:durableId="194737953">
    <w:abstractNumId w:val="0"/>
  </w:num>
  <w:num w:numId="20" w16cid:durableId="1763917795">
    <w:abstractNumId w:val="0"/>
  </w:num>
  <w:num w:numId="21" w16cid:durableId="2145386992">
    <w:abstractNumId w:val="9"/>
  </w:num>
  <w:num w:numId="22" w16cid:durableId="779494092">
    <w:abstractNumId w:val="7"/>
  </w:num>
  <w:num w:numId="23" w16cid:durableId="1149907705">
    <w:abstractNumId w:val="6"/>
  </w:num>
  <w:num w:numId="24" w16cid:durableId="945844327">
    <w:abstractNumId w:val="5"/>
  </w:num>
  <w:num w:numId="25" w16cid:durableId="1890333529">
    <w:abstractNumId w:val="4"/>
  </w:num>
  <w:num w:numId="26" w16cid:durableId="47145854">
    <w:abstractNumId w:val="8"/>
  </w:num>
  <w:num w:numId="27" w16cid:durableId="833230082">
    <w:abstractNumId w:val="3"/>
  </w:num>
  <w:num w:numId="28" w16cid:durableId="1120412825">
    <w:abstractNumId w:val="2"/>
  </w:num>
  <w:num w:numId="29" w16cid:durableId="393162844">
    <w:abstractNumId w:val="1"/>
  </w:num>
  <w:num w:numId="30" w16cid:durableId="987906157">
    <w:abstractNumId w:val="0"/>
  </w:num>
  <w:num w:numId="31" w16cid:durableId="1953240527">
    <w:abstractNumId w:val="9"/>
  </w:num>
  <w:num w:numId="32" w16cid:durableId="1189684964">
    <w:abstractNumId w:val="7"/>
  </w:num>
  <w:num w:numId="33" w16cid:durableId="1495878617">
    <w:abstractNumId w:val="6"/>
  </w:num>
  <w:num w:numId="34" w16cid:durableId="1317145952">
    <w:abstractNumId w:val="5"/>
  </w:num>
  <w:num w:numId="35" w16cid:durableId="1284116996">
    <w:abstractNumId w:val="4"/>
  </w:num>
  <w:num w:numId="36" w16cid:durableId="1075277513">
    <w:abstractNumId w:val="8"/>
  </w:num>
  <w:num w:numId="37" w16cid:durableId="338774469">
    <w:abstractNumId w:val="3"/>
  </w:num>
  <w:num w:numId="38" w16cid:durableId="556209134">
    <w:abstractNumId w:val="2"/>
  </w:num>
  <w:num w:numId="39" w16cid:durableId="980501309">
    <w:abstractNumId w:val="1"/>
  </w:num>
  <w:num w:numId="40" w16cid:durableId="1837647083">
    <w:abstractNumId w:val="0"/>
  </w:num>
  <w:num w:numId="41" w16cid:durableId="1713964250">
    <w:abstractNumId w:val="10"/>
  </w:num>
  <w:num w:numId="42" w16cid:durableId="174420246">
    <w:abstractNumId w:val="10"/>
  </w:num>
  <w:num w:numId="43" w16cid:durableId="1981228420">
    <w:abstractNumId w:val="10"/>
  </w:num>
  <w:num w:numId="44" w16cid:durableId="20234308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9/2025"/>
    <w:docVar w:name="dvlangue" w:val="HU"/>
    <w:docVar w:name="dvnumam" w:val="0"/>
    <w:docVar w:name="dvpe" w:val="773.199"/>
    <w:docVar w:name="dvrapporteur" w:val="Előadó: "/>
    <w:docVar w:name="dvtitre" w:val="Az Európai Parlament 2026.  ...-i állásfoglalása a Bizottságnak szóló ajánlásokkal a 28. rendszerről: új jogi keretrendszer az innovatív vállalkozások számára(2025/2079(INL))"/>
  </w:docVars>
  <w:rsids>
    <w:rsidRoot w:val="004E41ED"/>
    <w:rsid w:val="00002272"/>
    <w:rsid w:val="0000693C"/>
    <w:rsid w:val="00035779"/>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8256A"/>
    <w:rsid w:val="00395FA1"/>
    <w:rsid w:val="003E15D4"/>
    <w:rsid w:val="00411CCE"/>
    <w:rsid w:val="0041666E"/>
    <w:rsid w:val="00421060"/>
    <w:rsid w:val="00471C19"/>
    <w:rsid w:val="004867E3"/>
    <w:rsid w:val="00494A28"/>
    <w:rsid w:val="004B6FBA"/>
    <w:rsid w:val="004C0004"/>
    <w:rsid w:val="004C5D52"/>
    <w:rsid w:val="004E41ED"/>
    <w:rsid w:val="0050519A"/>
    <w:rsid w:val="005072A1"/>
    <w:rsid w:val="00514517"/>
    <w:rsid w:val="00545827"/>
    <w:rsid w:val="005558E2"/>
    <w:rsid w:val="00560270"/>
    <w:rsid w:val="005C2568"/>
    <w:rsid w:val="005F1B17"/>
    <w:rsid w:val="006037C0"/>
    <w:rsid w:val="006277E5"/>
    <w:rsid w:val="006631B6"/>
    <w:rsid w:val="00680577"/>
    <w:rsid w:val="00695D07"/>
    <w:rsid w:val="006F74FA"/>
    <w:rsid w:val="00731ADD"/>
    <w:rsid w:val="00734777"/>
    <w:rsid w:val="00747932"/>
    <w:rsid w:val="00751A4A"/>
    <w:rsid w:val="00756632"/>
    <w:rsid w:val="00762C74"/>
    <w:rsid w:val="00780D53"/>
    <w:rsid w:val="00786EC0"/>
    <w:rsid w:val="007D1690"/>
    <w:rsid w:val="007E22AD"/>
    <w:rsid w:val="008149DC"/>
    <w:rsid w:val="00817416"/>
    <w:rsid w:val="00842779"/>
    <w:rsid w:val="00865F67"/>
    <w:rsid w:val="00881A7B"/>
    <w:rsid w:val="008840E5"/>
    <w:rsid w:val="00887B3E"/>
    <w:rsid w:val="008C2AC6"/>
    <w:rsid w:val="00930C23"/>
    <w:rsid w:val="0093193B"/>
    <w:rsid w:val="009509D8"/>
    <w:rsid w:val="00950B64"/>
    <w:rsid w:val="00981893"/>
    <w:rsid w:val="00A15ED2"/>
    <w:rsid w:val="00A1687D"/>
    <w:rsid w:val="00A313BB"/>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21CB"/>
    <w:rsid w:val="00C23CD4"/>
    <w:rsid w:val="00C545F3"/>
    <w:rsid w:val="00C61C0C"/>
    <w:rsid w:val="00C941CB"/>
    <w:rsid w:val="00CC2357"/>
    <w:rsid w:val="00CF071A"/>
    <w:rsid w:val="00D058B8"/>
    <w:rsid w:val="00D216EB"/>
    <w:rsid w:val="00D56C11"/>
    <w:rsid w:val="00D834A0"/>
    <w:rsid w:val="00D872DF"/>
    <w:rsid w:val="00D91E21"/>
    <w:rsid w:val="00DA7FCD"/>
    <w:rsid w:val="00DE50E2"/>
    <w:rsid w:val="00E075D5"/>
    <w:rsid w:val="00E365E1"/>
    <w:rsid w:val="00E820A4"/>
    <w:rsid w:val="00EB006A"/>
    <w:rsid w:val="00EB4772"/>
    <w:rsid w:val="00ED169E"/>
    <w:rsid w:val="00ED4235"/>
    <w:rsid w:val="00F04346"/>
    <w:rsid w:val="00F075DC"/>
    <w:rsid w:val="00F149E9"/>
    <w:rsid w:val="00F215BD"/>
    <w:rsid w:val="00F34C46"/>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AE1A70"/>
  <w15:chartTrackingRefBased/>
  <w15:docId w15:val="{FE29E69C-7756-4A33-8F92-BF51DD559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545F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545F3"/>
    <w:pPr>
      <w:spacing w:before="480" w:after="240"/>
    </w:pPr>
  </w:style>
  <w:style w:type="paragraph" w:customStyle="1" w:styleId="PageHeading">
    <w:name w:val="PageHeading"/>
    <w:basedOn w:val="Normal"/>
    <w:rsid w:val="00C545F3"/>
    <w:pPr>
      <w:keepNext/>
      <w:spacing w:after="480"/>
      <w:jc w:val="center"/>
    </w:pPr>
    <w:rPr>
      <w:rFonts w:ascii="Arial" w:hAnsi="Arial" w:cs="Arial"/>
      <w:b/>
    </w:rPr>
  </w:style>
  <w:style w:type="paragraph" w:customStyle="1" w:styleId="NormalHanging12a">
    <w:name w:val="NormalHanging12a"/>
    <w:basedOn w:val="Normal"/>
    <w:link w:val="NormalHanging12aChar"/>
    <w:rsid w:val="00C545F3"/>
    <w:pPr>
      <w:spacing w:after="240"/>
      <w:ind w:left="567" w:hanging="567"/>
    </w:pPr>
  </w:style>
  <w:style w:type="paragraph" w:styleId="Header">
    <w:name w:val="header"/>
    <w:basedOn w:val="Normal"/>
    <w:link w:val="HeaderChar"/>
    <w:rsid w:val="00C545F3"/>
    <w:pPr>
      <w:tabs>
        <w:tab w:val="center" w:pos="4513"/>
        <w:tab w:val="right" w:pos="9026"/>
      </w:tabs>
    </w:pPr>
  </w:style>
  <w:style w:type="character" w:customStyle="1" w:styleId="HeaderChar">
    <w:name w:val="Header Char"/>
    <w:basedOn w:val="DefaultParagraphFont"/>
    <w:link w:val="Header"/>
    <w:rsid w:val="00C545F3"/>
    <w:rPr>
      <w:sz w:val="24"/>
      <w:lang w:val="hu-HU"/>
    </w:rPr>
  </w:style>
  <w:style w:type="paragraph" w:customStyle="1" w:styleId="EPFooter">
    <w:name w:val="EPFooter"/>
    <w:basedOn w:val="Normal"/>
    <w:rsid w:val="00C545F3"/>
    <w:pPr>
      <w:tabs>
        <w:tab w:val="center" w:pos="4535"/>
        <w:tab w:val="right" w:pos="9071"/>
      </w:tabs>
      <w:spacing w:before="240" w:after="240"/>
    </w:pPr>
    <w:rPr>
      <w:color w:val="010000"/>
      <w:sz w:val="22"/>
    </w:rPr>
  </w:style>
  <w:style w:type="character" w:styleId="Hyperlink">
    <w:name w:val="Hyperlink"/>
    <w:basedOn w:val="DefaultParagraphFont"/>
    <w:uiPriority w:val="99"/>
    <w:rsid w:val="00C545F3"/>
    <w:rPr>
      <w:color w:val="0563C1" w:themeColor="hyperlink"/>
      <w:u w:val="single"/>
    </w:rPr>
  </w:style>
  <w:style w:type="character" w:customStyle="1" w:styleId="NormalHanging12aChar">
    <w:name w:val="NormalHanging12a Char"/>
    <w:basedOn w:val="DefaultParagraphFont"/>
    <w:link w:val="NormalHanging12a"/>
    <w:locked/>
    <w:rsid w:val="00C545F3"/>
    <w:rPr>
      <w:sz w:val="24"/>
      <w:lang w:val="hu-HU"/>
    </w:rPr>
  </w:style>
  <w:style w:type="character" w:styleId="Strong">
    <w:name w:val="Strong"/>
    <w:basedOn w:val="DefaultParagraphFont"/>
    <w:uiPriority w:val="22"/>
    <w:qFormat/>
    <w:rsid w:val="00C545F3"/>
    <w:rPr>
      <w:b/>
      <w:bCs/>
    </w:rPr>
  </w:style>
  <w:style w:type="paragraph" w:customStyle="1" w:styleId="paragraph">
    <w:name w:val="paragraph"/>
    <w:basedOn w:val="Normal"/>
    <w:rsid w:val="00C545F3"/>
    <w:pPr>
      <w:widowControl/>
      <w:spacing w:before="100" w:beforeAutospacing="1" w:after="100" w:afterAutospacing="1"/>
    </w:pPr>
    <w:rPr>
      <w:szCs w:val="24"/>
    </w:rPr>
  </w:style>
  <w:style w:type="character" w:customStyle="1" w:styleId="normaltextrun">
    <w:name w:val="normaltextrun"/>
    <w:basedOn w:val="DefaultParagraphFont"/>
    <w:rsid w:val="00C545F3"/>
  </w:style>
  <w:style w:type="paragraph" w:styleId="Footer">
    <w:name w:val="footer"/>
    <w:basedOn w:val="Normal"/>
    <w:link w:val="FooterChar"/>
    <w:rsid w:val="00E075D5"/>
    <w:pPr>
      <w:tabs>
        <w:tab w:val="center" w:pos="4513"/>
        <w:tab w:val="right" w:pos="9026"/>
      </w:tabs>
    </w:pPr>
  </w:style>
  <w:style w:type="character" w:customStyle="1" w:styleId="FooterChar">
    <w:name w:val="Footer Char"/>
    <w:basedOn w:val="DefaultParagraphFont"/>
    <w:link w:val="Footer"/>
    <w:rsid w:val="00E075D5"/>
    <w:rPr>
      <w:sz w:val="24"/>
      <w:lang w:val="hu-HU"/>
    </w:rPr>
  </w:style>
  <w:style w:type="paragraph" w:styleId="Revision">
    <w:name w:val="Revision"/>
    <w:hidden/>
    <w:uiPriority w:val="99"/>
    <w:semiHidden/>
    <w:rsid w:val="00E075D5"/>
    <w:rPr>
      <w:sz w:val="24"/>
      <w:lang w:val="hu-HU"/>
    </w:rPr>
  </w:style>
  <w:style w:type="character" w:styleId="CommentReference">
    <w:name w:val="annotation reference"/>
    <w:basedOn w:val="DefaultParagraphFont"/>
    <w:rsid w:val="00E075D5"/>
    <w:rPr>
      <w:sz w:val="16"/>
      <w:szCs w:val="16"/>
    </w:rPr>
  </w:style>
  <w:style w:type="paragraph" w:styleId="CommentText">
    <w:name w:val="annotation text"/>
    <w:basedOn w:val="Normal"/>
    <w:link w:val="CommentTextChar"/>
    <w:rsid w:val="00E075D5"/>
    <w:rPr>
      <w:sz w:val="20"/>
    </w:rPr>
  </w:style>
  <w:style w:type="character" w:customStyle="1" w:styleId="CommentTextChar">
    <w:name w:val="Comment Text Char"/>
    <w:basedOn w:val="DefaultParagraphFont"/>
    <w:link w:val="CommentText"/>
    <w:rsid w:val="00E075D5"/>
    <w:rPr>
      <w:lang w:val="hu-HU"/>
    </w:rPr>
  </w:style>
  <w:style w:type="paragraph" w:styleId="CommentSubject">
    <w:name w:val="annotation subject"/>
    <w:basedOn w:val="CommentText"/>
    <w:next w:val="CommentText"/>
    <w:link w:val="CommentSubjectChar"/>
    <w:rsid w:val="00E075D5"/>
    <w:rPr>
      <w:b/>
      <w:bCs/>
    </w:rPr>
  </w:style>
  <w:style w:type="character" w:customStyle="1" w:styleId="CommentSubjectChar">
    <w:name w:val="Comment Subject Char"/>
    <w:basedOn w:val="CommentTextChar"/>
    <w:link w:val="CommentSubject"/>
    <w:rsid w:val="00E075D5"/>
    <w:rPr>
      <w:b/>
      <w:bCs/>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1/86/oj" TargetMode="External"/><Relationship Id="rId3" Type="http://schemas.openxmlformats.org/officeDocument/2006/relationships/hyperlink" Target="http://data.europa.eu/eli/reg/2014/910/oj" TargetMode="External"/><Relationship Id="rId7" Type="http://schemas.openxmlformats.org/officeDocument/2006/relationships/hyperlink" Target="http://data.europa.eu/eli/dir/2025/25/oj" TargetMode="External"/><Relationship Id="rId2" Type="http://schemas.openxmlformats.org/officeDocument/2006/relationships/hyperlink" Target="http://data.europa.eu/eli/reg/2012/1215/oj" TargetMode="External"/><Relationship Id="rId1" Type="http://schemas.openxmlformats.org/officeDocument/2006/relationships/hyperlink" Target="http://data.europa.eu/eli/reg/2008/593/oj" TargetMode="External"/><Relationship Id="rId6" Type="http://schemas.openxmlformats.org/officeDocument/2006/relationships/hyperlink" Target="http://data.europa.eu/eli/dir/2019/2121/oj" TargetMode="External"/><Relationship Id="rId5" Type="http://schemas.openxmlformats.org/officeDocument/2006/relationships/hyperlink" Target="http://data.europa.eu/eli/dir/2017/1132/oj" TargetMode="External"/><Relationship Id="rId4" Type="http://schemas.openxmlformats.org/officeDocument/2006/relationships/hyperlink" Target="http://data.europa.eu/eli/dir/2009/10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6769</Words>
  <Characters>49004</Characters>
  <Application>Microsoft Office Word</Application>
  <DocSecurity>0</DocSecurity>
  <Lines>408</Lines>
  <Paragraphs>111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2026-01-21T12:44:00Z</dcterms:created>
  <dcterms:modified xsi:type="dcterms:W3CDTF">2026-01-21T12:44:00Z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P10_TA(2026)0002_</vt:lpwstr>
  </property>
  <property fmtid="{D5CDD505-2E9C-101B-9397-08002B2CF9AE}" pid="4" name="&lt;Type&gt;">
    <vt:lpwstr>RR</vt:lpwstr>
  </property>
</Properties>
</file>